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8977A82">
      <w:pPr>
        <w:rPr>
          <w:rFonts w:ascii="Times New Roman" w:hAnsi="Times New Roman" w:eastAsia="宋体" w:cs="仿宋_GB2312"/>
          <w:color w:val="auto"/>
          <w:sz w:val="36"/>
          <w:szCs w:val="36"/>
          <w:highlight w:val="none"/>
        </w:rPr>
      </w:pPr>
    </w:p>
    <w:p w14:paraId="76C0D909">
      <w:pPr>
        <w:rPr>
          <w:rFonts w:ascii="Times New Roman" w:hAnsi="Times New Roman" w:eastAsia="宋体" w:cs="仿宋_GB2312"/>
          <w:color w:val="auto"/>
          <w:sz w:val="36"/>
          <w:szCs w:val="36"/>
          <w:highlight w:val="none"/>
        </w:rPr>
      </w:pPr>
    </w:p>
    <w:p w14:paraId="1896AE64">
      <w:pPr>
        <w:rPr>
          <w:rFonts w:ascii="Times New Roman" w:hAnsi="Times New Roman" w:eastAsia="宋体" w:cs="仿宋_GB2312"/>
          <w:color w:val="auto"/>
          <w:sz w:val="36"/>
          <w:szCs w:val="36"/>
          <w:highlight w:val="none"/>
        </w:rPr>
      </w:pPr>
    </w:p>
    <w:p w14:paraId="603183EA">
      <w:pPr>
        <w:rPr>
          <w:rFonts w:ascii="Times New Roman" w:hAnsi="Times New Roman" w:eastAsia="宋体" w:cs="仿宋_GB2312"/>
          <w:color w:val="auto"/>
          <w:sz w:val="36"/>
          <w:szCs w:val="36"/>
          <w:highlight w:val="none"/>
        </w:rPr>
      </w:pPr>
    </w:p>
    <w:p w14:paraId="4CFC6D90">
      <w:pPr>
        <w:rPr>
          <w:rFonts w:ascii="Times New Roman" w:hAnsi="Times New Roman" w:eastAsia="宋体" w:cs="仿宋_GB2312"/>
          <w:color w:val="auto"/>
          <w:sz w:val="36"/>
          <w:szCs w:val="36"/>
          <w:highlight w:val="none"/>
        </w:rPr>
      </w:pPr>
    </w:p>
    <w:p w14:paraId="615FD6C7">
      <w:pPr>
        <w:adjustRightInd w:val="0"/>
        <w:snapToGrid w:val="0"/>
        <w:jc w:val="center"/>
        <w:outlineLvl w:val="0"/>
        <w:rPr>
          <w:rFonts w:ascii="Times New Roman" w:hAnsi="Times New Roman" w:eastAsia="宋体"/>
          <w:bCs/>
          <w:color w:val="auto"/>
          <w:sz w:val="72"/>
          <w:szCs w:val="72"/>
          <w:highlight w:val="none"/>
        </w:rPr>
      </w:pPr>
      <w:bookmarkStart w:id="0" w:name="_Toc73523365"/>
      <w:r>
        <w:rPr>
          <w:rFonts w:hint="eastAsia" w:ascii="Times New Roman" w:hAnsi="Times New Roman" w:eastAsia="宋体"/>
          <w:bCs/>
          <w:color w:val="auto"/>
          <w:sz w:val="72"/>
          <w:szCs w:val="72"/>
          <w:highlight w:val="none"/>
        </w:rPr>
        <w:t>建设项目环境影响报告表</w:t>
      </w:r>
      <w:bookmarkEnd w:id="0"/>
    </w:p>
    <w:p w14:paraId="669349AC">
      <w:pPr>
        <w:adjustRightInd w:val="0"/>
        <w:snapToGrid w:val="0"/>
        <w:spacing w:before="192" w:beforeLines="80"/>
        <w:jc w:val="center"/>
        <w:rPr>
          <w:rFonts w:ascii="Times New Roman" w:hAnsi="Times New Roman" w:eastAsia="宋体"/>
          <w:bCs/>
          <w:color w:val="auto"/>
          <w:sz w:val="48"/>
          <w:szCs w:val="48"/>
          <w:highlight w:val="none"/>
        </w:rPr>
      </w:pPr>
      <w:r>
        <w:rPr>
          <w:rFonts w:hint="eastAsia" w:ascii="Times New Roman" w:hAnsi="Times New Roman" w:eastAsia="宋体"/>
          <w:bCs/>
          <w:color w:val="auto"/>
          <w:sz w:val="48"/>
          <w:szCs w:val="48"/>
          <w:highlight w:val="none"/>
        </w:rPr>
        <w:t>（污染影响类）</w:t>
      </w:r>
    </w:p>
    <w:p w14:paraId="36FA5B6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ascii="Times New Roman" w:hAnsi="Times New Roman" w:eastAsia="宋体" w:cs="华文仿宋"/>
          <w:color w:val="auto"/>
          <w:kern w:val="44"/>
          <w:sz w:val="44"/>
          <w:szCs w:val="44"/>
          <w:highlight w:val="none"/>
        </w:rPr>
      </w:pPr>
    </w:p>
    <w:p w14:paraId="427FF8AB">
      <w:pPr>
        <w:keepNext w:val="0"/>
        <w:keepLines w:val="0"/>
        <w:pageBreakBefore w:val="0"/>
        <w:widowControl w:val="0"/>
        <w:kinsoku/>
        <w:wordWrap/>
        <w:overflowPunct/>
        <w:topLinePunct w:val="0"/>
        <w:autoSpaceDE/>
        <w:autoSpaceDN/>
        <w:bidi w:val="0"/>
        <w:spacing w:line="240" w:lineRule="auto"/>
        <w:jc w:val="center"/>
        <w:textAlignment w:val="auto"/>
        <w:outlineLvl w:val="9"/>
        <w:rPr>
          <w:rFonts w:ascii="Times New Roman" w:hAnsi="Times New Roman" w:eastAsia="宋体"/>
          <w:color w:val="auto"/>
          <w:sz w:val="52"/>
          <w:szCs w:val="52"/>
          <w:highlight w:val="none"/>
        </w:rPr>
      </w:pPr>
    </w:p>
    <w:p w14:paraId="3BD6C3A7">
      <w:pPr>
        <w:keepNext w:val="0"/>
        <w:keepLines w:val="0"/>
        <w:pageBreakBefore w:val="0"/>
        <w:widowControl w:val="0"/>
        <w:kinsoku/>
        <w:wordWrap/>
        <w:overflowPunct/>
        <w:topLinePunct w:val="0"/>
        <w:autoSpaceDE/>
        <w:autoSpaceDN/>
        <w:bidi w:val="0"/>
        <w:spacing w:line="240" w:lineRule="auto"/>
        <w:ind w:firstLine="1040"/>
        <w:textAlignment w:val="auto"/>
        <w:outlineLvl w:val="9"/>
        <w:rPr>
          <w:rFonts w:ascii="Times New Roman" w:hAnsi="Times New Roman" w:eastAsia="宋体"/>
          <w:color w:val="auto"/>
          <w:sz w:val="44"/>
          <w:szCs w:val="44"/>
          <w:highlight w:val="none"/>
        </w:rPr>
      </w:pPr>
    </w:p>
    <w:p w14:paraId="53A74E98">
      <w:pPr>
        <w:keepNext w:val="0"/>
        <w:keepLines w:val="0"/>
        <w:pageBreakBefore w:val="0"/>
        <w:widowControl w:val="0"/>
        <w:kinsoku/>
        <w:wordWrap/>
        <w:overflowPunct/>
        <w:topLinePunct w:val="0"/>
        <w:autoSpaceDE/>
        <w:autoSpaceDN/>
        <w:bidi w:val="0"/>
        <w:spacing w:line="240" w:lineRule="auto"/>
        <w:ind w:firstLine="1040"/>
        <w:textAlignment w:val="auto"/>
        <w:outlineLvl w:val="9"/>
        <w:rPr>
          <w:rFonts w:ascii="Times New Roman" w:hAnsi="Times New Roman" w:eastAsia="宋体"/>
          <w:color w:val="auto"/>
          <w:sz w:val="44"/>
          <w:szCs w:val="44"/>
          <w:highlight w:val="none"/>
        </w:rPr>
      </w:pPr>
    </w:p>
    <w:p w14:paraId="6B6560C2">
      <w:pPr>
        <w:pStyle w:val="25"/>
        <w:keepNext w:val="0"/>
        <w:keepLines w:val="0"/>
        <w:pageBreakBefore w:val="0"/>
        <w:widowControl w:val="0"/>
        <w:kinsoku/>
        <w:wordWrap/>
        <w:overflowPunct/>
        <w:topLinePunct w:val="0"/>
        <w:autoSpaceDE/>
        <w:autoSpaceDN/>
        <w:bidi w:val="0"/>
        <w:spacing w:line="240" w:lineRule="auto"/>
        <w:textAlignment w:val="auto"/>
        <w:outlineLvl w:val="9"/>
        <w:rPr>
          <w:rFonts w:ascii="Times New Roman" w:hAnsi="Times New Roman" w:eastAsia="宋体"/>
          <w:color w:val="auto"/>
          <w:sz w:val="44"/>
          <w:szCs w:val="44"/>
          <w:highlight w:val="none"/>
        </w:rPr>
      </w:pPr>
    </w:p>
    <w:p w14:paraId="791D3D1B">
      <w:pPr>
        <w:rPr>
          <w:rFonts w:ascii="Times New Roman" w:hAnsi="Times New Roman" w:eastAsia="宋体"/>
          <w:color w:val="auto"/>
          <w:highlight w:val="none"/>
        </w:rPr>
      </w:pPr>
    </w:p>
    <w:p w14:paraId="2A2C0719">
      <w:pPr>
        <w:ind w:firstLine="1040"/>
        <w:rPr>
          <w:rFonts w:ascii="Times New Roman" w:hAnsi="Times New Roman" w:eastAsia="宋体"/>
          <w:color w:val="auto"/>
          <w:sz w:val="44"/>
          <w:szCs w:val="44"/>
          <w:highlight w:val="none"/>
        </w:rPr>
      </w:pPr>
    </w:p>
    <w:p w14:paraId="3BF80229">
      <w:pPr>
        <w:pStyle w:val="3"/>
        <w:rPr>
          <w:color w:val="auto"/>
          <w:highlight w:val="none"/>
        </w:rPr>
      </w:pPr>
    </w:p>
    <w:p w14:paraId="6C194748">
      <w:pPr>
        <w:ind w:firstLine="1040"/>
        <w:rPr>
          <w:rFonts w:ascii="Times New Roman" w:hAnsi="Times New Roman" w:eastAsia="宋体"/>
          <w:color w:val="auto"/>
          <w:sz w:val="44"/>
          <w:szCs w:val="44"/>
          <w:highlight w:val="none"/>
        </w:rPr>
      </w:pPr>
    </w:p>
    <w:p w14:paraId="1C9FC3AF">
      <w:pPr>
        <w:keepNext w:val="0"/>
        <w:keepLines w:val="0"/>
        <w:pageBreakBefore w:val="0"/>
        <w:widowControl w:val="0"/>
        <w:kinsoku/>
        <w:wordWrap/>
        <w:overflowPunct/>
        <w:topLinePunct w:val="0"/>
        <w:autoSpaceDE/>
        <w:autoSpaceDN/>
        <w:bidi w:val="0"/>
        <w:adjustRightInd w:val="0"/>
        <w:snapToGrid w:val="0"/>
        <w:spacing w:line="288" w:lineRule="auto"/>
        <w:ind w:left="2238" w:leftChars="304" w:hanging="1600" w:hangingChars="500"/>
        <w:jc w:val="both"/>
        <w:textAlignment w:val="auto"/>
        <w:rPr>
          <w:rFonts w:hint="default" w:ascii="Times New Roman" w:hAnsi="Times New Roman" w:eastAsia="宋体" w:cs="Times New Roman"/>
          <w:color w:val="auto"/>
          <w:sz w:val="32"/>
          <w:szCs w:val="32"/>
          <w:highlight w:val="none"/>
          <w:u w:val="single"/>
          <w:lang w:val="en-US" w:eastAsia="zh-CN"/>
        </w:rPr>
      </w:pPr>
      <w:r>
        <w:rPr>
          <w:rFonts w:hint="eastAsia" w:ascii="Times New Roman" w:hAnsi="Times New Roman" w:eastAsia="宋体"/>
          <w:color w:val="auto"/>
          <w:sz w:val="32"/>
          <w:szCs w:val="32"/>
          <w:highlight w:val="none"/>
        </w:rPr>
        <w:t>项目名称：</w:t>
      </w:r>
      <w:r>
        <w:rPr>
          <w:rFonts w:hint="eastAsia" w:ascii="Times New Roman" w:hAnsi="Times New Roman" w:eastAsia="宋体" w:cs="Times New Roman"/>
          <w:color w:val="auto"/>
          <w:sz w:val="32"/>
          <w:szCs w:val="32"/>
          <w:highlight w:val="none"/>
          <w:u w:val="single"/>
          <w:lang w:val="en-US" w:eastAsia="zh-CN"/>
        </w:rPr>
        <w:t>双鸭山市尖山区众诚种植养殖农民专业合作社新建项目</w:t>
      </w:r>
      <w:r>
        <w:rPr>
          <w:rFonts w:hint="eastAsia" w:ascii="Times New Roman" w:hAnsi="Times New Roman" w:cs="Times New Roman"/>
          <w:color w:val="auto"/>
          <w:sz w:val="32"/>
          <w:szCs w:val="32"/>
          <w:highlight w:val="none"/>
          <w:u w:val="single"/>
          <w:lang w:val="en-US" w:eastAsia="zh-CN"/>
        </w:rPr>
        <w:t xml:space="preserve">    </w:t>
      </w:r>
      <w:r>
        <w:rPr>
          <w:rFonts w:hint="eastAsia" w:cs="Times New Roman"/>
          <w:color w:val="auto"/>
          <w:sz w:val="32"/>
          <w:szCs w:val="32"/>
          <w:highlight w:val="none"/>
          <w:u w:val="single"/>
          <w:lang w:val="en-US" w:eastAsia="zh-CN"/>
        </w:rPr>
        <w:t xml:space="preserve">   </w:t>
      </w:r>
      <w:r>
        <w:rPr>
          <w:rFonts w:hint="eastAsia" w:ascii="Times New Roman" w:hAnsi="Times New Roman" w:cs="Times New Roman"/>
          <w:color w:val="auto"/>
          <w:sz w:val="32"/>
          <w:szCs w:val="32"/>
          <w:highlight w:val="none"/>
          <w:u w:val="single"/>
          <w:lang w:val="en-US" w:eastAsia="zh-CN"/>
        </w:rPr>
        <w:t xml:space="preserve">         </w:t>
      </w:r>
      <w:r>
        <w:rPr>
          <w:rFonts w:hint="eastAsia" w:cs="Times New Roman"/>
          <w:color w:val="auto"/>
          <w:sz w:val="32"/>
          <w:szCs w:val="32"/>
          <w:highlight w:val="none"/>
          <w:u w:val="single"/>
          <w:lang w:val="en-US" w:eastAsia="zh-CN"/>
        </w:rPr>
        <w:t xml:space="preserve">          </w:t>
      </w:r>
      <w:r>
        <w:rPr>
          <w:rFonts w:hint="eastAsia" w:ascii="Times New Roman" w:hAnsi="Times New Roman" w:cs="Times New Roman"/>
          <w:color w:val="auto"/>
          <w:sz w:val="32"/>
          <w:szCs w:val="32"/>
          <w:highlight w:val="none"/>
          <w:u w:val="single"/>
          <w:lang w:val="en-US" w:eastAsia="zh-CN"/>
        </w:rPr>
        <w:t xml:space="preserve">       </w:t>
      </w:r>
      <w:r>
        <w:rPr>
          <w:rFonts w:hint="eastAsia" w:cs="Times New Roman"/>
          <w:color w:val="auto"/>
          <w:sz w:val="32"/>
          <w:szCs w:val="32"/>
          <w:highlight w:val="none"/>
          <w:u w:val="single"/>
          <w:lang w:val="en-US" w:eastAsia="zh-CN"/>
        </w:rPr>
        <w:t xml:space="preserve">    </w:t>
      </w:r>
      <w:r>
        <w:rPr>
          <w:rFonts w:hint="eastAsia" w:ascii="Times New Roman" w:hAnsi="Times New Roman" w:cs="Times New Roman"/>
          <w:color w:val="auto"/>
          <w:sz w:val="32"/>
          <w:szCs w:val="32"/>
          <w:highlight w:val="none"/>
          <w:u w:val="single"/>
          <w:lang w:val="en-US" w:eastAsia="zh-CN"/>
        </w:rPr>
        <w:t xml:space="preserve">      </w:t>
      </w:r>
    </w:p>
    <w:p w14:paraId="3C82F529">
      <w:pPr>
        <w:keepNext w:val="0"/>
        <w:keepLines w:val="0"/>
        <w:pageBreakBefore w:val="0"/>
        <w:widowControl w:val="0"/>
        <w:kinsoku/>
        <w:wordWrap/>
        <w:overflowPunct/>
        <w:topLinePunct w:val="0"/>
        <w:autoSpaceDE/>
        <w:autoSpaceDN/>
        <w:bidi w:val="0"/>
        <w:adjustRightInd w:val="0"/>
        <w:snapToGrid w:val="0"/>
        <w:spacing w:line="288" w:lineRule="auto"/>
        <w:ind w:left="2238" w:leftChars="304" w:hanging="1600" w:hangingChars="500"/>
        <w:jc w:val="left"/>
        <w:textAlignment w:val="auto"/>
        <w:rPr>
          <w:rFonts w:hint="default" w:ascii="Times New Roman" w:hAnsi="Times New Roman" w:eastAsia="宋体" w:cs="Times New Roman"/>
          <w:color w:val="auto"/>
          <w:sz w:val="32"/>
          <w:szCs w:val="32"/>
          <w:highlight w:val="none"/>
          <w:u w:val="single"/>
          <w:lang w:val="en-US" w:eastAsia="zh-CN"/>
        </w:rPr>
      </w:pPr>
      <w:r>
        <w:rPr>
          <w:rFonts w:hint="eastAsia" w:ascii="Times New Roman" w:hAnsi="Times New Roman" w:eastAsia="宋体"/>
          <w:color w:val="auto"/>
          <w:sz w:val="32"/>
          <w:szCs w:val="32"/>
          <w:highlight w:val="none"/>
        </w:rPr>
        <w:t>建设单位（盖章）：</w:t>
      </w:r>
      <w:r>
        <w:rPr>
          <w:rFonts w:hint="eastAsia" w:ascii="Times New Roman" w:hAnsi="Times New Roman" w:eastAsia="宋体" w:cs="Times New Roman"/>
          <w:color w:val="auto"/>
          <w:sz w:val="32"/>
          <w:szCs w:val="32"/>
          <w:highlight w:val="none"/>
          <w:u w:val="single"/>
          <w:lang w:val="en-US" w:eastAsia="zh-CN"/>
        </w:rPr>
        <w:t xml:space="preserve">双鸭山市尖山区众诚种植养殖农民专业合作社                                          </w:t>
      </w:r>
      <w:r>
        <w:rPr>
          <w:rFonts w:hint="eastAsia" w:cs="Times New Roman"/>
          <w:color w:val="auto"/>
          <w:sz w:val="32"/>
          <w:szCs w:val="32"/>
          <w:highlight w:val="none"/>
          <w:u w:val="single"/>
          <w:lang w:val="en-US" w:eastAsia="zh-CN"/>
        </w:rPr>
        <w:t xml:space="preserve"> </w:t>
      </w:r>
    </w:p>
    <w:p w14:paraId="021A42DE">
      <w:pPr>
        <w:keepNext w:val="0"/>
        <w:keepLines w:val="0"/>
        <w:pageBreakBefore w:val="0"/>
        <w:widowControl w:val="0"/>
        <w:kinsoku/>
        <w:wordWrap/>
        <w:overflowPunct/>
        <w:topLinePunct w:val="0"/>
        <w:autoSpaceDE/>
        <w:autoSpaceDN/>
        <w:bidi w:val="0"/>
        <w:adjustRightInd w:val="0"/>
        <w:snapToGrid w:val="0"/>
        <w:spacing w:line="288" w:lineRule="auto"/>
        <w:ind w:left="0" w:leftChars="0" w:firstLine="640" w:firstLineChars="200"/>
        <w:jc w:val="both"/>
        <w:textAlignment w:val="auto"/>
        <w:rPr>
          <w:rFonts w:hint="default" w:ascii="Times New Roman" w:hAnsi="Times New Roman" w:eastAsia="宋体"/>
          <w:color w:val="auto"/>
          <w:sz w:val="32"/>
          <w:szCs w:val="32"/>
          <w:highlight w:val="none"/>
          <w:u w:val="single"/>
          <w:lang w:val="en-US" w:eastAsia="zh-CN"/>
        </w:rPr>
      </w:pPr>
      <w:r>
        <w:rPr>
          <w:rFonts w:hint="eastAsia" w:ascii="Times New Roman" w:hAnsi="Times New Roman" w:eastAsia="宋体"/>
          <w:color w:val="auto"/>
          <w:sz w:val="32"/>
          <w:szCs w:val="32"/>
          <w:highlight w:val="none"/>
        </w:rPr>
        <w:t>编制日期：</w:t>
      </w:r>
      <w:r>
        <w:rPr>
          <w:rFonts w:hint="eastAsia" w:ascii="Times New Roman" w:hAnsi="Times New Roman" w:eastAsia="宋体"/>
          <w:color w:val="auto"/>
          <w:sz w:val="32"/>
          <w:szCs w:val="32"/>
          <w:highlight w:val="none"/>
          <w:u w:val="single"/>
        </w:rPr>
        <w:t xml:space="preserve"> </w:t>
      </w:r>
      <w:r>
        <w:rPr>
          <w:rFonts w:hint="eastAsia" w:ascii="Times New Roman" w:hAnsi="Times New Roman" w:eastAsia="宋体"/>
          <w:color w:val="auto"/>
          <w:sz w:val="32"/>
          <w:szCs w:val="32"/>
          <w:highlight w:val="none"/>
          <w:u w:val="single"/>
          <w:lang w:val="en-US" w:eastAsia="zh-CN"/>
        </w:rPr>
        <w:t xml:space="preserve">   </w:t>
      </w:r>
      <w:r>
        <w:rPr>
          <w:rFonts w:hint="eastAsia"/>
          <w:color w:val="auto"/>
          <w:sz w:val="32"/>
          <w:szCs w:val="32"/>
          <w:highlight w:val="none"/>
          <w:u w:val="single"/>
          <w:lang w:val="en-US" w:eastAsia="zh-CN"/>
        </w:rPr>
        <w:t xml:space="preserve">        </w:t>
      </w:r>
      <w:r>
        <w:rPr>
          <w:rFonts w:hint="eastAsia" w:ascii="Times New Roman" w:hAnsi="Times New Roman" w:eastAsia="宋体"/>
          <w:color w:val="auto"/>
          <w:sz w:val="32"/>
          <w:szCs w:val="32"/>
          <w:highlight w:val="none"/>
          <w:u w:val="single"/>
          <w:lang w:val="en-US" w:eastAsia="zh-CN"/>
        </w:rPr>
        <w:t xml:space="preserve"> </w:t>
      </w:r>
      <w:r>
        <w:rPr>
          <w:rFonts w:hint="eastAsia" w:ascii="Times New Roman" w:hAnsi="Times New Roman" w:eastAsia="宋体"/>
          <w:color w:val="auto"/>
          <w:sz w:val="32"/>
          <w:szCs w:val="32"/>
          <w:highlight w:val="none"/>
          <w:u w:val="single"/>
        </w:rPr>
        <w:t>202</w:t>
      </w:r>
      <w:r>
        <w:rPr>
          <w:rFonts w:hint="eastAsia"/>
          <w:color w:val="auto"/>
          <w:sz w:val="32"/>
          <w:szCs w:val="32"/>
          <w:highlight w:val="none"/>
          <w:u w:val="single"/>
          <w:lang w:val="en-US" w:eastAsia="zh-CN"/>
        </w:rPr>
        <w:t>5</w:t>
      </w:r>
      <w:r>
        <w:rPr>
          <w:rFonts w:hint="eastAsia" w:ascii="Times New Roman" w:hAnsi="Times New Roman" w:eastAsia="宋体"/>
          <w:color w:val="auto"/>
          <w:sz w:val="32"/>
          <w:szCs w:val="32"/>
          <w:highlight w:val="none"/>
          <w:u w:val="single"/>
        </w:rPr>
        <w:t>年</w:t>
      </w:r>
      <w:r>
        <w:rPr>
          <w:rFonts w:hint="eastAsia"/>
          <w:color w:val="auto"/>
          <w:sz w:val="32"/>
          <w:szCs w:val="32"/>
          <w:highlight w:val="none"/>
          <w:u w:val="single"/>
          <w:lang w:val="en-US" w:eastAsia="zh-CN"/>
        </w:rPr>
        <w:t>12</w:t>
      </w:r>
      <w:r>
        <w:rPr>
          <w:rFonts w:hint="eastAsia" w:ascii="Times New Roman" w:hAnsi="Times New Roman" w:eastAsia="宋体"/>
          <w:color w:val="auto"/>
          <w:sz w:val="32"/>
          <w:szCs w:val="32"/>
          <w:highlight w:val="none"/>
          <w:u w:val="single"/>
        </w:rPr>
        <w:t>月</w:t>
      </w:r>
      <w:r>
        <w:rPr>
          <w:rFonts w:hint="eastAsia" w:ascii="Times New Roman" w:hAnsi="Times New Roman" w:eastAsia="宋体"/>
          <w:color w:val="auto"/>
          <w:sz w:val="32"/>
          <w:szCs w:val="32"/>
          <w:highlight w:val="none"/>
          <w:u w:val="single"/>
          <w:lang w:val="en-US" w:eastAsia="zh-CN"/>
        </w:rPr>
        <w:t xml:space="preserve">   </w:t>
      </w:r>
      <w:r>
        <w:rPr>
          <w:rFonts w:hint="eastAsia"/>
          <w:color w:val="auto"/>
          <w:sz w:val="32"/>
          <w:szCs w:val="32"/>
          <w:highlight w:val="none"/>
          <w:u w:val="single"/>
          <w:lang w:val="en-US" w:eastAsia="zh-CN"/>
        </w:rPr>
        <w:t xml:space="preserve">             </w:t>
      </w:r>
    </w:p>
    <w:p w14:paraId="00C1D070">
      <w:pPr>
        <w:adjustRightInd w:val="0"/>
        <w:snapToGrid w:val="0"/>
        <w:spacing w:line="288" w:lineRule="auto"/>
        <w:ind w:firstLine="1040"/>
        <w:rPr>
          <w:rFonts w:ascii="Times New Roman" w:hAnsi="Times New Roman" w:eastAsia="宋体"/>
          <w:color w:val="auto"/>
          <w:sz w:val="36"/>
          <w:szCs w:val="36"/>
          <w:highlight w:val="none"/>
          <w:u w:val="single"/>
        </w:rPr>
      </w:pPr>
      <w:bookmarkStart w:id="1" w:name="_Hlk57884087"/>
    </w:p>
    <w:p w14:paraId="07D8B30C">
      <w:pPr>
        <w:adjustRightInd w:val="0"/>
        <w:snapToGrid w:val="0"/>
        <w:spacing w:line="288" w:lineRule="auto"/>
        <w:ind w:firstLine="1040"/>
        <w:rPr>
          <w:rFonts w:ascii="Times New Roman" w:hAnsi="Times New Roman" w:eastAsia="宋体"/>
          <w:color w:val="auto"/>
          <w:sz w:val="36"/>
          <w:szCs w:val="36"/>
          <w:highlight w:val="none"/>
        </w:rPr>
      </w:pPr>
    </w:p>
    <w:p w14:paraId="6325CD1E">
      <w:pPr>
        <w:pStyle w:val="2"/>
        <w:rPr>
          <w:rFonts w:ascii="Times New Roman" w:hAnsi="Times New Roman" w:eastAsia="宋体"/>
          <w:color w:val="auto"/>
          <w:sz w:val="36"/>
          <w:szCs w:val="36"/>
          <w:highlight w:val="none"/>
        </w:rPr>
      </w:pPr>
    </w:p>
    <w:p w14:paraId="573DDC56">
      <w:pPr>
        <w:adjustRightInd w:val="0"/>
        <w:snapToGrid w:val="0"/>
        <w:spacing w:line="288" w:lineRule="auto"/>
        <w:ind w:firstLine="1040"/>
        <w:rPr>
          <w:rFonts w:ascii="Times New Roman" w:hAnsi="Times New Roman" w:eastAsia="宋体"/>
          <w:color w:val="auto"/>
          <w:sz w:val="36"/>
          <w:szCs w:val="36"/>
          <w:highlight w:val="none"/>
        </w:rPr>
      </w:pPr>
    </w:p>
    <w:bookmarkEnd w:id="1"/>
    <w:p w14:paraId="3FAD06CD">
      <w:pPr>
        <w:adjustRightInd w:val="0"/>
        <w:snapToGrid w:val="0"/>
        <w:spacing w:line="288" w:lineRule="auto"/>
        <w:jc w:val="center"/>
        <w:rPr>
          <w:rFonts w:ascii="Times New Roman" w:hAnsi="Times New Roman" w:eastAsia="宋体"/>
          <w:color w:val="auto"/>
          <w:sz w:val="36"/>
          <w:szCs w:val="36"/>
          <w:highlight w:val="none"/>
        </w:rPr>
      </w:pPr>
      <w:r>
        <w:rPr>
          <w:rFonts w:hint="eastAsia" w:ascii="Times New Roman" w:hAnsi="Times New Roman" w:eastAsia="宋体"/>
          <w:color w:val="auto"/>
          <w:sz w:val="36"/>
          <w:szCs w:val="36"/>
          <w:highlight w:val="none"/>
        </w:rPr>
        <w:t>中华人民共和国生态环境部制</w:t>
      </w:r>
      <w:r>
        <w:rPr>
          <w:rFonts w:ascii="Times New Roman" w:hAnsi="Times New Roman" w:eastAsia="宋体"/>
          <w:color w:val="auto"/>
          <w:sz w:val="36"/>
          <w:szCs w:val="36"/>
          <w:highlight w:val="none"/>
        </w:rPr>
        <w:br w:type="page"/>
      </w:r>
    </w:p>
    <w:p w14:paraId="425AFC04">
      <w:pPr>
        <w:pStyle w:val="27"/>
        <w:spacing w:before="0" w:beforeAutospacing="0" w:after="0" w:afterAutospacing="0"/>
        <w:jc w:val="center"/>
        <w:outlineLvl w:val="0"/>
        <w:rPr>
          <w:rFonts w:ascii="Times New Roman" w:hAnsi="Times New Roman"/>
          <w:b/>
          <w:snapToGrid w:val="0"/>
          <w:color w:val="auto"/>
          <w:sz w:val="30"/>
          <w:szCs w:val="30"/>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bookmarkStart w:id="2" w:name="_Toc31990"/>
    </w:p>
    <w:p w14:paraId="3DC0D059">
      <w:pPr>
        <w:pStyle w:val="27"/>
        <w:spacing w:before="0" w:beforeAutospacing="0" w:after="0" w:afterAutospacing="0"/>
        <w:jc w:val="center"/>
        <w:outlineLvl w:val="0"/>
        <w:rPr>
          <w:rFonts w:hint="eastAsia" w:ascii="Times New Roman" w:hAnsi="Times New Roman" w:eastAsia="宋体"/>
          <w:b/>
          <w:snapToGrid w:val="0"/>
          <w:color w:val="auto"/>
          <w:sz w:val="30"/>
          <w:szCs w:val="30"/>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color w:val="auto"/>
        </w:rPr>
        <w:drawing>
          <wp:inline distT="0" distB="0" distL="114300" distR="114300">
            <wp:extent cx="5390515" cy="7216140"/>
            <wp:effectExtent l="0" t="0" r="635" b="3810"/>
            <wp:docPr id="6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8"/>
                    <pic:cNvPicPr>
                      <a:picLocks noChangeAspect="1"/>
                    </pic:cNvPicPr>
                  </pic:nvPicPr>
                  <pic:blipFill>
                    <a:blip r:embed="rId8"/>
                    <a:stretch>
                      <a:fillRect/>
                    </a:stretch>
                  </pic:blipFill>
                  <pic:spPr>
                    <a:xfrm>
                      <a:off x="0" y="0"/>
                      <a:ext cx="5390515" cy="7216140"/>
                    </a:xfrm>
                    <a:prstGeom prst="rect">
                      <a:avLst/>
                    </a:prstGeom>
                    <a:noFill/>
                    <a:ln>
                      <a:noFill/>
                    </a:ln>
                  </pic:spPr>
                </pic:pic>
              </a:graphicData>
            </a:graphic>
          </wp:inline>
        </w:drawing>
      </w:r>
    </w:p>
    <w:p w14:paraId="548207D5">
      <w:pPr>
        <w:pStyle w:val="27"/>
        <w:spacing w:before="0" w:beforeAutospacing="0" w:after="0" w:afterAutospacing="0"/>
        <w:jc w:val="center"/>
        <w:outlineLvl w:val="0"/>
        <w:rPr>
          <w:rFonts w:hint="eastAsia" w:ascii="Times New Roman" w:hAnsi="Times New Roman" w:eastAsia="宋体" w:cs="Times New Roman"/>
          <w:b/>
          <w:snapToGrid w:val="0"/>
          <w:color w:val="auto"/>
          <w:kern w:val="0"/>
          <w:sz w:val="30"/>
          <w:szCs w:val="30"/>
          <w:highlight w:val="none"/>
          <w:lang w:val="en-US" w:eastAsia="zh-CN" w:bidi="ar-SA"/>
        </w:rPr>
      </w:pPr>
      <w:r>
        <w:rPr>
          <w:rFonts w:hint="eastAsia" w:ascii="Times New Roman" w:hAnsi="Times New Roman" w:eastAsia="宋体" w:cs="Times New Roman"/>
          <w:b/>
          <w:snapToGrid w:val="0"/>
          <w:color w:val="auto"/>
          <w:kern w:val="0"/>
          <w:sz w:val="30"/>
          <w:szCs w:val="30"/>
          <w:highlight w:val="none"/>
          <w:lang w:val="en-US" w:eastAsia="zh-CN" w:bidi="ar-SA"/>
        </w:rPr>
        <w:t>一、建设项目基本情况</w:t>
      </w:r>
      <w:bookmarkEnd w:id="2"/>
    </w:p>
    <w:tbl>
      <w:tblPr>
        <w:tblStyle w:val="32"/>
        <w:tblW w:w="88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1108"/>
        <w:gridCol w:w="2414"/>
        <w:gridCol w:w="1944"/>
        <w:gridCol w:w="3422"/>
      </w:tblGrid>
      <w:tr w14:paraId="0A5AAD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108" w:type="dxa"/>
            <w:tcBorders>
              <w:tl2br w:val="nil"/>
              <w:tr2bl w:val="nil"/>
            </w:tcBorders>
            <w:tcMar>
              <w:top w:w="16" w:type="dxa"/>
              <w:left w:w="16" w:type="dxa"/>
              <w:right w:w="16" w:type="dxa"/>
            </w:tcMar>
            <w:vAlign w:val="center"/>
          </w:tcPr>
          <w:p w14:paraId="63AFF6E3">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建设项目名称</w:t>
            </w:r>
          </w:p>
        </w:tc>
        <w:tc>
          <w:tcPr>
            <w:tcW w:w="7780" w:type="dxa"/>
            <w:gridSpan w:val="3"/>
            <w:tcBorders>
              <w:tl2br w:val="nil"/>
              <w:tr2bl w:val="nil"/>
            </w:tcBorders>
            <w:vAlign w:val="center"/>
          </w:tcPr>
          <w:p w14:paraId="2C3B1A7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lang w:val="en-US"/>
              </w:rPr>
            </w:pPr>
            <w:r>
              <w:rPr>
                <w:rFonts w:hint="eastAsia" w:cs="Times New Roman"/>
                <w:color w:val="auto"/>
                <w:sz w:val="22"/>
                <w:szCs w:val="22"/>
                <w:highlight w:val="none"/>
                <w:lang w:val="en-US" w:eastAsia="zh-CN"/>
              </w:rPr>
              <w:t>双鸭山市尖山区众诚种植养殖农民专业合作社新建项目</w:t>
            </w:r>
          </w:p>
        </w:tc>
      </w:tr>
      <w:tr w14:paraId="392945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1" w:hRule="atLeast"/>
          <w:jc w:val="center"/>
        </w:trPr>
        <w:tc>
          <w:tcPr>
            <w:tcW w:w="1108" w:type="dxa"/>
            <w:tcBorders>
              <w:tl2br w:val="nil"/>
              <w:tr2bl w:val="nil"/>
            </w:tcBorders>
            <w:tcMar>
              <w:top w:w="16" w:type="dxa"/>
              <w:left w:w="16" w:type="dxa"/>
              <w:right w:w="16" w:type="dxa"/>
            </w:tcMar>
            <w:vAlign w:val="center"/>
          </w:tcPr>
          <w:p w14:paraId="18F9F0C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项目代码</w:t>
            </w:r>
          </w:p>
        </w:tc>
        <w:tc>
          <w:tcPr>
            <w:tcW w:w="7780" w:type="dxa"/>
            <w:gridSpan w:val="3"/>
            <w:tcBorders>
              <w:tl2br w:val="nil"/>
              <w:tr2bl w:val="nil"/>
            </w:tcBorders>
            <w:vAlign w:val="center"/>
          </w:tcPr>
          <w:p w14:paraId="3340AB7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lang w:val="en-US" w:eastAsia="zh-CN"/>
              </w:rPr>
            </w:pPr>
            <w:r>
              <w:rPr>
                <w:rFonts w:hint="eastAsia" w:cs="Times New Roman"/>
                <w:color w:val="auto"/>
                <w:sz w:val="22"/>
                <w:szCs w:val="22"/>
                <w:highlight w:val="none"/>
                <w:lang w:val="en-US" w:eastAsia="zh-CN"/>
              </w:rPr>
              <w:t>/</w:t>
            </w:r>
          </w:p>
        </w:tc>
      </w:tr>
      <w:tr w14:paraId="44B38E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108" w:type="dxa"/>
            <w:tcBorders>
              <w:tl2br w:val="nil"/>
              <w:tr2bl w:val="nil"/>
            </w:tcBorders>
            <w:tcMar>
              <w:top w:w="16" w:type="dxa"/>
              <w:left w:w="16" w:type="dxa"/>
              <w:right w:w="16" w:type="dxa"/>
            </w:tcMar>
            <w:vAlign w:val="center"/>
          </w:tcPr>
          <w:p w14:paraId="037B37E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建设单位联系人</w:t>
            </w:r>
          </w:p>
        </w:tc>
        <w:tc>
          <w:tcPr>
            <w:tcW w:w="2414" w:type="dxa"/>
            <w:tcBorders>
              <w:tl2br w:val="nil"/>
              <w:tr2bl w:val="nil"/>
            </w:tcBorders>
            <w:vAlign w:val="center"/>
          </w:tcPr>
          <w:p w14:paraId="52EE86B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eastAsia"/>
                <w:b w:val="0"/>
                <w:bCs w:val="0"/>
                <w:color w:val="auto"/>
                <w:sz w:val="24"/>
                <w:szCs w:val="24"/>
                <w:highlight w:val="none"/>
                <w:lang w:val="en-US" w:eastAsia="zh-CN"/>
              </w:rPr>
              <w:t>栾亮</w:t>
            </w:r>
          </w:p>
        </w:tc>
        <w:tc>
          <w:tcPr>
            <w:tcW w:w="1944" w:type="dxa"/>
            <w:tcBorders>
              <w:tl2br w:val="nil"/>
              <w:tr2bl w:val="nil"/>
            </w:tcBorders>
            <w:vAlign w:val="center"/>
          </w:tcPr>
          <w:p w14:paraId="3D12C8D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联系方式</w:t>
            </w:r>
          </w:p>
        </w:tc>
        <w:tc>
          <w:tcPr>
            <w:tcW w:w="3422" w:type="dxa"/>
            <w:tcBorders>
              <w:tl2br w:val="nil"/>
              <w:tr2bl w:val="nil"/>
            </w:tcBorders>
            <w:vAlign w:val="center"/>
          </w:tcPr>
          <w:p w14:paraId="728095A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auto"/>
                <w:sz w:val="22"/>
                <w:szCs w:val="22"/>
                <w:highlight w:val="none"/>
                <w:lang w:eastAsia="zh-CN"/>
              </w:rPr>
            </w:pPr>
            <w:r>
              <w:rPr>
                <w:rFonts w:hint="eastAsia"/>
                <w:b w:val="0"/>
                <w:bCs w:val="0"/>
                <w:color w:val="auto"/>
                <w:sz w:val="24"/>
                <w:szCs w:val="24"/>
                <w:highlight w:val="none"/>
                <w:lang w:val="en-US" w:eastAsia="zh-CN"/>
              </w:rPr>
              <w:t>13895890999</w:t>
            </w:r>
          </w:p>
        </w:tc>
      </w:tr>
      <w:tr w14:paraId="0A4361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787" w:hRule="atLeast"/>
          <w:jc w:val="center"/>
        </w:trPr>
        <w:tc>
          <w:tcPr>
            <w:tcW w:w="1108" w:type="dxa"/>
            <w:tcBorders>
              <w:tl2br w:val="nil"/>
              <w:tr2bl w:val="nil"/>
            </w:tcBorders>
            <w:tcMar>
              <w:top w:w="16" w:type="dxa"/>
              <w:left w:w="16" w:type="dxa"/>
              <w:right w:w="16" w:type="dxa"/>
            </w:tcMar>
            <w:vAlign w:val="center"/>
          </w:tcPr>
          <w:p w14:paraId="14F2891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建设地点</w:t>
            </w:r>
          </w:p>
        </w:tc>
        <w:tc>
          <w:tcPr>
            <w:tcW w:w="7780" w:type="dxa"/>
            <w:gridSpan w:val="3"/>
            <w:tcBorders>
              <w:tl2br w:val="nil"/>
              <w:tr2bl w:val="nil"/>
            </w:tcBorders>
            <w:vAlign w:val="center"/>
          </w:tcPr>
          <w:p w14:paraId="414FCD4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eastAsia" w:cs="Times New Roman"/>
                <w:color w:val="auto"/>
                <w:sz w:val="22"/>
                <w:szCs w:val="22"/>
                <w:highlight w:val="none"/>
                <w:lang w:val="en-US" w:eastAsia="zh-CN"/>
              </w:rPr>
              <w:t>黑龙江省双鸭山市尖山区安邦乡公立村</w:t>
            </w:r>
          </w:p>
        </w:tc>
      </w:tr>
      <w:tr w14:paraId="6ECFB6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12" w:hRule="atLeast"/>
          <w:jc w:val="center"/>
        </w:trPr>
        <w:tc>
          <w:tcPr>
            <w:tcW w:w="1108" w:type="dxa"/>
            <w:tcBorders>
              <w:tl2br w:val="nil"/>
              <w:tr2bl w:val="nil"/>
            </w:tcBorders>
            <w:tcMar>
              <w:top w:w="16" w:type="dxa"/>
              <w:left w:w="16" w:type="dxa"/>
              <w:right w:w="16" w:type="dxa"/>
            </w:tcMar>
            <w:vAlign w:val="center"/>
          </w:tcPr>
          <w:p w14:paraId="6EEA3D3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地理坐标</w:t>
            </w:r>
          </w:p>
        </w:tc>
        <w:tc>
          <w:tcPr>
            <w:tcW w:w="7780" w:type="dxa"/>
            <w:gridSpan w:val="3"/>
            <w:tcBorders>
              <w:tl2br w:val="nil"/>
              <w:tr2bl w:val="nil"/>
            </w:tcBorders>
            <w:vAlign w:val="center"/>
          </w:tcPr>
          <w:p w14:paraId="1B5C228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 xml:space="preserve">（ </w:t>
            </w:r>
            <w:r>
              <w:rPr>
                <w:rFonts w:hint="eastAsia" w:cs="Times New Roman"/>
                <w:color w:val="auto"/>
                <w:sz w:val="22"/>
                <w:szCs w:val="22"/>
                <w:highlight w:val="none"/>
                <w:lang w:val="en-US" w:eastAsia="zh-CN"/>
              </w:rPr>
              <w:t>131</w:t>
            </w:r>
            <w:r>
              <w:rPr>
                <w:rFonts w:hint="default" w:ascii="Times New Roman" w:hAnsi="Times New Roman" w:eastAsia="宋体" w:cs="Times New Roman"/>
                <w:color w:val="auto"/>
                <w:sz w:val="22"/>
                <w:szCs w:val="22"/>
                <w:highlight w:val="none"/>
              </w:rPr>
              <w:t xml:space="preserve"> 度 </w:t>
            </w:r>
            <w:r>
              <w:rPr>
                <w:rFonts w:hint="eastAsia" w:cs="Times New Roman"/>
                <w:color w:val="auto"/>
                <w:sz w:val="22"/>
                <w:szCs w:val="22"/>
                <w:highlight w:val="none"/>
                <w:lang w:val="en-US" w:eastAsia="zh-CN"/>
              </w:rPr>
              <w:t>10</w:t>
            </w:r>
            <w:r>
              <w:rPr>
                <w:rFonts w:hint="default" w:ascii="Times New Roman" w:hAnsi="Times New Roman" w:eastAsia="宋体" w:cs="Times New Roman"/>
                <w:color w:val="auto"/>
                <w:sz w:val="22"/>
                <w:szCs w:val="22"/>
                <w:highlight w:val="none"/>
              </w:rPr>
              <w:t xml:space="preserve"> 分 </w:t>
            </w:r>
            <w:r>
              <w:rPr>
                <w:rFonts w:hint="eastAsia" w:cs="Times New Roman"/>
                <w:color w:val="auto"/>
                <w:sz w:val="22"/>
                <w:szCs w:val="22"/>
                <w:highlight w:val="none"/>
                <w:lang w:val="en-US" w:eastAsia="zh-CN"/>
              </w:rPr>
              <w:t>22.248</w:t>
            </w:r>
            <w:r>
              <w:rPr>
                <w:rFonts w:hint="default" w:ascii="Times New Roman" w:hAnsi="Times New Roman" w:eastAsia="宋体" w:cs="Times New Roman"/>
                <w:color w:val="auto"/>
                <w:sz w:val="22"/>
                <w:szCs w:val="22"/>
                <w:highlight w:val="none"/>
              </w:rPr>
              <w:t xml:space="preserve"> 秒， 4</w:t>
            </w:r>
            <w:r>
              <w:rPr>
                <w:rFonts w:hint="eastAsia" w:cs="Times New Roman"/>
                <w:color w:val="auto"/>
                <w:sz w:val="22"/>
                <w:szCs w:val="22"/>
                <w:highlight w:val="none"/>
                <w:lang w:val="en-US" w:eastAsia="zh-CN"/>
              </w:rPr>
              <w:t>6</w:t>
            </w:r>
            <w:r>
              <w:rPr>
                <w:rFonts w:hint="default" w:ascii="Times New Roman" w:hAnsi="Times New Roman" w:eastAsia="宋体" w:cs="Times New Roman"/>
                <w:color w:val="auto"/>
                <w:sz w:val="22"/>
                <w:szCs w:val="22"/>
                <w:highlight w:val="none"/>
              </w:rPr>
              <w:t xml:space="preserve"> 度 </w:t>
            </w:r>
            <w:r>
              <w:rPr>
                <w:rFonts w:hint="eastAsia" w:cs="Times New Roman"/>
                <w:color w:val="auto"/>
                <w:sz w:val="22"/>
                <w:szCs w:val="22"/>
                <w:highlight w:val="none"/>
                <w:lang w:val="en-US" w:eastAsia="zh-CN"/>
              </w:rPr>
              <w:t>41</w:t>
            </w:r>
            <w:r>
              <w:rPr>
                <w:rFonts w:hint="default" w:ascii="Times New Roman" w:hAnsi="Times New Roman" w:eastAsia="宋体" w:cs="Times New Roman"/>
                <w:color w:val="auto"/>
                <w:sz w:val="22"/>
                <w:szCs w:val="22"/>
                <w:highlight w:val="none"/>
              </w:rPr>
              <w:t xml:space="preserve"> 分 </w:t>
            </w:r>
            <w:r>
              <w:rPr>
                <w:rFonts w:hint="eastAsia" w:cs="Times New Roman"/>
                <w:color w:val="auto"/>
                <w:sz w:val="22"/>
                <w:szCs w:val="22"/>
                <w:highlight w:val="none"/>
                <w:lang w:val="en-US" w:eastAsia="zh-CN"/>
              </w:rPr>
              <w:t>24.468</w:t>
            </w:r>
            <w:r>
              <w:rPr>
                <w:rFonts w:hint="default" w:ascii="Times New Roman" w:hAnsi="Times New Roman" w:eastAsia="宋体" w:cs="Times New Roman"/>
                <w:color w:val="auto"/>
                <w:sz w:val="22"/>
                <w:szCs w:val="22"/>
                <w:highlight w:val="none"/>
              </w:rPr>
              <w:t xml:space="preserve"> 秒）</w:t>
            </w:r>
          </w:p>
        </w:tc>
      </w:tr>
      <w:tr w14:paraId="135843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108" w:type="dxa"/>
            <w:tcBorders>
              <w:tl2br w:val="nil"/>
              <w:tr2bl w:val="nil"/>
            </w:tcBorders>
            <w:tcMar>
              <w:top w:w="16" w:type="dxa"/>
              <w:left w:w="16" w:type="dxa"/>
              <w:right w:w="16" w:type="dxa"/>
            </w:tcMar>
            <w:vAlign w:val="center"/>
          </w:tcPr>
          <w:p w14:paraId="532B98C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国民经济</w:t>
            </w:r>
          </w:p>
          <w:p w14:paraId="2A39D2C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行业类别</w:t>
            </w:r>
          </w:p>
        </w:tc>
        <w:tc>
          <w:tcPr>
            <w:tcW w:w="2414" w:type="dxa"/>
            <w:tcBorders>
              <w:tl2br w:val="nil"/>
              <w:tr2bl w:val="nil"/>
            </w:tcBorders>
            <w:vAlign w:val="center"/>
          </w:tcPr>
          <w:p w14:paraId="4200802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color w:val="auto"/>
              </w:rPr>
            </w:pPr>
            <w:r>
              <w:rPr>
                <w:rFonts w:hint="eastAsia"/>
                <w:color w:val="auto"/>
              </w:rPr>
              <w:t>C139</w:t>
            </w:r>
            <w:r>
              <w:rPr>
                <w:rFonts w:hint="eastAsia"/>
                <w:color w:val="auto"/>
                <w:lang w:val="en-US" w:eastAsia="zh-CN"/>
              </w:rPr>
              <w:t>9</w:t>
            </w:r>
            <w:r>
              <w:rPr>
                <w:rFonts w:hint="eastAsia"/>
                <w:color w:val="auto"/>
              </w:rPr>
              <w:t>其他未列明农副食品加工</w:t>
            </w:r>
          </w:p>
          <w:p w14:paraId="5C1F2CC2">
            <w:pPr>
              <w:pStyle w:val="2"/>
              <w:rPr>
                <w:rFonts w:hint="default"/>
                <w:color w:val="auto"/>
              </w:rPr>
            </w:pPr>
            <w:r>
              <w:rPr>
                <w:rFonts w:hint="default" w:ascii="Times New Roman" w:hAnsi="Times New Roman" w:eastAsia="宋体" w:cs="Times New Roman"/>
                <w:color w:val="auto"/>
                <w:sz w:val="22"/>
                <w:szCs w:val="22"/>
                <w:lang w:val="en-US" w:eastAsia="zh-CN"/>
              </w:rPr>
              <w:t>D4430热力生产和供应</w:t>
            </w:r>
          </w:p>
        </w:tc>
        <w:tc>
          <w:tcPr>
            <w:tcW w:w="1944" w:type="dxa"/>
            <w:tcBorders>
              <w:tl2br w:val="nil"/>
              <w:tr2bl w:val="nil"/>
            </w:tcBorders>
            <w:vAlign w:val="center"/>
          </w:tcPr>
          <w:p w14:paraId="2DB51A4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bookmarkStart w:id="3" w:name="_Hlk49843745"/>
            <w:r>
              <w:rPr>
                <w:rFonts w:hint="default" w:ascii="Times New Roman" w:hAnsi="Times New Roman" w:eastAsia="宋体" w:cs="Times New Roman"/>
                <w:color w:val="auto"/>
                <w:sz w:val="22"/>
                <w:szCs w:val="22"/>
                <w:highlight w:val="none"/>
              </w:rPr>
              <w:t>建设项目</w:t>
            </w:r>
          </w:p>
          <w:p w14:paraId="32AA240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行业类别</w:t>
            </w:r>
            <w:bookmarkEnd w:id="3"/>
          </w:p>
        </w:tc>
        <w:tc>
          <w:tcPr>
            <w:tcW w:w="3422" w:type="dxa"/>
            <w:tcBorders>
              <w:tl2br w:val="nil"/>
              <w:tr2bl w:val="nil"/>
            </w:tcBorders>
            <w:vAlign w:val="center"/>
          </w:tcPr>
          <w:p w14:paraId="04AC14B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lang w:val="en-US" w:eastAsia="zh-CN"/>
              </w:rPr>
              <w:t>四十一、电力、热力生产和供应业热力生产和供应工程（包括建设单位自建自用的供热工程）</w:t>
            </w:r>
          </w:p>
        </w:tc>
      </w:tr>
      <w:tr w14:paraId="4FBDD8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108" w:type="dxa"/>
            <w:tcBorders>
              <w:tl2br w:val="nil"/>
              <w:tr2bl w:val="nil"/>
            </w:tcBorders>
            <w:tcMar>
              <w:top w:w="16" w:type="dxa"/>
              <w:left w:w="16" w:type="dxa"/>
              <w:right w:w="16" w:type="dxa"/>
            </w:tcMar>
            <w:vAlign w:val="center"/>
          </w:tcPr>
          <w:p w14:paraId="0A0154E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建设性质</w:t>
            </w:r>
          </w:p>
        </w:tc>
        <w:tc>
          <w:tcPr>
            <w:tcW w:w="2414" w:type="dxa"/>
            <w:tcBorders>
              <w:tl2br w:val="nil"/>
              <w:tr2bl w:val="nil"/>
            </w:tcBorders>
            <w:vAlign w:val="center"/>
          </w:tcPr>
          <w:p w14:paraId="17ADAAA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sz w:val="22"/>
                <w:szCs w:val="22"/>
                <w:highlight w:val="none"/>
              </w:rPr>
            </w:pPr>
            <w:r>
              <w:rPr>
                <w:rFonts w:hint="eastAsia" w:cs="Times New Roman"/>
                <w:color w:val="auto"/>
                <w:sz w:val="22"/>
                <w:szCs w:val="22"/>
                <w:highlight w:val="none"/>
                <w:lang w:eastAsia="zh-CN"/>
              </w:rPr>
              <w:t>☑</w:t>
            </w:r>
            <w:r>
              <w:rPr>
                <w:rFonts w:hint="default" w:ascii="Times New Roman" w:hAnsi="Times New Roman" w:eastAsia="宋体" w:cs="Times New Roman"/>
                <w:color w:val="auto"/>
                <w:sz w:val="22"/>
                <w:szCs w:val="22"/>
                <w:highlight w:val="none"/>
              </w:rPr>
              <w:t>新建（迁建）</w:t>
            </w:r>
          </w:p>
          <w:p w14:paraId="6B3511E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sz w:val="22"/>
                <w:szCs w:val="22"/>
                <w:highlight w:val="none"/>
              </w:rPr>
            </w:pPr>
            <w:r>
              <w:rPr>
                <w:rFonts w:hint="eastAsia" w:cs="Times New Roman"/>
                <w:color w:val="auto"/>
                <w:sz w:val="22"/>
                <w:szCs w:val="22"/>
                <w:highlight w:val="none"/>
                <w:lang w:eastAsia="zh-CN"/>
              </w:rPr>
              <w:t>□</w:t>
            </w:r>
            <w:r>
              <w:rPr>
                <w:rFonts w:hint="default" w:ascii="Times New Roman" w:hAnsi="Times New Roman" w:eastAsia="宋体" w:cs="Times New Roman"/>
                <w:color w:val="auto"/>
                <w:sz w:val="22"/>
                <w:szCs w:val="22"/>
                <w:highlight w:val="none"/>
              </w:rPr>
              <w:t>改建</w:t>
            </w:r>
          </w:p>
          <w:p w14:paraId="041D6DF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sz w:val="22"/>
                <w:szCs w:val="22"/>
                <w:highlight w:val="none"/>
              </w:rPr>
            </w:pPr>
            <w:r>
              <w:rPr>
                <w:rFonts w:hint="eastAsia" w:cs="Times New Roman"/>
                <w:color w:val="auto"/>
                <w:sz w:val="22"/>
                <w:szCs w:val="22"/>
                <w:highlight w:val="none"/>
                <w:lang w:eastAsia="zh-CN"/>
              </w:rPr>
              <w:t>□</w:t>
            </w:r>
            <w:r>
              <w:rPr>
                <w:rFonts w:hint="default" w:ascii="Times New Roman" w:hAnsi="Times New Roman" w:eastAsia="宋体" w:cs="Times New Roman"/>
                <w:color w:val="auto"/>
                <w:sz w:val="22"/>
                <w:szCs w:val="22"/>
                <w:highlight w:val="none"/>
              </w:rPr>
              <w:t>扩建</w:t>
            </w:r>
          </w:p>
          <w:p w14:paraId="60573B7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sz w:val="22"/>
                <w:szCs w:val="22"/>
                <w:highlight w:val="none"/>
              </w:rPr>
            </w:pPr>
            <w:r>
              <w:rPr>
                <w:rFonts w:hint="eastAsia" w:cs="Times New Roman"/>
                <w:color w:val="auto"/>
                <w:sz w:val="22"/>
                <w:szCs w:val="22"/>
                <w:highlight w:val="none"/>
                <w:lang w:eastAsia="zh-CN"/>
              </w:rPr>
              <w:t>□</w:t>
            </w:r>
            <w:r>
              <w:rPr>
                <w:rFonts w:hint="default" w:ascii="Times New Roman" w:hAnsi="Times New Roman" w:eastAsia="宋体" w:cs="Times New Roman"/>
                <w:color w:val="auto"/>
                <w:sz w:val="22"/>
                <w:szCs w:val="22"/>
                <w:highlight w:val="none"/>
              </w:rPr>
              <w:t>技术改造</w:t>
            </w:r>
          </w:p>
        </w:tc>
        <w:tc>
          <w:tcPr>
            <w:tcW w:w="1944" w:type="dxa"/>
            <w:tcBorders>
              <w:tl2br w:val="nil"/>
              <w:tr2bl w:val="nil"/>
            </w:tcBorders>
            <w:vAlign w:val="center"/>
          </w:tcPr>
          <w:p w14:paraId="6619022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建设项目</w:t>
            </w:r>
          </w:p>
          <w:p w14:paraId="71A526A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申报情形</w:t>
            </w:r>
          </w:p>
        </w:tc>
        <w:tc>
          <w:tcPr>
            <w:tcW w:w="3422" w:type="dxa"/>
            <w:tcBorders>
              <w:tl2br w:val="nil"/>
              <w:tr2bl w:val="nil"/>
            </w:tcBorders>
            <w:vAlign w:val="center"/>
          </w:tcPr>
          <w:p w14:paraId="6EDAC14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sz w:val="22"/>
                <w:szCs w:val="22"/>
                <w:highlight w:val="none"/>
              </w:rPr>
            </w:pPr>
            <w:r>
              <w:rPr>
                <w:rFonts w:hint="eastAsia" w:cs="Times New Roman"/>
                <w:color w:val="auto"/>
                <w:sz w:val="22"/>
                <w:szCs w:val="22"/>
                <w:highlight w:val="none"/>
                <w:lang w:eastAsia="zh-CN"/>
              </w:rPr>
              <w:t>☑</w:t>
            </w:r>
            <w:r>
              <w:rPr>
                <w:rFonts w:hint="default" w:ascii="Times New Roman" w:hAnsi="Times New Roman" w:eastAsia="宋体" w:cs="Times New Roman"/>
                <w:color w:val="auto"/>
                <w:sz w:val="22"/>
                <w:szCs w:val="22"/>
                <w:highlight w:val="none"/>
              </w:rPr>
              <w:t>首次申报项目</w:t>
            </w:r>
          </w:p>
          <w:p w14:paraId="18CBF89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sz w:val="22"/>
                <w:szCs w:val="22"/>
                <w:highlight w:val="none"/>
              </w:rPr>
            </w:pPr>
            <w:r>
              <w:rPr>
                <w:rFonts w:hint="eastAsia" w:cs="Times New Roman"/>
                <w:color w:val="auto"/>
                <w:sz w:val="22"/>
                <w:szCs w:val="22"/>
                <w:highlight w:val="none"/>
                <w:lang w:eastAsia="zh-CN"/>
              </w:rPr>
              <w:t>□</w:t>
            </w:r>
            <w:r>
              <w:rPr>
                <w:rFonts w:hint="default" w:ascii="Times New Roman" w:hAnsi="Times New Roman" w:eastAsia="宋体" w:cs="Times New Roman"/>
                <w:color w:val="auto"/>
                <w:sz w:val="22"/>
                <w:szCs w:val="22"/>
                <w:highlight w:val="none"/>
              </w:rPr>
              <w:t>不予批准后再次申报项目</w:t>
            </w:r>
          </w:p>
          <w:p w14:paraId="5A34C6C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sz w:val="22"/>
                <w:szCs w:val="22"/>
                <w:highlight w:val="none"/>
              </w:rPr>
            </w:pPr>
            <w:r>
              <w:rPr>
                <w:rFonts w:hint="eastAsia" w:cs="Times New Roman"/>
                <w:color w:val="auto"/>
                <w:sz w:val="22"/>
                <w:szCs w:val="22"/>
                <w:highlight w:val="none"/>
                <w:lang w:eastAsia="zh-CN"/>
              </w:rPr>
              <w:t>□</w:t>
            </w:r>
            <w:r>
              <w:rPr>
                <w:rFonts w:hint="default" w:ascii="Times New Roman" w:hAnsi="Times New Roman" w:eastAsia="宋体" w:cs="Times New Roman"/>
                <w:color w:val="auto"/>
                <w:sz w:val="22"/>
                <w:szCs w:val="22"/>
                <w:highlight w:val="none"/>
              </w:rPr>
              <w:t>超五年重新审核项目</w:t>
            </w:r>
          </w:p>
          <w:p w14:paraId="75EA845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sz w:val="22"/>
                <w:szCs w:val="22"/>
                <w:highlight w:val="none"/>
              </w:rPr>
            </w:pPr>
            <w:r>
              <w:rPr>
                <w:rFonts w:hint="eastAsia" w:cs="Times New Roman"/>
                <w:color w:val="auto"/>
                <w:sz w:val="22"/>
                <w:szCs w:val="22"/>
                <w:highlight w:val="none"/>
                <w:lang w:eastAsia="zh-CN"/>
              </w:rPr>
              <w:t>□</w:t>
            </w:r>
            <w:r>
              <w:rPr>
                <w:rFonts w:hint="default" w:ascii="Times New Roman" w:hAnsi="Times New Roman" w:eastAsia="宋体" w:cs="Times New Roman"/>
                <w:color w:val="auto"/>
                <w:sz w:val="22"/>
                <w:szCs w:val="22"/>
                <w:highlight w:val="none"/>
              </w:rPr>
              <w:t>重大变动</w:t>
            </w:r>
            <w:r>
              <w:rPr>
                <w:rFonts w:hint="eastAsia" w:ascii="Times New Roman" w:hAnsi="Times New Roman" w:eastAsia="宋体" w:cs="Times New Roman"/>
                <w:color w:val="auto"/>
                <w:sz w:val="22"/>
                <w:szCs w:val="22"/>
                <w:highlight w:val="none"/>
              </w:rPr>
              <w:t>重新报批</w:t>
            </w:r>
            <w:r>
              <w:rPr>
                <w:rFonts w:hint="default" w:ascii="Times New Roman" w:hAnsi="Times New Roman" w:eastAsia="宋体" w:cs="Times New Roman"/>
                <w:color w:val="auto"/>
                <w:sz w:val="22"/>
                <w:szCs w:val="22"/>
                <w:highlight w:val="none"/>
              </w:rPr>
              <w:t>项目</w:t>
            </w:r>
          </w:p>
        </w:tc>
      </w:tr>
      <w:tr w14:paraId="556FB0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108" w:type="dxa"/>
            <w:tcBorders>
              <w:tl2br w:val="nil"/>
              <w:tr2bl w:val="nil"/>
            </w:tcBorders>
            <w:tcMar>
              <w:top w:w="16" w:type="dxa"/>
              <w:left w:w="16" w:type="dxa"/>
              <w:right w:w="16" w:type="dxa"/>
            </w:tcMar>
            <w:vAlign w:val="center"/>
          </w:tcPr>
          <w:p w14:paraId="42EB1FA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项目审批（核准/备案）部门</w:t>
            </w:r>
          </w:p>
          <w:p w14:paraId="18E0F39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（选填）</w:t>
            </w:r>
          </w:p>
        </w:tc>
        <w:tc>
          <w:tcPr>
            <w:tcW w:w="2414" w:type="dxa"/>
            <w:tcBorders>
              <w:tl2br w:val="nil"/>
              <w:tr2bl w:val="nil"/>
            </w:tcBorders>
            <w:vAlign w:val="center"/>
          </w:tcPr>
          <w:p w14:paraId="4251C2F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auto"/>
                <w:sz w:val="22"/>
                <w:szCs w:val="22"/>
                <w:highlight w:val="none"/>
                <w:lang w:val="en-US" w:eastAsia="zh-CN"/>
              </w:rPr>
            </w:pPr>
            <w:r>
              <w:rPr>
                <w:rFonts w:hint="eastAsia" w:cs="Times New Roman"/>
                <w:color w:val="auto"/>
                <w:sz w:val="22"/>
                <w:szCs w:val="22"/>
                <w:highlight w:val="none"/>
                <w:lang w:val="en-US" w:eastAsia="zh-CN"/>
              </w:rPr>
              <w:t>/</w:t>
            </w:r>
          </w:p>
        </w:tc>
        <w:tc>
          <w:tcPr>
            <w:tcW w:w="1944" w:type="dxa"/>
            <w:tcBorders>
              <w:tl2br w:val="nil"/>
              <w:tr2bl w:val="nil"/>
            </w:tcBorders>
            <w:vAlign w:val="center"/>
          </w:tcPr>
          <w:p w14:paraId="5F1C7D4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项目审批（核准/备案）文号</w:t>
            </w:r>
          </w:p>
          <w:p w14:paraId="2F6B92A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（选填）</w:t>
            </w:r>
          </w:p>
        </w:tc>
        <w:tc>
          <w:tcPr>
            <w:tcW w:w="3422" w:type="dxa"/>
            <w:tcBorders>
              <w:tl2br w:val="nil"/>
              <w:tr2bl w:val="nil"/>
            </w:tcBorders>
            <w:vAlign w:val="center"/>
          </w:tcPr>
          <w:p w14:paraId="55940D0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auto"/>
                <w:sz w:val="22"/>
                <w:szCs w:val="22"/>
                <w:highlight w:val="none"/>
                <w:lang w:val="en-US" w:eastAsia="zh-CN"/>
              </w:rPr>
            </w:pPr>
            <w:r>
              <w:rPr>
                <w:rFonts w:hint="eastAsia" w:cs="Times New Roman"/>
                <w:color w:val="auto"/>
                <w:sz w:val="22"/>
                <w:szCs w:val="22"/>
                <w:highlight w:val="none"/>
                <w:lang w:val="en-US" w:eastAsia="zh-CN"/>
              </w:rPr>
              <w:t>/</w:t>
            </w:r>
          </w:p>
        </w:tc>
      </w:tr>
      <w:tr w14:paraId="32EE1C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831" w:hRule="atLeast"/>
          <w:jc w:val="center"/>
        </w:trPr>
        <w:tc>
          <w:tcPr>
            <w:tcW w:w="1108" w:type="dxa"/>
            <w:tcBorders>
              <w:tl2br w:val="nil"/>
              <w:tr2bl w:val="nil"/>
            </w:tcBorders>
            <w:tcMar>
              <w:top w:w="16" w:type="dxa"/>
              <w:left w:w="16" w:type="dxa"/>
              <w:right w:w="16" w:type="dxa"/>
            </w:tcMar>
            <w:vAlign w:val="center"/>
          </w:tcPr>
          <w:p w14:paraId="5A6D759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lang w:val="en-US" w:eastAsia="zh-CN"/>
              </w:rPr>
              <w:t>总投资</w:t>
            </w:r>
          </w:p>
          <w:p w14:paraId="6DD6B7A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lang w:val="en-US" w:eastAsia="zh-CN"/>
              </w:rPr>
              <w:t>（万元）</w:t>
            </w:r>
          </w:p>
        </w:tc>
        <w:tc>
          <w:tcPr>
            <w:tcW w:w="2414" w:type="dxa"/>
            <w:tcBorders>
              <w:tl2br w:val="nil"/>
              <w:tr2bl w:val="nil"/>
            </w:tcBorders>
            <w:vAlign w:val="center"/>
          </w:tcPr>
          <w:p w14:paraId="6560B94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lang w:val="en-US" w:eastAsia="zh-CN"/>
              </w:rPr>
            </w:pPr>
            <w:r>
              <w:rPr>
                <w:rFonts w:hint="eastAsia" w:cs="Times New Roman"/>
                <w:color w:val="auto"/>
                <w:sz w:val="22"/>
                <w:szCs w:val="22"/>
                <w:highlight w:val="none"/>
                <w:lang w:val="en-US" w:eastAsia="zh-CN"/>
              </w:rPr>
              <w:t>1000</w:t>
            </w:r>
          </w:p>
        </w:tc>
        <w:tc>
          <w:tcPr>
            <w:tcW w:w="1944" w:type="dxa"/>
            <w:tcBorders>
              <w:tl2br w:val="nil"/>
              <w:tr2bl w:val="nil"/>
            </w:tcBorders>
            <w:tcMar>
              <w:top w:w="16" w:type="dxa"/>
              <w:left w:w="16" w:type="dxa"/>
              <w:right w:w="16" w:type="dxa"/>
            </w:tcMar>
            <w:vAlign w:val="center"/>
          </w:tcPr>
          <w:p w14:paraId="5C99EB2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环保投资</w:t>
            </w:r>
          </w:p>
          <w:p w14:paraId="14CF25A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（万元）</w:t>
            </w:r>
          </w:p>
        </w:tc>
        <w:tc>
          <w:tcPr>
            <w:tcW w:w="3422" w:type="dxa"/>
            <w:tcBorders>
              <w:tl2br w:val="nil"/>
              <w:tr2bl w:val="nil"/>
            </w:tcBorders>
            <w:vAlign w:val="center"/>
          </w:tcPr>
          <w:p w14:paraId="6E81883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lang w:val="en-US" w:eastAsia="zh-CN"/>
              </w:rPr>
            </w:pPr>
            <w:r>
              <w:rPr>
                <w:rFonts w:hint="eastAsia" w:cs="Times New Roman"/>
                <w:color w:val="auto"/>
                <w:sz w:val="22"/>
                <w:szCs w:val="22"/>
                <w:highlight w:val="none"/>
                <w:lang w:val="en-US" w:eastAsia="zh-CN"/>
              </w:rPr>
              <w:t>44.5</w:t>
            </w:r>
          </w:p>
        </w:tc>
      </w:tr>
      <w:tr w14:paraId="71D4E8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056" w:hRule="atLeast"/>
          <w:jc w:val="center"/>
        </w:trPr>
        <w:tc>
          <w:tcPr>
            <w:tcW w:w="1108" w:type="dxa"/>
            <w:tcBorders>
              <w:tl2br w:val="nil"/>
              <w:tr2bl w:val="nil"/>
            </w:tcBorders>
            <w:tcMar>
              <w:top w:w="16" w:type="dxa"/>
              <w:left w:w="16" w:type="dxa"/>
              <w:right w:w="16" w:type="dxa"/>
            </w:tcMar>
            <w:vAlign w:val="center"/>
          </w:tcPr>
          <w:p w14:paraId="012F2A5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环保投资占比（%）</w:t>
            </w:r>
          </w:p>
        </w:tc>
        <w:tc>
          <w:tcPr>
            <w:tcW w:w="2414" w:type="dxa"/>
            <w:tcBorders>
              <w:tl2br w:val="nil"/>
              <w:tr2bl w:val="nil"/>
            </w:tcBorders>
            <w:vAlign w:val="center"/>
          </w:tcPr>
          <w:p w14:paraId="3D3CD33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lang w:val="en-US" w:eastAsia="zh-CN"/>
              </w:rPr>
            </w:pPr>
            <w:r>
              <w:rPr>
                <w:rFonts w:hint="eastAsia" w:cs="Times New Roman"/>
                <w:color w:val="auto"/>
                <w:sz w:val="22"/>
                <w:szCs w:val="22"/>
                <w:highlight w:val="none"/>
                <w:lang w:val="en-US" w:eastAsia="zh-CN"/>
              </w:rPr>
              <w:t>4.45</w:t>
            </w:r>
          </w:p>
        </w:tc>
        <w:tc>
          <w:tcPr>
            <w:tcW w:w="1944" w:type="dxa"/>
            <w:tcBorders>
              <w:tl2br w:val="nil"/>
              <w:tr2bl w:val="nil"/>
            </w:tcBorders>
            <w:tcMar>
              <w:top w:w="16" w:type="dxa"/>
              <w:left w:w="16" w:type="dxa"/>
              <w:right w:w="16" w:type="dxa"/>
            </w:tcMar>
            <w:vAlign w:val="center"/>
          </w:tcPr>
          <w:p w14:paraId="3994CFD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施工工期</w:t>
            </w:r>
          </w:p>
        </w:tc>
        <w:tc>
          <w:tcPr>
            <w:tcW w:w="3422" w:type="dxa"/>
            <w:tcBorders>
              <w:tl2br w:val="nil"/>
              <w:tr2bl w:val="nil"/>
            </w:tcBorders>
            <w:vAlign w:val="center"/>
          </w:tcPr>
          <w:p w14:paraId="6BCBA9F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20</w:t>
            </w:r>
            <w:r>
              <w:rPr>
                <w:rFonts w:hint="eastAsia" w:cs="Times New Roman"/>
                <w:color w:val="auto"/>
                <w:sz w:val="22"/>
                <w:szCs w:val="22"/>
                <w:highlight w:val="none"/>
                <w:lang w:val="en-US" w:eastAsia="zh-CN"/>
              </w:rPr>
              <w:t>26</w:t>
            </w:r>
            <w:r>
              <w:rPr>
                <w:rFonts w:hint="eastAsia" w:ascii="Times New Roman" w:hAnsi="Times New Roman" w:eastAsia="宋体" w:cs="Times New Roman"/>
                <w:color w:val="auto"/>
                <w:sz w:val="22"/>
                <w:szCs w:val="22"/>
                <w:highlight w:val="none"/>
                <w:lang w:val="en-US" w:eastAsia="zh-CN"/>
              </w:rPr>
              <w:t>年</w:t>
            </w:r>
            <w:r>
              <w:rPr>
                <w:rFonts w:hint="eastAsia" w:cs="Times New Roman"/>
                <w:color w:val="auto"/>
                <w:sz w:val="22"/>
                <w:szCs w:val="22"/>
                <w:highlight w:val="none"/>
                <w:lang w:val="en-US" w:eastAsia="zh-CN"/>
              </w:rPr>
              <w:t>1</w:t>
            </w:r>
            <w:r>
              <w:rPr>
                <w:rFonts w:hint="eastAsia" w:ascii="Times New Roman" w:hAnsi="Times New Roman" w:eastAsia="宋体" w:cs="Times New Roman"/>
                <w:color w:val="auto"/>
                <w:sz w:val="22"/>
                <w:szCs w:val="22"/>
                <w:highlight w:val="none"/>
                <w:lang w:val="en-US" w:eastAsia="zh-CN"/>
              </w:rPr>
              <w:t>月</w:t>
            </w:r>
            <w:r>
              <w:rPr>
                <w:rFonts w:hint="eastAsia" w:cs="Times New Roman"/>
                <w:color w:val="auto"/>
                <w:sz w:val="22"/>
                <w:szCs w:val="22"/>
                <w:highlight w:val="none"/>
                <w:lang w:val="en-US" w:eastAsia="zh-CN"/>
              </w:rPr>
              <w:t>~2026年2</w:t>
            </w:r>
            <w:r>
              <w:rPr>
                <w:rFonts w:hint="eastAsia" w:ascii="Times New Roman" w:hAnsi="Times New Roman" w:eastAsia="宋体" w:cs="Times New Roman"/>
                <w:color w:val="auto"/>
                <w:sz w:val="22"/>
                <w:szCs w:val="22"/>
                <w:highlight w:val="none"/>
                <w:lang w:val="en-US" w:eastAsia="zh-CN"/>
              </w:rPr>
              <w:t>月</w:t>
            </w:r>
          </w:p>
        </w:tc>
      </w:tr>
      <w:tr w14:paraId="7E2131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711" w:hRule="atLeast"/>
          <w:jc w:val="center"/>
        </w:trPr>
        <w:tc>
          <w:tcPr>
            <w:tcW w:w="1108" w:type="dxa"/>
            <w:tcBorders>
              <w:tl2br w:val="nil"/>
              <w:tr2bl w:val="nil"/>
            </w:tcBorders>
            <w:tcMar>
              <w:top w:w="16" w:type="dxa"/>
              <w:left w:w="16" w:type="dxa"/>
              <w:right w:w="16" w:type="dxa"/>
            </w:tcMar>
            <w:vAlign w:val="center"/>
          </w:tcPr>
          <w:p w14:paraId="432246C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是否开工建设</w:t>
            </w:r>
          </w:p>
        </w:tc>
        <w:tc>
          <w:tcPr>
            <w:tcW w:w="2414" w:type="dxa"/>
            <w:tcBorders>
              <w:tl2br w:val="nil"/>
              <w:tr2bl w:val="nil"/>
            </w:tcBorders>
            <w:vAlign w:val="center"/>
          </w:tcPr>
          <w:p w14:paraId="27730B6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sz w:val="22"/>
                <w:szCs w:val="22"/>
                <w:highlight w:val="none"/>
              </w:rPr>
            </w:pPr>
            <w:r>
              <w:rPr>
                <w:rFonts w:hint="eastAsia" w:cs="Times New Roman"/>
                <w:color w:val="auto"/>
                <w:sz w:val="22"/>
                <w:szCs w:val="22"/>
                <w:highlight w:val="none"/>
                <w:lang w:eastAsia="zh-CN"/>
              </w:rPr>
              <w:t>□</w:t>
            </w:r>
            <w:r>
              <w:rPr>
                <w:rFonts w:hint="default" w:ascii="Times New Roman" w:hAnsi="Times New Roman" w:eastAsia="宋体" w:cs="Times New Roman"/>
                <w:color w:val="auto"/>
                <w:sz w:val="22"/>
                <w:szCs w:val="22"/>
                <w:highlight w:val="none"/>
              </w:rPr>
              <w:t>否</w:t>
            </w:r>
          </w:p>
          <w:p w14:paraId="3926351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sz w:val="22"/>
                <w:szCs w:val="22"/>
                <w:highlight w:val="none"/>
              </w:rPr>
            </w:pPr>
            <w:r>
              <w:rPr>
                <w:rFonts w:hint="eastAsia" w:cs="Times New Roman"/>
                <w:color w:val="auto"/>
                <w:sz w:val="22"/>
                <w:szCs w:val="22"/>
                <w:highlight w:val="none"/>
                <w:lang w:eastAsia="zh-CN"/>
              </w:rPr>
              <w:sym w:font="Wingdings 2" w:char="0052"/>
            </w:r>
            <w:r>
              <w:rPr>
                <w:rFonts w:hint="default" w:ascii="Times New Roman" w:hAnsi="Times New Roman" w:eastAsia="宋体" w:cs="Times New Roman"/>
                <w:color w:val="auto"/>
                <w:sz w:val="22"/>
                <w:szCs w:val="22"/>
                <w:highlight w:val="none"/>
              </w:rPr>
              <w:t>是</w:t>
            </w:r>
            <w:r>
              <w:rPr>
                <w:rFonts w:hint="eastAsia" w:ascii="Times New Roman" w:hAnsi="Times New Roman" w:eastAsia="宋体" w:cs="Times New Roman"/>
                <w:color w:val="auto"/>
                <w:sz w:val="22"/>
                <w:szCs w:val="22"/>
                <w:highlight w:val="none"/>
              </w:rPr>
              <w:t>：</w:t>
            </w:r>
            <w:r>
              <w:rPr>
                <w:rFonts w:hint="eastAsia" w:ascii="Times New Roman" w:hAnsi="Times New Roman" w:eastAsia="宋体" w:cs="Times New Roman"/>
                <w:color w:val="auto"/>
                <w:sz w:val="22"/>
                <w:szCs w:val="22"/>
                <w:highlight w:val="none"/>
                <w:u w:val="single"/>
              </w:rPr>
              <w:t>项目于2021年4月开工建设，于2021年6月建设完成。主要建设内容包括：玉米加工车间、库房及加工供热设备。2024年末双鸭山市尖山生态环境局对其检查发现其“未批先建”违法行为，2025年8月双鸭山市尖山生态环境局对该项目“未批先建”行为免于立案处罚。</w:t>
            </w:r>
          </w:p>
        </w:tc>
        <w:tc>
          <w:tcPr>
            <w:tcW w:w="1944" w:type="dxa"/>
            <w:tcBorders>
              <w:tl2br w:val="nil"/>
              <w:tr2bl w:val="nil"/>
            </w:tcBorders>
            <w:tcMar>
              <w:top w:w="16" w:type="dxa"/>
              <w:left w:w="16" w:type="dxa"/>
              <w:right w:w="16" w:type="dxa"/>
            </w:tcMar>
            <w:vAlign w:val="center"/>
          </w:tcPr>
          <w:p w14:paraId="6088CE8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用地（用海）</w:t>
            </w:r>
          </w:p>
          <w:p w14:paraId="40D450F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面积（m</w:t>
            </w:r>
            <w:r>
              <w:rPr>
                <w:rFonts w:hint="default" w:ascii="Times New Roman" w:hAnsi="Times New Roman" w:eastAsia="宋体" w:cs="Times New Roman"/>
                <w:color w:val="auto"/>
                <w:sz w:val="22"/>
                <w:szCs w:val="22"/>
                <w:highlight w:val="none"/>
                <w:vertAlign w:val="superscript"/>
              </w:rPr>
              <w:t>2</w:t>
            </w:r>
            <w:r>
              <w:rPr>
                <w:rFonts w:hint="default" w:ascii="Times New Roman" w:hAnsi="Times New Roman" w:eastAsia="宋体" w:cs="Times New Roman"/>
                <w:color w:val="auto"/>
                <w:sz w:val="22"/>
                <w:szCs w:val="22"/>
                <w:highlight w:val="none"/>
              </w:rPr>
              <w:t>）</w:t>
            </w:r>
          </w:p>
        </w:tc>
        <w:tc>
          <w:tcPr>
            <w:tcW w:w="3422" w:type="dxa"/>
            <w:tcBorders>
              <w:tl2br w:val="nil"/>
              <w:tr2bl w:val="nil"/>
            </w:tcBorders>
            <w:vAlign w:val="center"/>
          </w:tcPr>
          <w:p w14:paraId="511003C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lang w:val="en-US"/>
              </w:rPr>
            </w:pPr>
            <w:r>
              <w:rPr>
                <w:rFonts w:hint="eastAsia" w:cs="Times New Roman"/>
                <w:color w:val="auto"/>
                <w:sz w:val="22"/>
                <w:szCs w:val="22"/>
                <w:highlight w:val="none"/>
                <w:lang w:val="en-US" w:eastAsia="zh-CN"/>
              </w:rPr>
              <w:t>10000</w:t>
            </w:r>
          </w:p>
        </w:tc>
      </w:tr>
      <w:tr w14:paraId="751B00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89" w:hRule="atLeast"/>
          <w:jc w:val="center"/>
        </w:trPr>
        <w:tc>
          <w:tcPr>
            <w:tcW w:w="1108" w:type="dxa"/>
            <w:tcBorders>
              <w:tl2br w:val="nil"/>
              <w:tr2bl w:val="nil"/>
            </w:tcBorders>
            <w:vAlign w:val="center"/>
          </w:tcPr>
          <w:p w14:paraId="3271213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专项评价</w:t>
            </w:r>
          </w:p>
          <w:p w14:paraId="1BCDD73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设置情况</w:t>
            </w:r>
          </w:p>
        </w:tc>
        <w:tc>
          <w:tcPr>
            <w:tcW w:w="7780" w:type="dxa"/>
            <w:gridSpan w:val="3"/>
            <w:tcBorders>
              <w:tl2br w:val="nil"/>
              <w:tr2bl w:val="nil"/>
            </w:tcBorders>
            <w:vAlign w:val="center"/>
          </w:tcPr>
          <w:p w14:paraId="7E17D54F">
            <w:pPr>
              <w:pStyle w:val="103"/>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 xml:space="preserve">表1-1  </w:t>
            </w:r>
            <w:r>
              <w:rPr>
                <w:rFonts w:hint="default" w:ascii="Times New Roman" w:hAnsi="Times New Roman" w:eastAsia="宋体" w:cs="Times New Roman"/>
                <w:b/>
                <w:bCs/>
                <w:color w:val="auto"/>
                <w:sz w:val="21"/>
                <w:szCs w:val="21"/>
                <w:highlight w:val="none"/>
                <w:lang w:val="en-US" w:eastAsia="zh-CN"/>
              </w:rPr>
              <w:t>专项评价设置原则及本项目情况对照一览表</w:t>
            </w:r>
          </w:p>
          <w:tbl>
            <w:tblPr>
              <w:tblStyle w:val="3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3"/>
              <w:gridCol w:w="2788"/>
              <w:gridCol w:w="3230"/>
              <w:gridCol w:w="1060"/>
            </w:tblGrid>
            <w:tr w14:paraId="6460EF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7" w:type="pct"/>
                  <w:tcBorders>
                    <w:tl2br w:val="nil"/>
                    <w:tr2bl w:val="nil"/>
                  </w:tcBorders>
                  <w:vAlign w:val="center"/>
                </w:tcPr>
                <w:p w14:paraId="5166F4E8">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color w:val="auto"/>
                      <w:highlight w:val="none"/>
                      <w:vertAlign w:val="baseline"/>
                      <w:lang w:eastAsia="zh-CN"/>
                    </w:rPr>
                  </w:pPr>
                  <w:r>
                    <w:rPr>
                      <w:rFonts w:hint="default"/>
                      <w:color w:val="auto"/>
                      <w:highlight w:val="none"/>
                      <w:vertAlign w:val="baseline"/>
                      <w:lang w:eastAsia="zh-CN"/>
                    </w:rPr>
                    <w:t>专项评价的类别</w:t>
                  </w:r>
                </w:p>
              </w:tc>
              <w:tc>
                <w:tcPr>
                  <w:tcW w:w="1805" w:type="pct"/>
                  <w:tcBorders>
                    <w:tl2br w:val="nil"/>
                    <w:tr2bl w:val="nil"/>
                  </w:tcBorders>
                  <w:vAlign w:val="center"/>
                </w:tcPr>
                <w:p w14:paraId="2F5B7301">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eastAsia="zh-CN"/>
                    </w:rPr>
                  </w:pPr>
                  <w:r>
                    <w:rPr>
                      <w:rFonts w:hint="eastAsia"/>
                      <w:color w:val="auto"/>
                      <w:highlight w:val="none"/>
                      <w:vertAlign w:val="baseline"/>
                      <w:lang w:eastAsia="zh-CN"/>
                    </w:rPr>
                    <w:t>设置原则</w:t>
                  </w:r>
                </w:p>
              </w:tc>
              <w:tc>
                <w:tcPr>
                  <w:tcW w:w="2091" w:type="pct"/>
                  <w:tcBorders>
                    <w:tl2br w:val="nil"/>
                    <w:tr2bl w:val="nil"/>
                  </w:tcBorders>
                  <w:vAlign w:val="center"/>
                </w:tcPr>
                <w:p w14:paraId="7B662760">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color w:val="auto"/>
                      <w:highlight w:val="none"/>
                      <w:vertAlign w:val="baseline"/>
                      <w:lang w:eastAsia="zh-CN"/>
                    </w:rPr>
                  </w:pPr>
                  <w:r>
                    <w:rPr>
                      <w:rFonts w:hint="eastAsia"/>
                      <w:color w:val="auto"/>
                      <w:highlight w:val="none"/>
                      <w:vertAlign w:val="baseline"/>
                      <w:lang w:eastAsia="zh-CN"/>
                    </w:rPr>
                    <w:t>本项目</w:t>
                  </w:r>
                </w:p>
              </w:tc>
              <w:tc>
                <w:tcPr>
                  <w:tcW w:w="686" w:type="pct"/>
                  <w:tcBorders>
                    <w:tl2br w:val="nil"/>
                    <w:tr2bl w:val="nil"/>
                  </w:tcBorders>
                  <w:vAlign w:val="center"/>
                </w:tcPr>
                <w:p w14:paraId="344C944C">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color w:val="auto"/>
                      <w:highlight w:val="none"/>
                      <w:vertAlign w:val="baseline"/>
                      <w:lang w:val="en-US" w:eastAsia="zh-CN"/>
                    </w:rPr>
                  </w:pPr>
                  <w:r>
                    <w:rPr>
                      <w:rFonts w:hint="eastAsia"/>
                      <w:color w:val="auto"/>
                      <w:highlight w:val="none"/>
                      <w:vertAlign w:val="baseline"/>
                      <w:lang w:val="en-US" w:eastAsia="zh-CN"/>
                    </w:rPr>
                    <w:t>是否设置专项评价</w:t>
                  </w:r>
                </w:p>
              </w:tc>
            </w:tr>
            <w:tr w14:paraId="1916B1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6" w:hRule="atLeast"/>
              </w:trPr>
              <w:tc>
                <w:tcPr>
                  <w:tcW w:w="417" w:type="pct"/>
                  <w:tcBorders>
                    <w:tl2br w:val="nil"/>
                    <w:tr2bl w:val="nil"/>
                  </w:tcBorders>
                  <w:vAlign w:val="center"/>
                </w:tcPr>
                <w:p w14:paraId="5B896789">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eastAsia="zh-CN"/>
                    </w:rPr>
                  </w:pPr>
                  <w:r>
                    <w:rPr>
                      <w:rFonts w:hint="eastAsia"/>
                      <w:color w:val="auto"/>
                      <w:highlight w:val="none"/>
                      <w:vertAlign w:val="baseline"/>
                      <w:lang w:eastAsia="zh-CN"/>
                    </w:rPr>
                    <w:t>大气</w:t>
                  </w:r>
                </w:p>
              </w:tc>
              <w:tc>
                <w:tcPr>
                  <w:tcW w:w="1805" w:type="pct"/>
                  <w:tcBorders>
                    <w:tl2br w:val="nil"/>
                    <w:tr2bl w:val="nil"/>
                  </w:tcBorders>
                  <w:vAlign w:val="center"/>
                </w:tcPr>
                <w:p w14:paraId="28C4277D">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color w:val="auto"/>
                      <w:highlight w:val="none"/>
                      <w:vertAlign w:val="baseline"/>
                      <w:lang w:eastAsia="zh-CN"/>
                    </w:rPr>
                  </w:pPr>
                  <w:r>
                    <w:rPr>
                      <w:rFonts w:hint="default"/>
                      <w:color w:val="auto"/>
                      <w:highlight w:val="none"/>
                      <w:vertAlign w:val="baseline"/>
                      <w:lang w:eastAsia="zh-CN"/>
                    </w:rPr>
                    <w:t>排放废气含有毒有害污染物</w:t>
                  </w:r>
                  <w:r>
                    <w:rPr>
                      <w:rFonts w:hint="eastAsia"/>
                      <w:color w:val="auto"/>
                      <w:highlight w:val="none"/>
                      <w:vertAlign w:val="baseline"/>
                      <w:lang w:eastAsia="zh-CN"/>
                    </w:rPr>
                    <w:t>、</w:t>
                  </w:r>
                  <w:r>
                    <w:rPr>
                      <w:rFonts w:hint="default"/>
                      <w:color w:val="auto"/>
                      <w:highlight w:val="none"/>
                      <w:vertAlign w:val="baseline"/>
                      <w:lang w:eastAsia="zh-CN"/>
                    </w:rPr>
                    <w:t>二噁英、苯并[</w:t>
                  </w:r>
                  <w:r>
                    <w:rPr>
                      <w:rFonts w:hint="default" w:ascii="Times New Roman" w:hAnsi="Times New Roman" w:cs="Times New Roman"/>
                      <w:color w:val="auto"/>
                      <w:highlight w:val="none"/>
                      <w:vertAlign w:val="baseline"/>
                      <w:lang w:eastAsia="zh-CN"/>
                    </w:rPr>
                    <w:t>α</w:t>
                  </w:r>
                  <w:r>
                    <w:rPr>
                      <w:rFonts w:hint="default"/>
                      <w:color w:val="auto"/>
                      <w:highlight w:val="none"/>
                      <w:vertAlign w:val="baseline"/>
                      <w:lang w:eastAsia="zh-CN"/>
                    </w:rPr>
                    <w:t>]芘、氰化物、氯气且厂界外500米范围内有环境空气保护目标的建设项目</w:t>
                  </w:r>
                </w:p>
              </w:tc>
              <w:tc>
                <w:tcPr>
                  <w:tcW w:w="2091" w:type="pct"/>
                  <w:tcBorders>
                    <w:tl2br w:val="nil"/>
                    <w:tr2bl w:val="nil"/>
                  </w:tcBorders>
                  <w:vAlign w:val="center"/>
                </w:tcPr>
                <w:p w14:paraId="452BA768">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eastAsia="zh-CN"/>
                    </w:rPr>
                  </w:pPr>
                  <w:r>
                    <w:rPr>
                      <w:rFonts w:hint="eastAsia"/>
                      <w:color w:val="auto"/>
                      <w:highlight w:val="none"/>
                      <w:vertAlign w:val="baseline"/>
                      <w:lang w:val="en-US" w:eastAsia="zh-CN"/>
                    </w:rPr>
                    <w:t>本项目</w:t>
                  </w:r>
                  <w:r>
                    <w:rPr>
                      <w:rFonts w:hint="eastAsia"/>
                      <w:color w:val="auto"/>
                      <w:highlight w:val="none"/>
                      <w:vertAlign w:val="baseline"/>
                      <w:lang w:eastAsia="zh-CN"/>
                    </w:rPr>
                    <w:t>不</w:t>
                  </w:r>
                  <w:r>
                    <w:rPr>
                      <w:rFonts w:hint="default"/>
                      <w:color w:val="auto"/>
                      <w:highlight w:val="none"/>
                      <w:vertAlign w:val="baseline"/>
                      <w:lang w:eastAsia="zh-CN"/>
                    </w:rPr>
                    <w:t>排放废气含有毒有害污染物</w:t>
                  </w:r>
                  <w:r>
                    <w:rPr>
                      <w:rFonts w:hint="eastAsia"/>
                      <w:color w:val="auto"/>
                      <w:highlight w:val="none"/>
                      <w:vertAlign w:val="baseline"/>
                      <w:lang w:eastAsia="zh-CN"/>
                    </w:rPr>
                    <w:t>、</w:t>
                  </w:r>
                  <w:r>
                    <w:rPr>
                      <w:rFonts w:hint="default"/>
                      <w:color w:val="auto"/>
                      <w:highlight w:val="none"/>
                      <w:vertAlign w:val="baseline"/>
                      <w:lang w:eastAsia="zh-CN"/>
                    </w:rPr>
                    <w:t>二噁英、苯并[</w:t>
                  </w:r>
                  <w:r>
                    <w:rPr>
                      <w:rFonts w:hint="default" w:ascii="Times New Roman" w:hAnsi="Times New Roman" w:cs="Times New Roman"/>
                      <w:color w:val="auto"/>
                      <w:highlight w:val="none"/>
                      <w:vertAlign w:val="baseline"/>
                      <w:lang w:eastAsia="zh-CN"/>
                    </w:rPr>
                    <w:t>α</w:t>
                  </w:r>
                  <w:r>
                    <w:rPr>
                      <w:rFonts w:hint="default"/>
                      <w:color w:val="auto"/>
                      <w:highlight w:val="none"/>
                      <w:vertAlign w:val="baseline"/>
                      <w:lang w:eastAsia="zh-CN"/>
                    </w:rPr>
                    <w:t>]]芘、氰化物、氯气</w:t>
                  </w:r>
                  <w:r>
                    <w:rPr>
                      <w:rFonts w:hint="eastAsia"/>
                      <w:color w:val="auto"/>
                      <w:highlight w:val="none"/>
                      <w:vertAlign w:val="baseline"/>
                      <w:lang w:eastAsia="zh-CN"/>
                    </w:rPr>
                    <w:t>，因此不需设置大气专项评价</w:t>
                  </w:r>
                </w:p>
              </w:tc>
              <w:tc>
                <w:tcPr>
                  <w:tcW w:w="686" w:type="pct"/>
                  <w:tcBorders>
                    <w:tl2br w:val="nil"/>
                    <w:tr2bl w:val="nil"/>
                  </w:tcBorders>
                  <w:vAlign w:val="center"/>
                </w:tcPr>
                <w:p w14:paraId="34B89F7D">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val="en-US" w:eastAsia="zh-CN"/>
                    </w:rPr>
                  </w:pPr>
                  <w:r>
                    <w:rPr>
                      <w:rFonts w:hint="eastAsia"/>
                      <w:color w:val="auto"/>
                      <w:highlight w:val="none"/>
                      <w:vertAlign w:val="baseline"/>
                      <w:lang w:val="en-US" w:eastAsia="zh-CN"/>
                    </w:rPr>
                    <w:t>否</w:t>
                  </w:r>
                </w:p>
              </w:tc>
            </w:tr>
            <w:tr w14:paraId="0913BD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7" w:type="pct"/>
                  <w:tcBorders>
                    <w:tl2br w:val="nil"/>
                    <w:tr2bl w:val="nil"/>
                  </w:tcBorders>
                  <w:vAlign w:val="center"/>
                </w:tcPr>
                <w:p w14:paraId="73F7FA32">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eastAsia="zh-CN"/>
                    </w:rPr>
                  </w:pPr>
                  <w:r>
                    <w:rPr>
                      <w:rFonts w:hint="eastAsia"/>
                      <w:color w:val="auto"/>
                      <w:highlight w:val="none"/>
                      <w:vertAlign w:val="baseline"/>
                      <w:lang w:eastAsia="zh-CN"/>
                    </w:rPr>
                    <w:t>地表水</w:t>
                  </w:r>
                </w:p>
              </w:tc>
              <w:tc>
                <w:tcPr>
                  <w:tcW w:w="1805" w:type="pct"/>
                  <w:tcBorders>
                    <w:tl2br w:val="nil"/>
                    <w:tr2bl w:val="nil"/>
                  </w:tcBorders>
                  <w:vAlign w:val="center"/>
                </w:tcPr>
                <w:p w14:paraId="2DDAA237">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color w:val="auto"/>
                      <w:highlight w:val="none"/>
                      <w:vertAlign w:val="baseline"/>
                      <w:lang w:eastAsia="zh-CN"/>
                    </w:rPr>
                  </w:pPr>
                  <w:r>
                    <w:rPr>
                      <w:rFonts w:hint="default"/>
                      <w:color w:val="auto"/>
                      <w:highlight w:val="none"/>
                      <w:vertAlign w:val="baseline"/>
                      <w:lang w:eastAsia="zh-CN"/>
                    </w:rPr>
                    <w:t>新增工业废水直排建设项目（槽罐车外送污水处理厂的除外）；新增废水直排的污水集中处理厂</w:t>
                  </w:r>
                </w:p>
              </w:tc>
              <w:tc>
                <w:tcPr>
                  <w:tcW w:w="2091" w:type="pct"/>
                  <w:tcBorders>
                    <w:tl2br w:val="nil"/>
                    <w:tr2bl w:val="nil"/>
                  </w:tcBorders>
                  <w:vAlign w:val="center"/>
                </w:tcPr>
                <w:p w14:paraId="70A77F0B">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eastAsia="zh-CN"/>
                    </w:rPr>
                  </w:pPr>
                  <w:r>
                    <w:rPr>
                      <w:rFonts w:hint="eastAsia" w:ascii="Times New Roman" w:hAnsi="Times New Roman" w:eastAsia="宋体" w:cs="Times New Roman"/>
                      <w:color w:val="auto"/>
                      <w:highlight w:val="none"/>
                      <w:vertAlign w:val="baseline"/>
                      <w:lang w:val="en-US" w:eastAsia="zh-CN"/>
                    </w:rPr>
                    <w:t>厂区综合废水排入市政管网，经双鸭山市污水处理厂处理达标后排放。</w:t>
                  </w:r>
                  <w:r>
                    <w:rPr>
                      <w:rFonts w:hint="eastAsia" w:cs="Times New Roman"/>
                      <w:color w:val="auto"/>
                      <w:highlight w:val="none"/>
                      <w:vertAlign w:val="baseline"/>
                      <w:lang w:eastAsia="zh-CN"/>
                    </w:rPr>
                    <w:t>因此不需设置地表水专项评价</w:t>
                  </w:r>
                </w:p>
              </w:tc>
              <w:tc>
                <w:tcPr>
                  <w:tcW w:w="686" w:type="pct"/>
                  <w:tcBorders>
                    <w:tl2br w:val="nil"/>
                    <w:tr2bl w:val="nil"/>
                  </w:tcBorders>
                  <w:vAlign w:val="center"/>
                </w:tcPr>
                <w:p w14:paraId="22AD9683">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否</w:t>
                  </w:r>
                </w:p>
              </w:tc>
            </w:tr>
            <w:tr w14:paraId="51ADBA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7" w:type="pct"/>
                  <w:tcBorders>
                    <w:tl2br w:val="nil"/>
                    <w:tr2bl w:val="nil"/>
                  </w:tcBorders>
                  <w:vAlign w:val="center"/>
                </w:tcPr>
                <w:p w14:paraId="740E175D">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eastAsia="zh-CN"/>
                    </w:rPr>
                  </w:pPr>
                  <w:r>
                    <w:rPr>
                      <w:rFonts w:hint="eastAsia"/>
                      <w:color w:val="auto"/>
                      <w:highlight w:val="none"/>
                      <w:vertAlign w:val="baseline"/>
                      <w:lang w:eastAsia="zh-CN"/>
                    </w:rPr>
                    <w:t>环境风险</w:t>
                  </w:r>
                </w:p>
              </w:tc>
              <w:tc>
                <w:tcPr>
                  <w:tcW w:w="1805" w:type="pct"/>
                  <w:tcBorders>
                    <w:tl2br w:val="nil"/>
                    <w:tr2bl w:val="nil"/>
                  </w:tcBorders>
                  <w:vAlign w:val="center"/>
                </w:tcPr>
                <w:p w14:paraId="7EFD3686">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color w:val="auto"/>
                      <w:highlight w:val="none"/>
                      <w:vertAlign w:val="baseline"/>
                      <w:lang w:eastAsia="zh-CN"/>
                    </w:rPr>
                  </w:pPr>
                  <w:r>
                    <w:rPr>
                      <w:rFonts w:hint="default"/>
                      <w:color w:val="auto"/>
                      <w:highlight w:val="none"/>
                      <w:vertAlign w:val="baseline"/>
                      <w:lang w:eastAsia="zh-CN"/>
                    </w:rPr>
                    <w:t>有毒有害和易燃易爆危险物质存储量超过临界量的建设项目</w:t>
                  </w:r>
                </w:p>
              </w:tc>
              <w:tc>
                <w:tcPr>
                  <w:tcW w:w="2091" w:type="pct"/>
                  <w:tcBorders>
                    <w:tl2br w:val="nil"/>
                    <w:tr2bl w:val="nil"/>
                  </w:tcBorders>
                  <w:vAlign w:val="center"/>
                </w:tcPr>
                <w:p w14:paraId="22AD1FE7">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val="en-US" w:eastAsia="zh-CN"/>
                    </w:rPr>
                  </w:pPr>
                  <w:r>
                    <w:rPr>
                      <w:rFonts w:hint="eastAsia"/>
                      <w:color w:val="auto"/>
                    </w:rPr>
                    <w:t>本项目废机油最大存储量为0.5t，临界量2500t，</w:t>
                  </w:r>
                  <w:r>
                    <w:rPr>
                      <w:rFonts w:hint="eastAsia"/>
                      <w:color w:val="auto"/>
                      <w:lang w:val="en-US" w:eastAsia="zh-CN"/>
                    </w:rPr>
                    <w:t>经核算本项目Q值为0.0002，</w:t>
                  </w:r>
                  <w:r>
                    <w:rPr>
                      <w:rFonts w:hint="eastAsia" w:eastAsiaTheme="minorEastAsia"/>
                      <w:color w:val="auto"/>
                    </w:rPr>
                    <w:t>根据《建设项目环境风险评价技术导则》（HJ169-2018）</w:t>
                  </w:r>
                  <w:r>
                    <w:rPr>
                      <w:rFonts w:hint="eastAsia" w:eastAsiaTheme="minorEastAsia"/>
                      <w:color w:val="auto"/>
                      <w:lang w:val="en-US" w:eastAsia="zh-CN"/>
                    </w:rPr>
                    <w:t>当q＜1时，该项目环境风险潜势为Ⅰ，本项目不开展环境风险专项评价</w:t>
                  </w:r>
                </w:p>
              </w:tc>
              <w:tc>
                <w:tcPr>
                  <w:tcW w:w="686" w:type="pct"/>
                  <w:tcBorders>
                    <w:tl2br w:val="nil"/>
                    <w:tr2bl w:val="nil"/>
                  </w:tcBorders>
                  <w:vAlign w:val="center"/>
                </w:tcPr>
                <w:p w14:paraId="6F6B9C91">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highlight w:val="none"/>
                      <w:vertAlign w:val="baseline"/>
                      <w:lang w:eastAsia="zh-CN"/>
                    </w:rPr>
                  </w:pPr>
                  <w:r>
                    <w:rPr>
                      <w:rFonts w:hint="eastAsia" w:cs="Times New Roman"/>
                      <w:color w:val="auto"/>
                      <w:highlight w:val="none"/>
                      <w:vertAlign w:val="baseline"/>
                      <w:lang w:val="en-US" w:eastAsia="zh-CN"/>
                    </w:rPr>
                    <w:t>否</w:t>
                  </w:r>
                </w:p>
              </w:tc>
            </w:tr>
            <w:tr w14:paraId="54FD94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7" w:type="pct"/>
                  <w:tcBorders>
                    <w:tl2br w:val="nil"/>
                    <w:tr2bl w:val="nil"/>
                  </w:tcBorders>
                  <w:vAlign w:val="center"/>
                </w:tcPr>
                <w:p w14:paraId="6122E516">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eastAsia="zh-CN"/>
                    </w:rPr>
                  </w:pPr>
                  <w:r>
                    <w:rPr>
                      <w:rFonts w:hint="eastAsia"/>
                      <w:color w:val="auto"/>
                      <w:highlight w:val="none"/>
                      <w:vertAlign w:val="baseline"/>
                      <w:lang w:eastAsia="zh-CN"/>
                    </w:rPr>
                    <w:t>生态</w:t>
                  </w:r>
                </w:p>
              </w:tc>
              <w:tc>
                <w:tcPr>
                  <w:tcW w:w="1805" w:type="pct"/>
                  <w:tcBorders>
                    <w:tl2br w:val="nil"/>
                    <w:tr2bl w:val="nil"/>
                  </w:tcBorders>
                  <w:vAlign w:val="center"/>
                </w:tcPr>
                <w:p w14:paraId="21BE3A01">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color w:val="auto"/>
                      <w:highlight w:val="none"/>
                      <w:vertAlign w:val="baseline"/>
                      <w:lang w:eastAsia="zh-CN"/>
                    </w:rPr>
                  </w:pPr>
                  <w:r>
                    <w:rPr>
                      <w:rFonts w:hint="default"/>
                      <w:color w:val="auto"/>
                      <w:highlight w:val="none"/>
                      <w:vertAlign w:val="baseline"/>
                      <w:lang w:eastAsia="zh-CN"/>
                    </w:rPr>
                    <w:t>取水口下游500米范围内有重要水生生物的自然产卵场、索饵场、越冬场和洄游通道的新增河道取水的污染类建设项目</w:t>
                  </w:r>
                </w:p>
              </w:tc>
              <w:tc>
                <w:tcPr>
                  <w:tcW w:w="2091" w:type="pct"/>
                  <w:tcBorders>
                    <w:tl2br w:val="nil"/>
                    <w:tr2bl w:val="nil"/>
                  </w:tcBorders>
                  <w:vAlign w:val="center"/>
                </w:tcPr>
                <w:p w14:paraId="4EEE05B0">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eastAsia="zh-CN"/>
                    </w:rPr>
                  </w:pPr>
                  <w:r>
                    <w:rPr>
                      <w:rFonts w:hint="eastAsia"/>
                      <w:color w:val="auto"/>
                      <w:highlight w:val="none"/>
                      <w:vertAlign w:val="baseline"/>
                      <w:lang w:eastAsia="zh-CN"/>
                    </w:rPr>
                    <w:t>不涉及取水工程，因此不需设置生态专项评价</w:t>
                  </w:r>
                </w:p>
              </w:tc>
              <w:tc>
                <w:tcPr>
                  <w:tcW w:w="686" w:type="pct"/>
                  <w:tcBorders>
                    <w:tl2br w:val="nil"/>
                    <w:tr2bl w:val="nil"/>
                  </w:tcBorders>
                  <w:vAlign w:val="center"/>
                </w:tcPr>
                <w:p w14:paraId="137976B0">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val="en-US" w:eastAsia="zh-CN"/>
                    </w:rPr>
                  </w:pPr>
                  <w:r>
                    <w:rPr>
                      <w:rFonts w:hint="eastAsia"/>
                      <w:color w:val="auto"/>
                      <w:highlight w:val="none"/>
                      <w:vertAlign w:val="baseline"/>
                      <w:lang w:val="en-US" w:eastAsia="zh-CN"/>
                    </w:rPr>
                    <w:t>否</w:t>
                  </w:r>
                </w:p>
              </w:tc>
            </w:tr>
            <w:tr w14:paraId="23E2AF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7" w:type="pct"/>
                  <w:tcBorders>
                    <w:tl2br w:val="nil"/>
                    <w:tr2bl w:val="nil"/>
                  </w:tcBorders>
                  <w:vAlign w:val="center"/>
                </w:tcPr>
                <w:p w14:paraId="6697FB50">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highlight w:val="none"/>
                      <w:vertAlign w:val="baseline"/>
                      <w:lang w:eastAsia="zh-CN"/>
                    </w:rPr>
                  </w:pPr>
                  <w:r>
                    <w:rPr>
                      <w:rFonts w:hint="eastAsia"/>
                      <w:color w:val="auto"/>
                      <w:highlight w:val="none"/>
                      <w:vertAlign w:val="baseline"/>
                      <w:lang w:eastAsia="zh-CN"/>
                    </w:rPr>
                    <w:t>海洋</w:t>
                  </w:r>
                </w:p>
              </w:tc>
              <w:tc>
                <w:tcPr>
                  <w:tcW w:w="1805" w:type="pct"/>
                  <w:tcBorders>
                    <w:tl2br w:val="nil"/>
                    <w:tr2bl w:val="nil"/>
                  </w:tcBorders>
                  <w:vAlign w:val="center"/>
                </w:tcPr>
                <w:p w14:paraId="776B45E0">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color w:val="auto"/>
                      <w:highlight w:val="none"/>
                      <w:vertAlign w:val="baseline"/>
                      <w:lang w:eastAsia="zh-CN"/>
                    </w:rPr>
                  </w:pPr>
                  <w:r>
                    <w:rPr>
                      <w:rFonts w:hint="default"/>
                      <w:color w:val="auto"/>
                      <w:highlight w:val="none"/>
                      <w:vertAlign w:val="baseline"/>
                      <w:lang w:eastAsia="zh-CN"/>
                    </w:rPr>
                    <w:t>直接向海排放污染物的海洋工程建设项目</w:t>
                  </w:r>
                </w:p>
              </w:tc>
              <w:tc>
                <w:tcPr>
                  <w:tcW w:w="2091" w:type="pct"/>
                  <w:tcBorders>
                    <w:tl2br w:val="nil"/>
                    <w:tr2bl w:val="nil"/>
                  </w:tcBorders>
                  <w:vAlign w:val="center"/>
                </w:tcPr>
                <w:p w14:paraId="2BDB2589">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eastAsia="zh-CN"/>
                    </w:rPr>
                  </w:pPr>
                  <w:r>
                    <w:rPr>
                      <w:rFonts w:hint="eastAsia"/>
                      <w:color w:val="auto"/>
                      <w:highlight w:val="none"/>
                      <w:vertAlign w:val="baseline"/>
                      <w:lang w:eastAsia="zh-CN"/>
                    </w:rPr>
                    <w:t>本项目不属于海洋工程，因此不需设置海洋专项评价</w:t>
                  </w:r>
                </w:p>
              </w:tc>
              <w:tc>
                <w:tcPr>
                  <w:tcW w:w="686" w:type="pct"/>
                  <w:tcBorders>
                    <w:tl2br w:val="nil"/>
                    <w:tr2bl w:val="nil"/>
                  </w:tcBorders>
                  <w:vAlign w:val="center"/>
                </w:tcPr>
                <w:p w14:paraId="0D4F6EFE">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val="en-US" w:eastAsia="zh-CN"/>
                    </w:rPr>
                  </w:pPr>
                  <w:r>
                    <w:rPr>
                      <w:rFonts w:hint="eastAsia"/>
                      <w:color w:val="auto"/>
                      <w:highlight w:val="none"/>
                      <w:vertAlign w:val="baseline"/>
                      <w:lang w:val="en-US" w:eastAsia="zh-CN"/>
                    </w:rPr>
                    <w:t>否</w:t>
                  </w:r>
                </w:p>
              </w:tc>
            </w:tr>
          </w:tbl>
          <w:p w14:paraId="3F0D666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2"/>
                <w:szCs w:val="22"/>
                <w:highlight w:val="none"/>
              </w:rPr>
            </w:pPr>
            <w:r>
              <w:rPr>
                <w:rFonts w:hint="eastAsia"/>
                <w:color w:val="auto"/>
                <w:sz w:val="24"/>
                <w:szCs w:val="32"/>
                <w:highlight w:val="none"/>
                <w:lang w:eastAsia="zh-CN"/>
              </w:rPr>
              <w:t>综上，本项目不开展大气、地表水、环境风险、生态、海洋及地下水专项评价。</w:t>
            </w:r>
          </w:p>
        </w:tc>
      </w:tr>
      <w:tr w14:paraId="12160A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12" w:hRule="atLeast"/>
          <w:jc w:val="center"/>
        </w:trPr>
        <w:tc>
          <w:tcPr>
            <w:tcW w:w="1108" w:type="dxa"/>
            <w:tcBorders>
              <w:tl2br w:val="nil"/>
              <w:tr2bl w:val="nil"/>
            </w:tcBorders>
            <w:vAlign w:val="center"/>
          </w:tcPr>
          <w:p w14:paraId="3B7B3E9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规划情况</w:t>
            </w:r>
          </w:p>
        </w:tc>
        <w:tc>
          <w:tcPr>
            <w:tcW w:w="7780" w:type="dxa"/>
            <w:gridSpan w:val="3"/>
            <w:tcBorders>
              <w:tl2br w:val="nil"/>
              <w:tr2bl w:val="nil"/>
            </w:tcBorders>
            <w:vAlign w:val="center"/>
          </w:tcPr>
          <w:p w14:paraId="3EE1933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eastAsia" w:ascii="Times New Roman" w:hAnsi="Times New Roman" w:eastAsia="宋体" w:cs="Times New Roman"/>
                <w:color w:val="auto"/>
                <w:lang w:val="en-US" w:eastAsia="zh-CN"/>
              </w:rPr>
              <w:t>无</w:t>
            </w:r>
          </w:p>
        </w:tc>
      </w:tr>
      <w:tr w14:paraId="658962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325" w:hRule="atLeast"/>
          <w:jc w:val="center"/>
        </w:trPr>
        <w:tc>
          <w:tcPr>
            <w:tcW w:w="1108" w:type="dxa"/>
            <w:tcBorders>
              <w:tl2br w:val="nil"/>
              <w:tr2bl w:val="nil"/>
            </w:tcBorders>
            <w:vAlign w:val="center"/>
          </w:tcPr>
          <w:p w14:paraId="540F43A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规划环境影响评价情况</w:t>
            </w:r>
          </w:p>
        </w:tc>
        <w:tc>
          <w:tcPr>
            <w:tcW w:w="7780" w:type="dxa"/>
            <w:gridSpan w:val="3"/>
            <w:tcBorders>
              <w:tl2br w:val="nil"/>
              <w:tr2bl w:val="nil"/>
            </w:tcBorders>
            <w:vAlign w:val="center"/>
          </w:tcPr>
          <w:p w14:paraId="437170C4">
            <w:pPr>
              <w:pStyle w:val="30"/>
              <w:ind w:left="0" w:leftChars="0" w:firstLine="0" w:firstLineChars="0"/>
              <w:jc w:val="center"/>
              <w:rPr>
                <w:rFonts w:hint="default"/>
                <w:color w:val="auto"/>
              </w:rPr>
            </w:pPr>
            <w:r>
              <w:rPr>
                <w:rFonts w:hint="eastAsia" w:ascii="Times New Roman" w:hAnsi="Times New Roman" w:eastAsia="宋体" w:cs="Times New Roman"/>
                <w:color w:val="auto"/>
                <w:lang w:val="en-US" w:eastAsia="zh-CN"/>
              </w:rPr>
              <w:t>无</w:t>
            </w:r>
          </w:p>
        </w:tc>
      </w:tr>
      <w:tr w14:paraId="2CFD40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536" w:hRule="atLeast"/>
          <w:jc w:val="center"/>
        </w:trPr>
        <w:tc>
          <w:tcPr>
            <w:tcW w:w="1108" w:type="dxa"/>
            <w:tcBorders>
              <w:tl2br w:val="nil"/>
              <w:tr2bl w:val="nil"/>
            </w:tcBorders>
            <w:vAlign w:val="center"/>
          </w:tcPr>
          <w:p w14:paraId="672F8D9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规划及规划环境影响评价符合性分析</w:t>
            </w:r>
          </w:p>
        </w:tc>
        <w:tc>
          <w:tcPr>
            <w:tcW w:w="7780" w:type="dxa"/>
            <w:gridSpan w:val="3"/>
            <w:tcBorders>
              <w:tl2br w:val="nil"/>
              <w:tr2bl w:val="nil"/>
            </w:tcBorders>
            <w:vAlign w:val="center"/>
          </w:tcPr>
          <w:p w14:paraId="25DB3EF8">
            <w:pPr>
              <w:keepNext w:val="0"/>
              <w:keepLines w:val="0"/>
              <w:suppressLineNumbers w:val="0"/>
              <w:adjustRightInd w:val="0"/>
              <w:snapToGrid w:val="0"/>
              <w:spacing w:before="0" w:beforeAutospacing="0" w:after="0" w:afterAutospacing="0" w:line="360" w:lineRule="auto"/>
              <w:ind w:right="0"/>
              <w:jc w:val="center"/>
              <w:rPr>
                <w:rFonts w:hint="default"/>
                <w:color w:val="auto"/>
              </w:rPr>
            </w:pPr>
            <w:r>
              <w:rPr>
                <w:rFonts w:hint="eastAsia" w:cs="Times New Roman"/>
                <w:color w:val="auto"/>
                <w:sz w:val="24"/>
                <w:szCs w:val="32"/>
                <w:lang w:val="en-US" w:eastAsia="zh-CN"/>
              </w:rPr>
              <w:t>无</w:t>
            </w:r>
          </w:p>
        </w:tc>
      </w:tr>
      <w:tr w14:paraId="0BBCB6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935" w:hRule="atLeast"/>
          <w:jc w:val="center"/>
        </w:trPr>
        <w:tc>
          <w:tcPr>
            <w:tcW w:w="1108" w:type="dxa"/>
            <w:tcBorders>
              <w:tl2br w:val="nil"/>
              <w:tr2bl w:val="nil"/>
            </w:tcBorders>
            <w:vAlign w:val="center"/>
          </w:tcPr>
          <w:p w14:paraId="3057BCF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其他符合性分析</w:t>
            </w:r>
          </w:p>
        </w:tc>
        <w:tc>
          <w:tcPr>
            <w:tcW w:w="7780" w:type="dxa"/>
            <w:gridSpan w:val="3"/>
            <w:tcBorders>
              <w:tl2br w:val="nil"/>
              <w:tr2bl w:val="nil"/>
            </w:tcBorders>
            <w:vAlign w:val="center"/>
          </w:tcPr>
          <w:p w14:paraId="712B51DA">
            <w:pPr>
              <w:pStyle w:val="126"/>
              <w:ind w:firstLine="480"/>
              <w:rPr>
                <w:rFonts w:hint="default"/>
                <w:color w:val="auto"/>
              </w:rPr>
            </w:pPr>
            <w:r>
              <w:rPr>
                <w:rFonts w:hint="default"/>
                <w:color w:val="auto"/>
              </w:rPr>
              <w:t>1、产业政策符合性分析</w:t>
            </w:r>
          </w:p>
          <w:p w14:paraId="16924012">
            <w:pPr>
              <w:pStyle w:val="126"/>
              <w:ind w:firstLine="480"/>
              <w:rPr>
                <w:rFonts w:hint="default" w:ascii="Times New Roman" w:hAnsi="Times New Roman" w:eastAsia="宋体" w:cs="Times New Roman"/>
                <w:color w:val="auto"/>
                <w:kern w:val="2"/>
                <w:sz w:val="24"/>
                <w:szCs w:val="32"/>
                <w:highlight w:val="none"/>
                <w:lang w:val="en-US" w:eastAsia="zh-CN" w:bidi="ar-SA"/>
              </w:rPr>
            </w:pPr>
            <w:r>
              <w:rPr>
                <w:rFonts w:hint="eastAsia"/>
                <w:color w:val="auto"/>
                <w:lang w:val="en-US" w:eastAsia="zh-CN"/>
              </w:rPr>
              <w:t>本</w:t>
            </w:r>
            <w:r>
              <w:rPr>
                <w:rFonts w:hint="default"/>
                <w:color w:val="auto"/>
                <w:lang w:val="en-US" w:eastAsia="zh-CN"/>
              </w:rPr>
              <w:t>项目属于</w:t>
            </w:r>
            <w:r>
              <w:rPr>
                <w:rFonts w:hint="eastAsia"/>
                <w:color w:val="auto"/>
                <w:lang w:val="en-US" w:eastAsia="zh-CN"/>
              </w:rPr>
              <w:t>鲜食玉米加工项目，对照《产业结构调整指导目录（2024年本）》属于《目录》</w:t>
            </w:r>
            <w:r>
              <w:rPr>
                <w:rFonts w:hint="default"/>
                <w:color w:val="auto"/>
                <w:lang w:val="en-US" w:eastAsia="zh-CN"/>
              </w:rPr>
              <w:t>中</w:t>
            </w:r>
            <w:r>
              <w:rPr>
                <w:rFonts w:hint="eastAsia"/>
                <w:color w:val="auto"/>
                <w:lang w:eastAsia="zh-CN"/>
              </w:rPr>
              <w:t>“</w:t>
            </w:r>
            <w:r>
              <w:rPr>
                <w:rFonts w:hint="default"/>
                <w:color w:val="auto"/>
              </w:rPr>
              <w:t>一、</w:t>
            </w:r>
            <w:r>
              <w:rPr>
                <w:rFonts w:hint="eastAsia"/>
                <w:color w:val="auto"/>
                <w:lang w:val="en-US" w:eastAsia="zh-CN"/>
              </w:rPr>
              <w:t>农林牧渔</w:t>
            </w:r>
            <w:r>
              <w:rPr>
                <w:rFonts w:hint="default"/>
                <w:color w:val="auto"/>
              </w:rPr>
              <w:t>业8</w:t>
            </w:r>
            <w:r>
              <w:rPr>
                <w:rFonts w:hint="eastAsia"/>
                <w:color w:val="auto"/>
                <w:lang w:val="en-US" w:eastAsia="zh-CN"/>
              </w:rPr>
              <w:t>.</w:t>
            </w:r>
            <w:r>
              <w:rPr>
                <w:rFonts w:hint="default"/>
                <w:color w:val="auto"/>
              </w:rPr>
              <w:t>农产品仓储运输</w:t>
            </w:r>
            <w:r>
              <w:rPr>
                <w:rFonts w:hint="eastAsia"/>
                <w:color w:val="auto"/>
                <w:lang w:eastAsia="zh-CN"/>
              </w:rPr>
              <w:t>：</w:t>
            </w:r>
            <w:r>
              <w:rPr>
                <w:rFonts w:hint="default"/>
                <w:color w:val="auto"/>
              </w:rPr>
              <w:t>农林牧渔产品储运、保鲜、加工与综合利用</w:t>
            </w:r>
            <w:r>
              <w:rPr>
                <w:rFonts w:hint="eastAsia"/>
                <w:color w:val="auto"/>
                <w:lang w:eastAsia="zh-CN"/>
              </w:rPr>
              <w:t>”</w:t>
            </w:r>
            <w:r>
              <w:rPr>
                <w:rFonts w:hint="default"/>
                <w:color w:val="auto"/>
              </w:rPr>
              <w:t>，为鼓励类项目，项目的建设符合国家相关法律和政策</w:t>
            </w:r>
            <w:r>
              <w:rPr>
                <w:rFonts w:hint="eastAsia"/>
                <w:color w:val="auto"/>
                <w:lang w:eastAsia="zh-CN"/>
              </w:rPr>
              <w:t>。</w:t>
            </w:r>
            <w:r>
              <w:rPr>
                <w:rFonts w:hint="default"/>
                <w:color w:val="auto"/>
                <w:lang w:val="en-US" w:eastAsia="zh-CN"/>
              </w:rPr>
              <w:t>因此，本项目建设符合国家产业政策要求。</w:t>
            </w:r>
          </w:p>
          <w:p w14:paraId="7638651F">
            <w:pPr>
              <w:pStyle w:val="126"/>
              <w:ind w:firstLine="480"/>
              <w:rPr>
                <w:rFonts w:hint="eastAsia" w:eastAsia="宋体"/>
                <w:color w:val="auto"/>
                <w:lang w:eastAsia="zh-CN"/>
              </w:rPr>
            </w:pPr>
            <w:r>
              <w:rPr>
                <w:rFonts w:hint="eastAsia"/>
                <w:color w:val="auto"/>
                <w:sz w:val="24"/>
                <w:szCs w:val="32"/>
                <w:highlight w:val="none"/>
                <w:lang w:val="en-US" w:eastAsia="zh-CN"/>
              </w:rPr>
              <w:t>2、</w:t>
            </w:r>
            <w:r>
              <w:rPr>
                <w:color w:val="auto"/>
                <w:sz w:val="24"/>
                <w:szCs w:val="32"/>
              </w:rPr>
              <w:t>项目</w:t>
            </w:r>
            <w:r>
              <w:rPr>
                <w:rFonts w:hint="default" w:ascii="Times New Roman" w:hAnsi="Times New Roman" w:eastAsia="宋体" w:cs="Times New Roman"/>
                <w:color w:val="auto"/>
                <w:sz w:val="24"/>
                <w:szCs w:val="32"/>
              </w:rPr>
              <w:t>与</w:t>
            </w:r>
            <w:r>
              <w:rPr>
                <w:rFonts w:hint="eastAsia" w:ascii="Times New Roman" w:hAnsi="Times New Roman" w:eastAsia="宋体" w:cs="Times New Roman"/>
                <w:color w:val="auto"/>
                <w:sz w:val="24"/>
                <w:szCs w:val="32"/>
              </w:rPr>
              <w:t>“</w:t>
            </w:r>
            <w:r>
              <w:rPr>
                <w:rFonts w:hint="eastAsia" w:ascii="Times New Roman" w:hAnsi="Times New Roman" w:eastAsia="宋体" w:cs="Times New Roman"/>
                <w:color w:val="auto"/>
                <w:sz w:val="24"/>
                <w:szCs w:val="32"/>
                <w:lang w:val="en-US" w:eastAsia="zh-CN"/>
              </w:rPr>
              <w:t>生态环境分区管控</w:t>
            </w:r>
            <w:r>
              <w:rPr>
                <w:rFonts w:hint="eastAsia" w:ascii="Times New Roman" w:hAnsi="Times New Roman" w:eastAsia="宋体" w:cs="Times New Roman"/>
                <w:color w:val="auto"/>
                <w:sz w:val="24"/>
                <w:szCs w:val="32"/>
              </w:rPr>
              <w:t>”</w:t>
            </w:r>
            <w:r>
              <w:rPr>
                <w:color w:val="auto"/>
              </w:rPr>
              <w:t>符合性分析</w:t>
            </w:r>
            <w:r>
              <w:rPr>
                <w:rFonts w:hint="eastAsia"/>
                <w:color w:val="auto"/>
                <w:lang w:eastAsia="zh-CN"/>
              </w:rPr>
              <w:t>（“</w:t>
            </w:r>
            <w:r>
              <w:rPr>
                <w:rFonts w:hint="eastAsia"/>
                <w:color w:val="auto"/>
                <w:lang w:val="en-US" w:eastAsia="zh-CN"/>
              </w:rPr>
              <w:t>一图一表一说明</w:t>
            </w:r>
            <w:r>
              <w:rPr>
                <w:rFonts w:hint="eastAsia"/>
                <w:color w:val="auto"/>
                <w:lang w:eastAsia="zh-CN"/>
              </w:rPr>
              <w:t>”）</w:t>
            </w:r>
          </w:p>
          <w:p w14:paraId="4804C70F">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32"/>
                <w:highlight w:val="none"/>
                <w:lang w:eastAsia="zh-CN"/>
              </w:rPr>
            </w:pPr>
            <w:r>
              <w:rPr>
                <w:rFonts w:hint="eastAsia"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一图</w:t>
            </w:r>
            <w:r>
              <w:rPr>
                <w:rFonts w:hint="eastAsia"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指的是规划或建设项目与环境管控单元对照分析示意图。</w:t>
            </w:r>
            <w:r>
              <w:rPr>
                <w:rFonts w:hint="eastAsia"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一表</w:t>
            </w:r>
            <w:r>
              <w:rPr>
                <w:rFonts w:hint="eastAsia"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指的是项目或规划范围涉及的生态环境管控单元准入清单。</w:t>
            </w:r>
            <w:r>
              <w:rPr>
                <w:rFonts w:hint="eastAsia"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一说明</w:t>
            </w:r>
            <w:r>
              <w:rPr>
                <w:rFonts w:hint="eastAsia"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指的是依据</w:t>
            </w:r>
            <w:r>
              <w:rPr>
                <w:rFonts w:hint="eastAsia"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一图</w:t>
            </w:r>
            <w:r>
              <w:rPr>
                <w:rFonts w:hint="eastAsia"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和</w:t>
            </w:r>
            <w:r>
              <w:rPr>
                <w:rFonts w:hint="eastAsia"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一表</w:t>
            </w:r>
            <w:r>
              <w:rPr>
                <w:rFonts w:hint="eastAsia"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结果，论证规划或建设。本项目</w:t>
            </w:r>
            <w:r>
              <w:rPr>
                <w:rFonts w:hint="eastAsia"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一图</w:t>
            </w:r>
            <w:r>
              <w:rPr>
                <w:rFonts w:hint="eastAsia"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一表</w:t>
            </w:r>
            <w:r>
              <w:rPr>
                <w:rFonts w:hint="eastAsia"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一说明</w:t>
            </w:r>
            <w:r>
              <w:rPr>
                <w:rFonts w:hint="eastAsia"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相关分析如下</w:t>
            </w:r>
            <w:r>
              <w:rPr>
                <w:rFonts w:hint="eastAsia" w:ascii="Times New Roman" w:hAnsi="Times New Roman" w:eastAsia="宋体" w:cs="Times New Roman"/>
                <w:color w:val="auto"/>
                <w:sz w:val="24"/>
                <w:szCs w:val="32"/>
                <w:highlight w:val="none"/>
                <w:lang w:eastAsia="zh-CN"/>
              </w:rPr>
              <w:t>：</w:t>
            </w:r>
          </w:p>
          <w:p w14:paraId="445738EA">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rPr>
            </w:pPr>
            <w:r>
              <w:rPr>
                <w:rFonts w:hint="eastAsia" w:ascii="Times New Roman" w:hAnsi="Times New Roman" w:eastAsia="宋体" w:cs="Times New Roman"/>
                <w:color w:val="auto"/>
                <w:sz w:val="24"/>
                <w:szCs w:val="32"/>
                <w:highlight w:val="none"/>
                <w:lang w:eastAsia="zh-CN"/>
              </w:rPr>
              <w:t>（</w:t>
            </w:r>
            <w:r>
              <w:rPr>
                <w:rFonts w:hint="eastAsia" w:ascii="Times New Roman" w:hAnsi="Times New Roman" w:eastAsia="宋体" w:cs="Times New Roman"/>
                <w:color w:val="auto"/>
                <w:sz w:val="24"/>
                <w:szCs w:val="32"/>
                <w:highlight w:val="none"/>
                <w:lang w:val="en-US" w:eastAsia="zh-CN"/>
              </w:rPr>
              <w:t>1</w:t>
            </w:r>
            <w:r>
              <w:rPr>
                <w:rFonts w:hint="eastAsia"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一图</w:t>
            </w:r>
            <w:r>
              <w:rPr>
                <w:rFonts w:hint="eastAsia" w:ascii="Times New Roman" w:hAnsi="Times New Roman" w:eastAsia="宋体" w:cs="Times New Roman"/>
                <w:color w:val="auto"/>
                <w:sz w:val="24"/>
                <w:szCs w:val="32"/>
                <w:highlight w:val="none"/>
                <w:lang w:eastAsia="zh-CN"/>
              </w:rPr>
              <w:t>”</w:t>
            </w:r>
          </w:p>
          <w:p w14:paraId="628277DE">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32"/>
                <w:highlight w:val="none"/>
                <w:lang w:eastAsia="zh-CN"/>
              </w:rPr>
            </w:pPr>
            <w:r>
              <w:rPr>
                <w:rFonts w:hint="default" w:ascii="Times New Roman" w:hAnsi="Times New Roman" w:eastAsia="宋体" w:cs="Times New Roman"/>
                <w:color w:val="auto"/>
                <w:sz w:val="24"/>
                <w:szCs w:val="32"/>
                <w:highlight w:val="none"/>
              </w:rPr>
              <w:t>本项目位于双鸭山市重点管控单元，本项目与环境管控单元对照分析示意图见下图</w:t>
            </w:r>
            <w:r>
              <w:rPr>
                <w:rFonts w:hint="eastAsia" w:ascii="Times New Roman" w:hAnsi="Times New Roman" w:eastAsia="宋体" w:cs="Times New Roman"/>
                <w:color w:val="auto"/>
                <w:sz w:val="24"/>
                <w:szCs w:val="32"/>
                <w:highlight w:val="none"/>
                <w:lang w:eastAsia="zh-CN"/>
              </w:rPr>
              <w:t>。</w:t>
            </w:r>
          </w:p>
          <w:p w14:paraId="02E62AD5">
            <w:pPr>
              <w:keepNext w:val="0"/>
              <w:keepLines w:val="0"/>
              <w:suppressLineNumbers w:val="0"/>
              <w:spacing w:before="0" w:beforeAutospacing="0" w:after="0" w:afterAutospacing="0" w:line="360" w:lineRule="auto"/>
              <w:ind w:right="0"/>
              <w:jc w:val="center"/>
              <w:rPr>
                <w:rFonts w:hint="default"/>
                <w:color w:val="auto"/>
                <w:sz w:val="24"/>
                <w:szCs w:val="32"/>
                <w:highlight w:val="none"/>
              </w:rPr>
            </w:pPr>
            <w:r>
              <w:rPr>
                <w:rFonts w:hint="eastAsia"/>
                <w:color w:val="auto"/>
                <w:lang w:val="en-US" w:eastAsia="zh-CN"/>
              </w:rPr>
              <w:drawing>
                <wp:inline distT="0" distB="0" distL="114300" distR="114300">
                  <wp:extent cx="4838700" cy="2647950"/>
                  <wp:effectExtent l="0" t="0" r="0" b="0"/>
                  <wp:docPr id="14" name="图片 14" descr="双鸭山市尖山区众诚种植养殖农民专业合作社新建_2025年10月09日164350_分析报告_page-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双鸭山市尖山区众诚种植养殖农民专业合作社新建_2025年10月09日164350_分析报告_page-0007"/>
                          <pic:cNvPicPr>
                            <a:picLocks noChangeAspect="1"/>
                          </pic:cNvPicPr>
                        </pic:nvPicPr>
                        <pic:blipFill>
                          <a:blip r:embed="rId9"/>
                          <a:srcRect l="9000" t="12953" r="8890" b="23541"/>
                          <a:stretch>
                            <a:fillRect/>
                          </a:stretch>
                        </pic:blipFill>
                        <pic:spPr>
                          <a:xfrm>
                            <a:off x="0" y="0"/>
                            <a:ext cx="4838700" cy="2647950"/>
                          </a:xfrm>
                          <a:prstGeom prst="rect">
                            <a:avLst/>
                          </a:prstGeom>
                        </pic:spPr>
                      </pic:pic>
                    </a:graphicData>
                  </a:graphic>
                </wp:inline>
              </w:drawing>
            </w:r>
          </w:p>
          <w:p w14:paraId="772D65B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eastAsia" w:ascii="Times New Roman" w:hAnsi="Times New Roman" w:eastAsia="宋体" w:cs="Times New Roman"/>
                <w:b/>
                <w:bCs/>
                <w:color w:val="auto"/>
                <w:kern w:val="0"/>
                <w:sz w:val="21"/>
                <w:szCs w:val="21"/>
                <w:highlight w:val="none"/>
                <w:lang w:val="en-US" w:eastAsia="zh-CN" w:bidi="ar-SA"/>
              </w:rPr>
              <w:t>图1-1  本项目与环境管控单元叠加图</w:t>
            </w:r>
          </w:p>
          <w:p w14:paraId="22DC72DE">
            <w:pPr>
              <w:keepNext w:val="0"/>
              <w:keepLines w:val="0"/>
              <w:numPr>
                <w:ilvl w:val="0"/>
                <w:numId w:val="2"/>
              </w:numPr>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rPr>
            </w:pPr>
            <w:r>
              <w:rPr>
                <w:rFonts w:hint="eastAsia"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一表</w:t>
            </w:r>
            <w:r>
              <w:rPr>
                <w:rFonts w:hint="eastAsia" w:ascii="Times New Roman" w:hAnsi="Times New Roman" w:eastAsia="宋体" w:cs="Times New Roman"/>
                <w:color w:val="auto"/>
                <w:sz w:val="24"/>
                <w:szCs w:val="32"/>
                <w:highlight w:val="none"/>
                <w:lang w:eastAsia="zh-CN"/>
              </w:rPr>
              <w:t>”</w:t>
            </w:r>
          </w:p>
          <w:p w14:paraId="13FE02D4">
            <w:pPr>
              <w:keepNext w:val="0"/>
              <w:keepLines w:val="0"/>
              <w:numPr>
                <w:ilvl w:val="0"/>
                <w:numId w:val="0"/>
              </w:numPr>
              <w:suppressLineNumbers w:val="0"/>
              <w:spacing w:before="0" w:beforeAutospacing="0" w:after="0" w:afterAutospacing="0" w:line="360" w:lineRule="auto"/>
              <w:ind w:leftChars="200" w:right="0" w:rightChars="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本项目与</w:t>
            </w:r>
            <w:r>
              <w:rPr>
                <w:rFonts w:hint="eastAsia"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三线一单</w:t>
            </w:r>
            <w:r>
              <w:rPr>
                <w:rFonts w:hint="eastAsia"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符合性分析见下表：</w:t>
            </w:r>
          </w:p>
          <w:p w14:paraId="3D68433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eastAsia" w:ascii="Times New Roman" w:hAnsi="Times New Roman" w:eastAsia="宋体" w:cs="Times New Roman"/>
                <w:b/>
                <w:bCs/>
                <w:color w:val="auto"/>
                <w:kern w:val="0"/>
                <w:sz w:val="21"/>
                <w:szCs w:val="21"/>
                <w:highlight w:val="none"/>
                <w:lang w:val="en-US" w:eastAsia="zh-CN" w:bidi="ar-SA"/>
              </w:rPr>
              <w:t>表1-2  本项目与“生态环境管控”符合性分析</w:t>
            </w:r>
          </w:p>
          <w:tbl>
            <w:tblPr>
              <w:tblStyle w:val="3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06"/>
              <w:gridCol w:w="640"/>
              <w:gridCol w:w="3477"/>
              <w:gridCol w:w="2601"/>
            </w:tblGrid>
            <w:tr w14:paraId="3144A6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4"/>
                  <w:tcBorders>
                    <w:tl2br w:val="nil"/>
                    <w:tr2bl w:val="nil"/>
                  </w:tcBorders>
                  <w:vAlign w:val="center"/>
                </w:tcPr>
                <w:p w14:paraId="15555DF6">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一、生态保护红线</w:t>
                  </w:r>
                </w:p>
              </w:tc>
            </w:tr>
            <w:tr w14:paraId="54F1F4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25BEBCD3">
                  <w:pPr>
                    <w:keepNext w:val="0"/>
                    <w:keepLines w:val="0"/>
                    <w:suppressLineNumbers w:val="0"/>
                    <w:spacing w:before="0" w:beforeAutospacing="0" w:after="0" w:afterAutospacing="0" w:line="240" w:lineRule="auto"/>
                    <w:ind w:right="0"/>
                    <w:jc w:val="center"/>
                    <w:rPr>
                      <w:rFonts w:hint="default" w:ascii="Times New Roman" w:hAnsi="Times New Roman" w:cs="Times New Roman"/>
                      <w:color w:val="auto"/>
                      <w:sz w:val="21"/>
                      <w:szCs w:val="21"/>
                      <w:highlight w:val="none"/>
                      <w:vertAlign w:val="baseline"/>
                    </w:rPr>
                  </w:pPr>
                  <w:r>
                    <w:rPr>
                      <w:rFonts w:hint="default" w:ascii="Times New Roman" w:hAnsi="Times New Roman" w:eastAsia="宋体" w:cs="Times New Roman"/>
                      <w:color w:val="auto"/>
                      <w:sz w:val="21"/>
                      <w:szCs w:val="21"/>
                    </w:rPr>
                    <w:t>管控单元类别</w:t>
                  </w:r>
                </w:p>
              </w:tc>
              <w:tc>
                <w:tcPr>
                  <w:tcW w:w="4348" w:type="pct"/>
                  <w:gridSpan w:val="3"/>
                  <w:tcBorders>
                    <w:tl2br w:val="nil"/>
                    <w:tr2bl w:val="nil"/>
                  </w:tcBorders>
                  <w:vAlign w:val="center"/>
                </w:tcPr>
                <w:p w14:paraId="631CD002">
                  <w:pPr>
                    <w:keepNext w:val="0"/>
                    <w:keepLines w:val="0"/>
                    <w:suppressLineNumbers w:val="0"/>
                    <w:spacing w:before="0" w:beforeAutospacing="0" w:after="0" w:afterAutospacing="0" w:line="240" w:lineRule="auto"/>
                    <w:ind w:right="0"/>
                    <w:jc w:val="center"/>
                    <w:rPr>
                      <w:rFonts w:hint="default" w:ascii="Times New Roman" w:hAnsi="Times New Roman" w:cs="Times New Roman"/>
                      <w:color w:val="auto"/>
                      <w:sz w:val="21"/>
                      <w:szCs w:val="21"/>
                      <w:highlight w:val="none"/>
                      <w:vertAlign w:val="baseline"/>
                    </w:rPr>
                  </w:pPr>
                  <w:r>
                    <w:rPr>
                      <w:rFonts w:hint="default" w:ascii="Times New Roman" w:hAnsi="Times New Roman" w:eastAsia="宋体" w:cs="Times New Roman"/>
                      <w:color w:val="auto"/>
                      <w:sz w:val="21"/>
                      <w:szCs w:val="21"/>
                    </w:rPr>
                    <w:t>一般管控区</w:t>
                  </w:r>
                </w:p>
              </w:tc>
            </w:tr>
            <w:tr w14:paraId="769D62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312DD538">
                  <w:pPr>
                    <w:keepNext w:val="0"/>
                    <w:keepLines w:val="0"/>
                    <w:suppressLineNumbers w:val="0"/>
                    <w:spacing w:before="0" w:beforeAutospacing="0" w:after="0" w:afterAutospacing="0" w:line="240" w:lineRule="auto"/>
                    <w:ind w:right="0"/>
                    <w:jc w:val="center"/>
                    <w:rPr>
                      <w:rFonts w:hint="default" w:ascii="Times New Roman" w:hAnsi="Times New Roman" w:cs="Times New Roman"/>
                      <w:color w:val="auto"/>
                      <w:sz w:val="21"/>
                      <w:szCs w:val="21"/>
                      <w:highlight w:val="none"/>
                      <w:vertAlign w:val="baseline"/>
                    </w:rPr>
                  </w:pPr>
                  <w:r>
                    <w:rPr>
                      <w:rFonts w:hint="default" w:ascii="Times New Roman" w:hAnsi="Times New Roman" w:eastAsia="宋体" w:cs="Times New Roman"/>
                      <w:color w:val="auto"/>
                      <w:sz w:val="21"/>
                      <w:szCs w:val="21"/>
                    </w:rPr>
                    <w:t>管控要求</w:t>
                  </w:r>
                </w:p>
              </w:tc>
              <w:tc>
                <w:tcPr>
                  <w:tcW w:w="4348" w:type="pct"/>
                  <w:gridSpan w:val="3"/>
                  <w:tcBorders>
                    <w:tl2br w:val="nil"/>
                    <w:tr2bl w:val="nil"/>
                  </w:tcBorders>
                  <w:vAlign w:val="center"/>
                </w:tcPr>
                <w:p w14:paraId="32DF8843">
                  <w:pPr>
                    <w:keepNext w:val="0"/>
                    <w:keepLines w:val="0"/>
                    <w:suppressLineNumbers w:val="0"/>
                    <w:spacing w:before="0" w:beforeAutospacing="0" w:after="0" w:afterAutospacing="0" w:line="240" w:lineRule="auto"/>
                    <w:ind w:right="0"/>
                    <w:jc w:val="left"/>
                    <w:rPr>
                      <w:rFonts w:hint="default" w:ascii="Times New Roman" w:hAnsi="Times New Roman" w:cs="Times New Roman"/>
                      <w:color w:val="auto"/>
                      <w:sz w:val="21"/>
                      <w:szCs w:val="21"/>
                      <w:highlight w:val="none"/>
                      <w:vertAlign w:val="baseline"/>
                    </w:rPr>
                  </w:pPr>
                  <w:r>
                    <w:rPr>
                      <w:rFonts w:hint="default" w:ascii="Times New Roman" w:hAnsi="Times New Roman" w:eastAsia="宋体" w:cs="Times New Roman"/>
                      <w:color w:val="auto"/>
                      <w:sz w:val="21"/>
                      <w:szCs w:val="21"/>
                    </w:rPr>
                    <w:t>生态空间包括生态保护红线和一般生态空间，生态保护红线及一般生态空间均属于优先保护区，其余区域属于一般管控区。</w:t>
                  </w:r>
                </w:p>
              </w:tc>
            </w:tr>
            <w:tr w14:paraId="1619F4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71647FCA">
                  <w:pPr>
                    <w:keepNext w:val="0"/>
                    <w:keepLines w:val="0"/>
                    <w:suppressLineNumbers w:val="0"/>
                    <w:spacing w:before="0" w:beforeAutospacing="0" w:after="0" w:afterAutospacing="0" w:line="240" w:lineRule="auto"/>
                    <w:ind w:right="0"/>
                    <w:jc w:val="center"/>
                    <w:rPr>
                      <w:rFonts w:hint="default" w:ascii="Times New Roman" w:hAnsi="Times New Roman" w:cs="Times New Roman"/>
                      <w:color w:val="auto"/>
                      <w:sz w:val="21"/>
                      <w:szCs w:val="21"/>
                      <w:highlight w:val="none"/>
                      <w:vertAlign w:val="baseline"/>
                    </w:rPr>
                  </w:pPr>
                  <w:r>
                    <w:rPr>
                      <w:rFonts w:hint="default" w:ascii="Times New Roman" w:hAnsi="Times New Roman" w:eastAsia="宋体" w:cs="Times New Roman"/>
                      <w:color w:val="auto"/>
                      <w:sz w:val="21"/>
                      <w:szCs w:val="21"/>
                    </w:rPr>
                    <w:t>符合性分析</w:t>
                  </w:r>
                </w:p>
              </w:tc>
              <w:tc>
                <w:tcPr>
                  <w:tcW w:w="4348" w:type="pct"/>
                  <w:gridSpan w:val="3"/>
                  <w:tcBorders>
                    <w:tl2br w:val="nil"/>
                    <w:tr2bl w:val="nil"/>
                  </w:tcBorders>
                  <w:vAlign w:val="center"/>
                </w:tcPr>
                <w:p w14:paraId="6754B7F8">
                  <w:pPr>
                    <w:keepNext w:val="0"/>
                    <w:keepLines w:val="0"/>
                    <w:suppressLineNumbers w:val="0"/>
                    <w:spacing w:before="0" w:beforeAutospacing="0" w:after="0" w:afterAutospacing="0" w:line="240" w:lineRule="auto"/>
                    <w:ind w:right="0"/>
                    <w:jc w:val="left"/>
                    <w:rPr>
                      <w:rFonts w:hint="default" w:ascii="Times New Roman" w:hAnsi="Times New Roman" w:cs="Times New Roman"/>
                      <w:color w:val="auto"/>
                      <w:sz w:val="21"/>
                      <w:szCs w:val="21"/>
                      <w:highlight w:val="none"/>
                      <w:vertAlign w:val="baseline"/>
                    </w:rPr>
                  </w:pPr>
                  <w:r>
                    <w:rPr>
                      <w:rFonts w:hint="default" w:ascii="Times New Roman" w:hAnsi="Times New Roman" w:eastAsia="宋体" w:cs="Times New Roman"/>
                      <w:color w:val="auto"/>
                      <w:sz w:val="21"/>
                      <w:szCs w:val="21"/>
                    </w:rPr>
                    <w:t>本规划位于双鸭山市</w:t>
                  </w:r>
                  <w:r>
                    <w:rPr>
                      <w:rFonts w:hint="eastAsia" w:ascii="Times New Roman" w:hAnsi="Times New Roman" w:eastAsia="宋体" w:cs="Times New Roman"/>
                      <w:color w:val="auto"/>
                      <w:sz w:val="21"/>
                      <w:szCs w:val="21"/>
                      <w:lang w:val="en-US" w:eastAsia="zh-CN"/>
                    </w:rPr>
                    <w:t>尖山</w:t>
                  </w:r>
                  <w:r>
                    <w:rPr>
                      <w:rFonts w:hint="default" w:ascii="Times New Roman" w:hAnsi="Times New Roman" w:eastAsia="宋体" w:cs="Times New Roman"/>
                      <w:color w:val="auto"/>
                      <w:sz w:val="21"/>
                      <w:szCs w:val="21"/>
                    </w:rPr>
                    <w:t>区，根据双鸭山市生态空间分布图，所在区域不属于生态保护红线和一般生态空间，园区规划范围内自然保护区、饮用水源保护区等生态保护目标，属于一般管控区。因此本项目符合生态保护红线要求。</w:t>
                  </w:r>
                </w:p>
              </w:tc>
            </w:tr>
            <w:tr w14:paraId="7A21B6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4"/>
                  <w:tcBorders>
                    <w:tl2br w:val="nil"/>
                    <w:tr2bl w:val="nil"/>
                  </w:tcBorders>
                  <w:vAlign w:val="center"/>
                </w:tcPr>
                <w:p w14:paraId="74C37232">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二、环境质量底线</w:t>
                  </w:r>
                </w:p>
              </w:tc>
            </w:tr>
            <w:tr w14:paraId="119444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4"/>
                  <w:tcBorders>
                    <w:tl2br w:val="nil"/>
                    <w:tr2bl w:val="nil"/>
                  </w:tcBorders>
                  <w:vAlign w:val="center"/>
                </w:tcPr>
                <w:p w14:paraId="0EBCBE6C">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大气环境</w:t>
                  </w:r>
                </w:p>
              </w:tc>
            </w:tr>
            <w:tr w14:paraId="7B69DD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57247C1C">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管控单元类别</w:t>
                  </w:r>
                </w:p>
              </w:tc>
              <w:tc>
                <w:tcPr>
                  <w:tcW w:w="4348" w:type="pct"/>
                  <w:gridSpan w:val="3"/>
                  <w:tcBorders>
                    <w:tl2br w:val="nil"/>
                    <w:tr2bl w:val="nil"/>
                  </w:tcBorders>
                  <w:vAlign w:val="center"/>
                </w:tcPr>
                <w:p w14:paraId="179B645D">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大气环境受体敏感重点管控区</w:t>
                  </w:r>
                </w:p>
              </w:tc>
            </w:tr>
            <w:tr w14:paraId="103E1A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16" w:type="pct"/>
                  <w:gridSpan w:val="3"/>
                  <w:tcBorders>
                    <w:tl2br w:val="nil"/>
                    <w:tr2bl w:val="nil"/>
                  </w:tcBorders>
                  <w:vAlign w:val="center"/>
                </w:tcPr>
                <w:p w14:paraId="35D93309">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管控要求</w:t>
                  </w:r>
                </w:p>
              </w:tc>
              <w:tc>
                <w:tcPr>
                  <w:tcW w:w="1683" w:type="pct"/>
                  <w:tcBorders>
                    <w:tl2br w:val="nil"/>
                    <w:tr2bl w:val="nil"/>
                  </w:tcBorders>
                  <w:vAlign w:val="center"/>
                </w:tcPr>
                <w:p w14:paraId="4DBE744E">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符合性分析</w:t>
                  </w:r>
                </w:p>
              </w:tc>
            </w:tr>
            <w:tr w14:paraId="43ACCF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420AC2A9">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665" w:type="pct"/>
                  <w:gridSpan w:val="2"/>
                  <w:tcBorders>
                    <w:tl2br w:val="nil"/>
                    <w:tr2bl w:val="nil"/>
                  </w:tcBorders>
                  <w:vAlign w:val="center"/>
                </w:tcPr>
                <w:p w14:paraId="3FABA036">
                  <w:pPr>
                    <w:keepNext w:val="0"/>
                    <w:keepLines w:val="0"/>
                    <w:suppressLineNumbers w:val="0"/>
                    <w:spacing w:before="0" w:beforeAutospacing="0" w:after="0" w:afterAutospacing="0" w:line="240" w:lineRule="auto"/>
                    <w:ind w:right="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1.严控“两高”行业产能。严格执行钢铁</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水泥、平板玻璃等行业产能置换实施办法</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2.利用水泥窑协同处置城市生活垃圾、危险废弃物、电石渣等固废伴生水泥项目，必须依托现有新型干法水泥熟料生产线进行不扩产能改造。</w:t>
                  </w:r>
                </w:p>
              </w:tc>
              <w:tc>
                <w:tcPr>
                  <w:tcW w:w="1683" w:type="pct"/>
                  <w:tcBorders>
                    <w:tl2br w:val="nil"/>
                    <w:tr2bl w:val="nil"/>
                  </w:tcBorders>
                  <w:vAlign w:val="center"/>
                </w:tcPr>
                <w:p w14:paraId="2CF0C02D">
                  <w:pPr>
                    <w:keepNext w:val="0"/>
                    <w:keepLines w:val="0"/>
                    <w:suppressLineNumbers w:val="0"/>
                    <w:spacing w:before="0" w:beforeAutospacing="0" w:after="0" w:afterAutospacing="0" w:line="240" w:lineRule="auto"/>
                    <w:ind w:right="0"/>
                    <w:jc w:val="left"/>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本项目属于鲜食玉米加工项目，不属于“两高”行业，不属于</w:t>
                  </w:r>
                  <w:r>
                    <w:rPr>
                      <w:rFonts w:hint="default" w:ascii="Times New Roman" w:hAnsi="Times New Roman" w:eastAsia="宋体" w:cs="Times New Roman"/>
                      <w:color w:val="auto"/>
                      <w:sz w:val="21"/>
                      <w:szCs w:val="21"/>
                    </w:rPr>
                    <w:t>钢铁</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水泥、平板玻璃等行业</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不属于</w:t>
                  </w:r>
                  <w:r>
                    <w:rPr>
                      <w:rFonts w:hint="default" w:ascii="Times New Roman" w:hAnsi="Times New Roman" w:eastAsia="宋体" w:cs="Times New Roman"/>
                      <w:color w:val="auto"/>
                      <w:sz w:val="21"/>
                      <w:szCs w:val="21"/>
                    </w:rPr>
                    <w:t>利用水泥窑协同处置城市生活垃圾、危险废弃物、电石渣等固废伴生水泥项目</w:t>
                  </w:r>
                  <w:r>
                    <w:rPr>
                      <w:rFonts w:hint="eastAsia" w:ascii="Times New Roman" w:hAnsi="Times New Roman" w:eastAsia="宋体" w:cs="Times New Roman"/>
                      <w:color w:val="auto"/>
                      <w:sz w:val="21"/>
                      <w:szCs w:val="21"/>
                      <w:lang w:eastAsia="zh-CN"/>
                    </w:rPr>
                    <w:t>。</w:t>
                  </w:r>
                </w:p>
              </w:tc>
            </w:tr>
            <w:tr w14:paraId="093134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056A9F6B">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665" w:type="pct"/>
                  <w:gridSpan w:val="2"/>
                  <w:tcBorders>
                    <w:tl2br w:val="nil"/>
                    <w:tr2bl w:val="nil"/>
                  </w:tcBorders>
                  <w:vAlign w:val="center"/>
                </w:tcPr>
                <w:p w14:paraId="37CF7AB9">
                  <w:pPr>
                    <w:keepNext w:val="0"/>
                    <w:keepLines w:val="0"/>
                    <w:suppressLineNumbers w:val="0"/>
                    <w:spacing w:before="0" w:beforeAutospacing="0" w:after="0" w:afterAutospacing="0" w:line="240" w:lineRule="auto"/>
                    <w:ind w:right="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对以煤、石焦油、渣油、重油等为燃料的锅炉和工业炉窑，加快使用清洁低碳能源以及工厂余热、电力热力等进行替代。2.到2025年，在用65蒸吨/小时以上的燃煤锅炉(含电力)实现超低排放，钢铁企业基本实现超低排放。</w:t>
                  </w:r>
                </w:p>
              </w:tc>
              <w:tc>
                <w:tcPr>
                  <w:tcW w:w="1683" w:type="pct"/>
                  <w:tcBorders>
                    <w:tl2br w:val="nil"/>
                    <w:tr2bl w:val="nil"/>
                  </w:tcBorders>
                  <w:vAlign w:val="center"/>
                </w:tcPr>
                <w:p w14:paraId="4F29710C">
                  <w:pPr>
                    <w:keepNext w:val="0"/>
                    <w:keepLines w:val="0"/>
                    <w:suppressLineNumbers w:val="0"/>
                    <w:spacing w:before="0" w:beforeAutospacing="0" w:after="0" w:afterAutospacing="0" w:line="240" w:lineRule="auto"/>
                    <w:ind w:right="0"/>
                    <w:jc w:val="left"/>
                    <w:rPr>
                      <w:rFonts w:hint="eastAsia" w:ascii="Times New Roman" w:hAnsi="Times New Roman" w:eastAsia="宋体" w:cs="Times New Roman"/>
                      <w:color w:val="auto"/>
                      <w:sz w:val="21"/>
                      <w:szCs w:val="21"/>
                      <w:lang w:val="en-US" w:eastAsia="zh-CN"/>
                    </w:rPr>
                  </w:pPr>
                  <w:r>
                    <w:rPr>
                      <w:rFonts w:hint="eastAsia"/>
                      <w:color w:val="auto"/>
                      <w:szCs w:val="21"/>
                      <w:lang w:val="en-US" w:eastAsia="zh-CN"/>
                    </w:rPr>
                    <w:t>本项目生产和冬季供暖采用1台4t/h燃生物质锅炉，燃料为生物质成型燃料。</w:t>
                  </w:r>
                </w:p>
              </w:tc>
            </w:tr>
            <w:tr w14:paraId="4C0FA5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4FEBE658">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665" w:type="pct"/>
                  <w:gridSpan w:val="2"/>
                  <w:tcBorders>
                    <w:tl2br w:val="nil"/>
                    <w:tr2bl w:val="nil"/>
                  </w:tcBorders>
                  <w:vAlign w:val="center"/>
                </w:tcPr>
                <w:p w14:paraId="45E4671F">
                  <w:pPr>
                    <w:keepNext w:val="0"/>
                    <w:keepLines w:val="0"/>
                    <w:suppressLineNumbers w:val="0"/>
                    <w:spacing w:before="0" w:beforeAutospacing="0" w:after="0" w:afterAutospacing="0" w:line="240" w:lineRule="auto"/>
                    <w:ind w:right="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禁止在居民区、学校、医疗和养老机构等周边新建有色金属冶炼、焦化等行业企业</w:t>
                  </w:r>
                </w:p>
              </w:tc>
              <w:tc>
                <w:tcPr>
                  <w:tcW w:w="1683" w:type="pct"/>
                  <w:tcBorders>
                    <w:tl2br w:val="nil"/>
                    <w:tr2bl w:val="nil"/>
                  </w:tcBorders>
                  <w:vAlign w:val="center"/>
                </w:tcPr>
                <w:p w14:paraId="6AA7F364">
                  <w:pPr>
                    <w:keepNext w:val="0"/>
                    <w:keepLines w:val="0"/>
                    <w:suppressLineNumbers w:val="0"/>
                    <w:spacing w:before="0" w:beforeAutospacing="0" w:after="0" w:afterAutospacing="0" w:line="240" w:lineRule="auto"/>
                    <w:ind w:right="0"/>
                    <w:jc w:val="left"/>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本项目属于鲜食玉米加工项目，不属于</w:t>
                  </w:r>
                  <w:r>
                    <w:rPr>
                      <w:rFonts w:hint="default" w:ascii="Times New Roman" w:hAnsi="Times New Roman" w:eastAsia="宋体" w:cs="Times New Roman"/>
                      <w:color w:val="auto"/>
                      <w:sz w:val="21"/>
                      <w:szCs w:val="21"/>
                    </w:rPr>
                    <w:t>有色金属冶炼、焦化等行业</w:t>
                  </w:r>
                  <w:r>
                    <w:rPr>
                      <w:rFonts w:hint="eastAsia" w:ascii="Times New Roman" w:hAnsi="Times New Roman" w:eastAsia="宋体" w:cs="Times New Roman"/>
                      <w:color w:val="auto"/>
                      <w:sz w:val="21"/>
                      <w:szCs w:val="21"/>
                      <w:lang w:eastAsia="zh-CN"/>
                    </w:rPr>
                    <w:t>。</w:t>
                  </w:r>
                </w:p>
              </w:tc>
            </w:tr>
            <w:tr w14:paraId="296352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4F9FB76D">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资源利用效率要求</w:t>
                  </w:r>
                </w:p>
              </w:tc>
              <w:tc>
                <w:tcPr>
                  <w:tcW w:w="2665" w:type="pct"/>
                  <w:gridSpan w:val="2"/>
                  <w:tcBorders>
                    <w:tl2br w:val="nil"/>
                    <w:tr2bl w:val="nil"/>
                  </w:tcBorders>
                  <w:vAlign w:val="center"/>
                </w:tcPr>
                <w:p w14:paraId="56C89E5C">
                  <w:pPr>
                    <w:keepNext w:val="0"/>
                    <w:keepLines w:val="0"/>
                    <w:suppressLineNumbers w:val="0"/>
                    <w:spacing w:before="0" w:beforeAutospacing="0" w:after="0" w:afterAutospacing="0" w:line="240" w:lineRule="auto"/>
                    <w:ind w:right="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污染燃料禁燃区同时执行“1)在禁燃区内，禁止销售、燃用高污染燃料;禁止新建、扩建燃用高污染燃料的设施，已建成的，应当在城市人民政府规定的期限内改用天然气、页岩气、液化石油气、电或者其他清洁能源。2)城市建设应当统筹规划在燃煤供热地区，推进热电联产和集中供热。在集中供热管网覆盖地区，禁止新建扩建分散燃煤供热锅炉;已建成的不能达标排放的燃煤供热锅炉，应当在城市人民政府规定的期限内拆除。</w:t>
                  </w:r>
                </w:p>
              </w:tc>
              <w:tc>
                <w:tcPr>
                  <w:tcW w:w="1683" w:type="pct"/>
                  <w:tcBorders>
                    <w:tl2br w:val="nil"/>
                    <w:tr2bl w:val="nil"/>
                  </w:tcBorders>
                  <w:vAlign w:val="center"/>
                </w:tcPr>
                <w:p w14:paraId="128CD5BF">
                  <w:pPr>
                    <w:keepNext w:val="0"/>
                    <w:keepLines w:val="0"/>
                    <w:suppressLineNumbers w:val="0"/>
                    <w:spacing w:before="0" w:beforeAutospacing="0" w:after="0" w:afterAutospacing="0" w:line="240" w:lineRule="auto"/>
                    <w:ind w:right="0"/>
                    <w:jc w:val="left"/>
                    <w:rPr>
                      <w:rFonts w:hint="default" w:ascii="Times New Roman" w:hAnsi="Times New Roman" w:eastAsia="宋体" w:cs="Times New Roman"/>
                      <w:color w:val="auto"/>
                      <w:sz w:val="21"/>
                      <w:szCs w:val="21"/>
                      <w:lang w:val="en-US" w:eastAsia="zh-CN"/>
                    </w:rPr>
                  </w:pPr>
                  <w:r>
                    <w:rPr>
                      <w:rFonts w:hint="eastAsia"/>
                      <w:color w:val="auto"/>
                      <w:szCs w:val="21"/>
                      <w:lang w:val="en-US" w:eastAsia="zh-CN"/>
                    </w:rPr>
                    <w:t>本项目生产和冬季供暖采用1台4t/h燃生物质锅炉，燃料为生物质成型燃料。</w:t>
                  </w:r>
                </w:p>
              </w:tc>
            </w:tr>
            <w:tr w14:paraId="61B90B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4"/>
                  <w:tcBorders>
                    <w:tl2br w:val="nil"/>
                    <w:tr2bl w:val="nil"/>
                  </w:tcBorders>
                  <w:vAlign w:val="center"/>
                </w:tcPr>
                <w:p w14:paraId="71D8628F">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水</w:t>
                  </w:r>
                  <w:r>
                    <w:rPr>
                      <w:rFonts w:hint="default" w:ascii="Times New Roman" w:hAnsi="Times New Roman" w:eastAsia="宋体" w:cs="Times New Roman"/>
                      <w:color w:val="auto"/>
                      <w:sz w:val="21"/>
                      <w:szCs w:val="21"/>
                    </w:rPr>
                    <w:t>环境</w:t>
                  </w:r>
                </w:p>
              </w:tc>
            </w:tr>
            <w:tr w14:paraId="2A679F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6D40D48B">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管控单元类别</w:t>
                  </w:r>
                </w:p>
              </w:tc>
              <w:tc>
                <w:tcPr>
                  <w:tcW w:w="4348" w:type="pct"/>
                  <w:gridSpan w:val="3"/>
                  <w:tcBorders>
                    <w:tl2br w:val="nil"/>
                    <w:tr2bl w:val="nil"/>
                  </w:tcBorders>
                  <w:vAlign w:val="center"/>
                </w:tcPr>
                <w:p w14:paraId="684916F3">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水环境一般管控区</w:t>
                  </w:r>
                </w:p>
              </w:tc>
            </w:tr>
            <w:tr w14:paraId="391F0B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16" w:type="pct"/>
                  <w:gridSpan w:val="3"/>
                  <w:tcBorders>
                    <w:tl2br w:val="nil"/>
                    <w:tr2bl w:val="nil"/>
                  </w:tcBorders>
                  <w:vAlign w:val="center"/>
                </w:tcPr>
                <w:p w14:paraId="2641C157">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管控要求</w:t>
                  </w:r>
                </w:p>
              </w:tc>
              <w:tc>
                <w:tcPr>
                  <w:tcW w:w="1683" w:type="pct"/>
                  <w:tcBorders>
                    <w:tl2br w:val="nil"/>
                    <w:tr2bl w:val="nil"/>
                  </w:tcBorders>
                  <w:vAlign w:val="center"/>
                </w:tcPr>
                <w:p w14:paraId="5523D5FA">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符合性分析</w:t>
                  </w:r>
                </w:p>
              </w:tc>
            </w:tr>
            <w:tr w14:paraId="07F828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51" w:type="pct"/>
                  <w:tcBorders>
                    <w:tl2br w:val="nil"/>
                    <w:tr2bl w:val="nil"/>
                  </w:tcBorders>
                  <w:vAlign w:val="center"/>
                </w:tcPr>
                <w:p w14:paraId="1A166F77">
                  <w:pPr>
                    <w:keepNext w:val="0"/>
                    <w:keepLines w:val="0"/>
                    <w:suppressLineNumbers w:val="0"/>
                    <w:spacing w:before="0" w:beforeAutospacing="0" w:after="0" w:afterAutospacing="0" w:line="240" w:lineRule="auto"/>
                    <w:ind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665" w:type="pct"/>
                  <w:gridSpan w:val="2"/>
                  <w:tcBorders>
                    <w:tl2br w:val="nil"/>
                    <w:tr2bl w:val="nil"/>
                  </w:tcBorders>
                  <w:vAlign w:val="center"/>
                </w:tcPr>
                <w:p w14:paraId="7779A427">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提高规模化养殖占比，禁养区外新建、扩建和改建规模化畜离养殖场(小区)，要配套建设粪便污水贮存、处理、利用设施</w:t>
                  </w:r>
                </w:p>
              </w:tc>
              <w:tc>
                <w:tcPr>
                  <w:tcW w:w="1683" w:type="pct"/>
                  <w:tcBorders>
                    <w:tl2br w:val="nil"/>
                    <w:tr2bl w:val="nil"/>
                  </w:tcBorders>
                  <w:vAlign w:val="center"/>
                </w:tcPr>
                <w:p w14:paraId="454B14AA">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本项目属于鲜食玉米加工项目，不属于养殖场（小区）。</w:t>
                  </w:r>
                </w:p>
              </w:tc>
            </w:tr>
            <w:tr w14:paraId="4E659D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0FE45367">
                  <w:pPr>
                    <w:keepNext w:val="0"/>
                    <w:keepLines w:val="0"/>
                    <w:suppressLineNumbers w:val="0"/>
                    <w:spacing w:before="0" w:beforeAutospacing="0" w:after="0" w:afterAutospacing="0" w:line="240" w:lineRule="auto"/>
                    <w:ind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665" w:type="pct"/>
                  <w:gridSpan w:val="2"/>
                  <w:tcBorders>
                    <w:tl2br w:val="nil"/>
                    <w:tr2bl w:val="nil"/>
                  </w:tcBorders>
                  <w:vAlign w:val="center"/>
                </w:tcPr>
                <w:p w14:paraId="3CDBC91F">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加强畜离养殖污染管控。加大涉水企业治污设施升级改造力度，提高污染治理水平。加强污水厂日常监管，确保达标排放。</w:t>
                  </w:r>
                </w:p>
              </w:tc>
              <w:tc>
                <w:tcPr>
                  <w:tcW w:w="1683" w:type="pct"/>
                  <w:tcBorders>
                    <w:tl2br w:val="nil"/>
                    <w:tr2bl w:val="nil"/>
                  </w:tcBorders>
                  <w:vAlign w:val="center"/>
                </w:tcPr>
                <w:p w14:paraId="3FD131B0">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本项目属于鲜食玉米加工项目，不属于养殖场（小区）。</w:t>
                  </w:r>
                </w:p>
              </w:tc>
            </w:tr>
            <w:tr w14:paraId="5869D1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041F6AC7">
                  <w:pPr>
                    <w:keepNext w:val="0"/>
                    <w:keepLines w:val="0"/>
                    <w:suppressLineNumbers w:val="0"/>
                    <w:spacing w:before="0" w:beforeAutospacing="0" w:after="0" w:afterAutospacing="0" w:line="240" w:lineRule="auto"/>
                    <w:ind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665" w:type="pct"/>
                  <w:gridSpan w:val="2"/>
                  <w:tcBorders>
                    <w:tl2br w:val="nil"/>
                    <w:tr2bl w:val="nil"/>
                  </w:tcBorders>
                  <w:vAlign w:val="center"/>
                </w:tcPr>
                <w:p w14:paraId="02A0284E">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采取措施防止事故过程中产生的废水直接排入水体。</w:t>
                  </w:r>
                </w:p>
              </w:tc>
              <w:tc>
                <w:tcPr>
                  <w:tcW w:w="1683" w:type="pct"/>
                  <w:tcBorders>
                    <w:tl2br w:val="nil"/>
                    <w:tr2bl w:val="nil"/>
                  </w:tcBorders>
                  <w:vAlign w:val="center"/>
                </w:tcPr>
                <w:p w14:paraId="7D0BA9B2">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本项目采取分区防渗，企业在运行过程中应定期对危废贮存点地面进行检查，一旦发现异常，应立即采取修补措施。</w:t>
                  </w:r>
                </w:p>
              </w:tc>
            </w:tr>
            <w:tr w14:paraId="145791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5210DF68">
                  <w:pPr>
                    <w:keepNext w:val="0"/>
                    <w:keepLines w:val="0"/>
                    <w:suppressLineNumbers w:val="0"/>
                    <w:spacing w:before="0" w:beforeAutospacing="0" w:after="0" w:afterAutospacing="0" w:line="240" w:lineRule="auto"/>
                    <w:ind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资源利用效率要求</w:t>
                  </w:r>
                </w:p>
              </w:tc>
              <w:tc>
                <w:tcPr>
                  <w:tcW w:w="2665" w:type="pct"/>
                  <w:gridSpan w:val="2"/>
                  <w:tcBorders>
                    <w:tl2br w:val="nil"/>
                    <w:tr2bl w:val="nil"/>
                  </w:tcBorders>
                  <w:vAlign w:val="center"/>
                </w:tcPr>
                <w:p w14:paraId="7BD3BCE8">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提高畜离粪便等资源综合利用水平。建议实施清洁化改造，加强节水管理，提高中水回用率。</w:t>
                  </w:r>
                </w:p>
              </w:tc>
              <w:tc>
                <w:tcPr>
                  <w:tcW w:w="1683" w:type="pct"/>
                  <w:tcBorders>
                    <w:tl2br w:val="nil"/>
                    <w:tr2bl w:val="nil"/>
                  </w:tcBorders>
                  <w:vAlign w:val="center"/>
                </w:tcPr>
                <w:p w14:paraId="1EC68B1B">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本项目属于鲜食玉米加工项目，不属于养殖场（小区）。</w:t>
                  </w:r>
                </w:p>
              </w:tc>
            </w:tr>
            <w:tr w14:paraId="0893CC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4"/>
                  <w:tcBorders>
                    <w:tl2br w:val="nil"/>
                    <w:tr2bl w:val="nil"/>
                  </w:tcBorders>
                  <w:vAlign w:val="center"/>
                </w:tcPr>
                <w:p w14:paraId="58AD2FE2">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三、资源利用上线</w:t>
                  </w:r>
                </w:p>
              </w:tc>
            </w:tr>
            <w:tr w14:paraId="5CB8AE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4"/>
                  <w:tcBorders>
                    <w:tl2br w:val="nil"/>
                    <w:tr2bl w:val="nil"/>
                  </w:tcBorders>
                  <w:vAlign w:val="center"/>
                </w:tcPr>
                <w:p w14:paraId="5ABA1892">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能源利用上线</w:t>
                  </w:r>
                </w:p>
              </w:tc>
            </w:tr>
            <w:tr w14:paraId="2BCF04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3C85F7BD">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管控要求</w:t>
                  </w:r>
                </w:p>
              </w:tc>
              <w:tc>
                <w:tcPr>
                  <w:tcW w:w="4348" w:type="pct"/>
                  <w:gridSpan w:val="3"/>
                  <w:tcBorders>
                    <w:tl2br w:val="nil"/>
                    <w:tr2bl w:val="nil"/>
                  </w:tcBorders>
                  <w:vAlign w:val="center"/>
                </w:tcPr>
                <w:p w14:paraId="50FF86E4">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双鸭山市2025年煤炭消费上线为907.31万吨标准煤，2035年煤炭消费上线为982.48万吨标准煤。</w:t>
                  </w:r>
                </w:p>
              </w:tc>
            </w:tr>
            <w:tr w14:paraId="7288CD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0A7E05FE">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符合性分</w:t>
                  </w:r>
                  <w:r>
                    <w:rPr>
                      <w:rFonts w:hint="default" w:ascii="Times New Roman" w:hAnsi="Times New Roman" w:eastAsia="宋体" w:cs="Times New Roman"/>
                      <w:color w:val="auto"/>
                      <w:sz w:val="21"/>
                      <w:szCs w:val="21"/>
                      <w:lang w:val="en-US" w:eastAsia="zh-CN"/>
                    </w:rPr>
                    <w:t>析</w:t>
                  </w:r>
                </w:p>
              </w:tc>
              <w:tc>
                <w:tcPr>
                  <w:tcW w:w="4348" w:type="pct"/>
                  <w:gridSpan w:val="3"/>
                  <w:tcBorders>
                    <w:tl2br w:val="nil"/>
                    <w:tr2bl w:val="nil"/>
                  </w:tcBorders>
                  <w:vAlign w:val="center"/>
                </w:tcPr>
                <w:p w14:paraId="31F1056A">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本项目属于鲜食玉米加工项目</w:t>
                  </w:r>
                  <w:r>
                    <w:rPr>
                      <w:rFonts w:hint="default" w:ascii="Times New Roman" w:hAnsi="Times New Roman" w:eastAsia="宋体" w:cs="Times New Roman"/>
                      <w:color w:val="auto"/>
                      <w:sz w:val="21"/>
                      <w:szCs w:val="21"/>
                    </w:rPr>
                    <w:t>，</w:t>
                  </w:r>
                  <w:r>
                    <w:rPr>
                      <w:rFonts w:hint="eastAsia"/>
                      <w:color w:val="auto"/>
                      <w:szCs w:val="21"/>
                      <w:lang w:val="en-US" w:eastAsia="zh-CN"/>
                    </w:rPr>
                    <w:t>本项目生产和冬季供暖采用1台4t/h燃生物质锅炉</w:t>
                  </w:r>
                  <w:r>
                    <w:rPr>
                      <w:rFonts w:hint="eastAsia" w:ascii="Times New Roman" w:hAnsi="Times New Roman" w:eastAsia="宋体" w:cs="Times New Roman"/>
                      <w:color w:val="auto"/>
                      <w:sz w:val="21"/>
                      <w:szCs w:val="21"/>
                      <w:lang w:val="en-US" w:eastAsia="zh-CN"/>
                    </w:rPr>
                    <w:t>，燃料为生物质成型燃料</w:t>
                  </w:r>
                  <w:r>
                    <w:rPr>
                      <w:rFonts w:hint="default" w:ascii="Times New Roman" w:hAnsi="Times New Roman" w:eastAsia="宋体" w:cs="Times New Roman"/>
                      <w:color w:val="auto"/>
                      <w:sz w:val="21"/>
                      <w:szCs w:val="21"/>
                    </w:rPr>
                    <w:t>。</w:t>
                  </w:r>
                </w:p>
              </w:tc>
            </w:tr>
            <w:tr w14:paraId="1BE4EB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4"/>
                  <w:tcBorders>
                    <w:tl2br w:val="nil"/>
                    <w:tr2bl w:val="nil"/>
                  </w:tcBorders>
                  <w:vAlign w:val="center"/>
                </w:tcPr>
                <w:p w14:paraId="46117CFC">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水资源利用上线</w:t>
                  </w:r>
                </w:p>
              </w:tc>
            </w:tr>
            <w:tr w14:paraId="4B49F9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6F9BA20B">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管控单元类别</w:t>
                  </w:r>
                </w:p>
              </w:tc>
              <w:tc>
                <w:tcPr>
                  <w:tcW w:w="4348" w:type="pct"/>
                  <w:gridSpan w:val="3"/>
                  <w:tcBorders>
                    <w:tl2br w:val="nil"/>
                    <w:tr2bl w:val="nil"/>
                  </w:tcBorders>
                  <w:vAlign w:val="center"/>
                </w:tcPr>
                <w:p w14:paraId="0059D699">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一般管控区</w:t>
                  </w:r>
                </w:p>
              </w:tc>
            </w:tr>
            <w:tr w14:paraId="6B4AB9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142A6C16">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管控要求</w:t>
                  </w:r>
                </w:p>
              </w:tc>
              <w:tc>
                <w:tcPr>
                  <w:tcW w:w="4348" w:type="pct"/>
                  <w:gridSpan w:val="3"/>
                  <w:tcBorders>
                    <w:tl2br w:val="nil"/>
                    <w:tr2bl w:val="nil"/>
                  </w:tcBorders>
                  <w:vAlign w:val="center"/>
                </w:tcPr>
                <w:p w14:paraId="3FD5804F">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严格控制水资源消耗总量和强度，加快完成江河流域水量分配、生态流量保障实施方案工作，推进水权确权。（2）积极推进节水型社会达标建设，限制高耗水工业项目建设和高耗水服务业发展，遏制农业粗放用水，强化用水定额管理，加大农业节水力度，加大工业节水技术改造。（3）各级水行政主管部门要按照确定的地下水水位控制指标，加强水位动态监控。（4）建立用水单位重点监控名录，实施计划用水管理。（5）建立健全规划和建设项目水资源论证制度，完善规划水资源论证相关政策措施。市县重点推进重大产业布局和各类开发区规划水资源论证，严格建设项目水资源论证，对未依法完成水资源论证工作的建设项目，建设单位不得擅自开工建设和投产使用。</w:t>
                  </w:r>
                </w:p>
              </w:tc>
            </w:tr>
            <w:tr w14:paraId="063626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5881D41A">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项目符合性分析</w:t>
                  </w:r>
                </w:p>
              </w:tc>
              <w:tc>
                <w:tcPr>
                  <w:tcW w:w="4348" w:type="pct"/>
                  <w:gridSpan w:val="3"/>
                  <w:tcBorders>
                    <w:tl2br w:val="nil"/>
                    <w:tr2bl w:val="nil"/>
                  </w:tcBorders>
                  <w:vAlign w:val="center"/>
                </w:tcPr>
                <w:p w14:paraId="389A9BA9">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eastAsia="宋体"/>
                      <w:color w:val="auto"/>
                      <w:szCs w:val="21"/>
                      <w:highlight w:val="none"/>
                    </w:rPr>
                    <w:t>本项目建设完成后生产用水</w:t>
                  </w:r>
                  <w:r>
                    <w:rPr>
                      <w:rFonts w:hint="eastAsia" w:eastAsia="宋体"/>
                      <w:color w:val="auto"/>
                      <w:szCs w:val="21"/>
                      <w:highlight w:val="none"/>
                    </w:rPr>
                    <w:t>、</w:t>
                  </w:r>
                  <w:r>
                    <w:rPr>
                      <w:rFonts w:hint="default" w:eastAsia="宋体"/>
                      <w:color w:val="auto"/>
                      <w:szCs w:val="21"/>
                      <w:highlight w:val="none"/>
                    </w:rPr>
                    <w:t>项目职工生活用水由</w:t>
                  </w:r>
                  <w:r>
                    <w:rPr>
                      <w:rFonts w:hint="eastAsia"/>
                      <w:color w:val="auto"/>
                      <w:szCs w:val="21"/>
                      <w:highlight w:val="none"/>
                      <w:lang w:val="en-US" w:eastAsia="zh-CN"/>
                    </w:rPr>
                    <w:t>自建深水井提供。</w:t>
                  </w:r>
                  <w:r>
                    <w:rPr>
                      <w:rFonts w:hint="default" w:ascii="Times New Roman" w:hAnsi="Times New Roman" w:eastAsia="宋体" w:cs="Times New Roman"/>
                      <w:color w:val="auto"/>
                      <w:sz w:val="21"/>
                      <w:szCs w:val="21"/>
                    </w:rPr>
                    <w:t>水资源的消耗很少，符合水资源利用上线。</w:t>
                  </w:r>
                </w:p>
              </w:tc>
            </w:tr>
            <w:tr w14:paraId="79C68E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4"/>
                  <w:tcBorders>
                    <w:tl2br w:val="nil"/>
                    <w:tr2bl w:val="nil"/>
                  </w:tcBorders>
                  <w:vAlign w:val="center"/>
                </w:tcPr>
                <w:p w14:paraId="456CA31A">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土地资源利用上线</w:t>
                  </w:r>
                </w:p>
              </w:tc>
            </w:tr>
            <w:tr w14:paraId="6148C7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6BEB2ADB">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管控单元类别</w:t>
                  </w:r>
                </w:p>
              </w:tc>
              <w:tc>
                <w:tcPr>
                  <w:tcW w:w="4348" w:type="pct"/>
                  <w:gridSpan w:val="3"/>
                  <w:tcBorders>
                    <w:tl2br w:val="nil"/>
                    <w:tr2bl w:val="nil"/>
                  </w:tcBorders>
                  <w:vAlign w:val="center"/>
                </w:tcPr>
                <w:p w14:paraId="39A325C5">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一般管控单元</w:t>
                  </w:r>
                </w:p>
              </w:tc>
            </w:tr>
            <w:tr w14:paraId="70C232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750C88BD">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管控要求</w:t>
                  </w:r>
                </w:p>
              </w:tc>
              <w:tc>
                <w:tcPr>
                  <w:tcW w:w="4348" w:type="pct"/>
                  <w:gridSpan w:val="3"/>
                  <w:tcBorders>
                    <w:tl2br w:val="nil"/>
                    <w:tr2bl w:val="nil"/>
                  </w:tcBorders>
                  <w:vAlign w:val="center"/>
                </w:tcPr>
                <w:p w14:paraId="478ED3C0">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针对土地资源一般管控区，坚持最严格的节约用地制度，提高土地利用节约集约水平。优化建设用地布局，严格划定城市开发边界，统筹区域发展、统筹城乡发展，统筹安排生产、生活、生态用地，引导形成合理的空间开发格局。</w:t>
                  </w:r>
                </w:p>
              </w:tc>
            </w:tr>
            <w:tr w14:paraId="064BA6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06A7741E">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项目符合性分析</w:t>
                  </w:r>
                </w:p>
              </w:tc>
              <w:tc>
                <w:tcPr>
                  <w:tcW w:w="4348" w:type="pct"/>
                  <w:gridSpan w:val="3"/>
                  <w:tcBorders>
                    <w:tl2br w:val="nil"/>
                    <w:tr2bl w:val="nil"/>
                  </w:tcBorders>
                  <w:vAlign w:val="center"/>
                </w:tcPr>
                <w:p w14:paraId="4A32C646">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w:t>
                  </w:r>
                  <w:r>
                    <w:rPr>
                      <w:rFonts w:hint="eastAsia" w:ascii="Times New Roman" w:hAnsi="Times New Roman" w:eastAsia="宋体" w:cs="Times New Roman"/>
                      <w:color w:val="auto"/>
                      <w:sz w:val="21"/>
                      <w:szCs w:val="21"/>
                      <w:lang w:val="en-US" w:eastAsia="zh-CN"/>
                    </w:rPr>
                    <w:t>用地性质证明材料</w:t>
                  </w:r>
                  <w:r>
                    <w:rPr>
                      <w:rFonts w:hint="default" w:ascii="Times New Roman" w:hAnsi="Times New Roman" w:eastAsia="宋体" w:cs="Times New Roman"/>
                      <w:color w:val="auto"/>
                      <w:sz w:val="21"/>
                      <w:szCs w:val="21"/>
                    </w:rPr>
                    <w:t>，本项目用地范围在</w:t>
                  </w:r>
                  <w:r>
                    <w:rPr>
                      <w:rFonts w:hint="eastAsia" w:cs="Times New Roman"/>
                      <w:color w:val="auto"/>
                      <w:sz w:val="22"/>
                      <w:szCs w:val="22"/>
                      <w:highlight w:val="none"/>
                      <w:lang w:val="en-US" w:eastAsia="zh-CN"/>
                    </w:rPr>
                    <w:t>双鸭山市尖山区安邦乡公立村</w:t>
                  </w:r>
                  <w:r>
                    <w:rPr>
                      <w:rFonts w:hint="default" w:ascii="Times New Roman" w:hAnsi="Times New Roman" w:eastAsia="宋体" w:cs="Times New Roman"/>
                      <w:color w:val="auto"/>
                      <w:sz w:val="21"/>
                      <w:szCs w:val="21"/>
                    </w:rPr>
                    <w:t>，用地性质为</w:t>
                  </w:r>
                  <w:r>
                    <w:rPr>
                      <w:rFonts w:hint="eastAsia" w:ascii="Times New Roman" w:hAnsi="Times New Roman" w:eastAsia="宋体" w:cs="Times New Roman"/>
                      <w:color w:val="auto"/>
                      <w:sz w:val="21"/>
                      <w:szCs w:val="21"/>
                      <w:lang w:val="en-US" w:eastAsia="zh-CN"/>
                    </w:rPr>
                    <w:t>工业用地</w:t>
                  </w:r>
                  <w:r>
                    <w:rPr>
                      <w:rFonts w:hint="default" w:ascii="Times New Roman" w:hAnsi="Times New Roman" w:eastAsia="宋体" w:cs="Times New Roman"/>
                      <w:color w:val="auto"/>
                      <w:sz w:val="21"/>
                      <w:szCs w:val="21"/>
                    </w:rPr>
                    <w:t>，符合土地资源利用上线。</w:t>
                  </w:r>
                </w:p>
              </w:tc>
            </w:tr>
            <w:tr w14:paraId="7003F6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4"/>
                  <w:tcBorders>
                    <w:tl2br w:val="nil"/>
                    <w:tr2bl w:val="nil"/>
                  </w:tcBorders>
                  <w:vAlign w:val="center"/>
                </w:tcPr>
                <w:p w14:paraId="5BCD82E2">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四、</w:t>
                  </w:r>
                  <w:r>
                    <w:rPr>
                      <w:rFonts w:hint="default" w:ascii="Times New Roman" w:hAnsi="Times New Roman" w:eastAsia="宋体" w:cs="Times New Roman"/>
                      <w:color w:val="auto"/>
                      <w:sz w:val="21"/>
                      <w:szCs w:val="21"/>
                      <w:lang w:eastAsia="zh-CN"/>
                    </w:rPr>
                    <w:t>生态</w:t>
                  </w:r>
                  <w:r>
                    <w:rPr>
                      <w:rFonts w:hint="default" w:ascii="Times New Roman" w:hAnsi="Times New Roman" w:eastAsia="宋体" w:cs="Times New Roman"/>
                      <w:color w:val="auto"/>
                      <w:sz w:val="21"/>
                      <w:szCs w:val="21"/>
                    </w:rPr>
                    <w:t>环境准入清单</w:t>
                  </w:r>
                </w:p>
              </w:tc>
            </w:tr>
            <w:tr w14:paraId="42E969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3B55E3B7">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环境管控单元名称</w:t>
                  </w:r>
                </w:p>
              </w:tc>
              <w:tc>
                <w:tcPr>
                  <w:tcW w:w="2665" w:type="pct"/>
                  <w:gridSpan w:val="2"/>
                  <w:tcBorders>
                    <w:tl2br w:val="nil"/>
                    <w:tr2bl w:val="nil"/>
                  </w:tcBorders>
                  <w:vAlign w:val="center"/>
                </w:tcPr>
                <w:p w14:paraId="3A298552">
                  <w:pPr>
                    <w:keepNext w:val="0"/>
                    <w:keepLines w:val="0"/>
                    <w:pageBreakBefore w:val="0"/>
                    <w:kinsoku/>
                    <w:overflowPunct/>
                    <w:topLinePunct w:val="0"/>
                    <w:bidi w:val="0"/>
                    <w:jc w:val="center"/>
                    <w:rPr>
                      <w:rFonts w:hint="default" w:ascii="Times New Roman" w:hAnsi="Times New Roman" w:eastAsia="宋体" w:cs="Times New Roman"/>
                      <w:color w:val="auto"/>
                      <w:sz w:val="21"/>
                      <w:szCs w:val="21"/>
                    </w:rPr>
                  </w:pPr>
                  <w:r>
                    <w:rPr>
                      <w:rFonts w:hint="eastAsia"/>
                      <w:color w:val="auto"/>
                      <w:szCs w:val="21"/>
                      <w:lang w:val="en-US" w:eastAsia="zh-CN"/>
                    </w:rPr>
                    <w:t>尖山区大气环境布局敏感重点管控区</w:t>
                  </w:r>
                </w:p>
              </w:tc>
              <w:tc>
                <w:tcPr>
                  <w:tcW w:w="1683" w:type="pct"/>
                  <w:vMerge w:val="restart"/>
                  <w:tcBorders>
                    <w:tl2br w:val="nil"/>
                    <w:tr2bl w:val="nil"/>
                  </w:tcBorders>
                  <w:vAlign w:val="center"/>
                </w:tcPr>
                <w:p w14:paraId="7B2E2CC9">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本项目</w:t>
                  </w:r>
                </w:p>
              </w:tc>
            </w:tr>
            <w:tr w14:paraId="5B6F74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7669172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环境管控单元编码</w:t>
                  </w:r>
                </w:p>
              </w:tc>
              <w:tc>
                <w:tcPr>
                  <w:tcW w:w="2665" w:type="pct"/>
                  <w:gridSpan w:val="2"/>
                  <w:tcBorders>
                    <w:tl2br w:val="nil"/>
                    <w:tr2bl w:val="nil"/>
                  </w:tcBorders>
                  <w:vAlign w:val="center"/>
                </w:tcPr>
                <w:p w14:paraId="1E823595">
                  <w:pPr>
                    <w:keepNext w:val="0"/>
                    <w:keepLines w:val="0"/>
                    <w:pageBreakBefore w:val="0"/>
                    <w:kinsoku/>
                    <w:overflowPunct/>
                    <w:topLinePunct w:val="0"/>
                    <w:bidi w:val="0"/>
                    <w:jc w:val="center"/>
                    <w:rPr>
                      <w:rFonts w:hint="default" w:ascii="Times New Roman" w:hAnsi="Times New Roman" w:eastAsia="宋体" w:cs="Times New Roman"/>
                      <w:color w:val="auto"/>
                      <w:sz w:val="21"/>
                      <w:szCs w:val="21"/>
                    </w:rPr>
                  </w:pPr>
                  <w:r>
                    <w:rPr>
                      <w:rFonts w:hint="eastAsia"/>
                      <w:color w:val="auto"/>
                      <w:kern w:val="0"/>
                      <w:szCs w:val="21"/>
                    </w:rPr>
                    <w:t>ZH23050220002</w:t>
                  </w:r>
                </w:p>
              </w:tc>
              <w:tc>
                <w:tcPr>
                  <w:tcW w:w="1683" w:type="pct"/>
                  <w:vMerge w:val="continue"/>
                  <w:tcBorders>
                    <w:tl2br w:val="nil"/>
                    <w:tr2bl w:val="nil"/>
                  </w:tcBorders>
                  <w:vAlign w:val="center"/>
                </w:tcPr>
                <w:p w14:paraId="7C44F16C">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p>
              </w:tc>
            </w:tr>
            <w:tr w14:paraId="7949AC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68EB9A68">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管控单元类别</w:t>
                  </w:r>
                </w:p>
              </w:tc>
              <w:tc>
                <w:tcPr>
                  <w:tcW w:w="2665" w:type="pct"/>
                  <w:gridSpan w:val="2"/>
                  <w:tcBorders>
                    <w:tl2br w:val="nil"/>
                    <w:tr2bl w:val="nil"/>
                  </w:tcBorders>
                  <w:vAlign w:val="center"/>
                </w:tcPr>
                <w:p w14:paraId="79F1E076">
                  <w:pPr>
                    <w:keepNext w:val="0"/>
                    <w:keepLines w:val="0"/>
                    <w:pageBreakBefore w:val="0"/>
                    <w:kinsoku/>
                    <w:overflowPunct/>
                    <w:topLinePunct w:val="0"/>
                    <w:bidi w:val="0"/>
                    <w:jc w:val="center"/>
                    <w:rPr>
                      <w:rFonts w:hint="default" w:ascii="Times New Roman" w:hAnsi="Times New Roman" w:eastAsia="宋体" w:cs="Times New Roman"/>
                      <w:color w:val="auto"/>
                      <w:sz w:val="21"/>
                      <w:szCs w:val="21"/>
                    </w:rPr>
                  </w:pPr>
                  <w:r>
                    <w:rPr>
                      <w:color w:val="auto"/>
                      <w:szCs w:val="21"/>
                    </w:rPr>
                    <w:t>重点管控单元</w:t>
                  </w:r>
                </w:p>
              </w:tc>
              <w:tc>
                <w:tcPr>
                  <w:tcW w:w="1683" w:type="pct"/>
                  <w:vMerge w:val="continue"/>
                  <w:tcBorders>
                    <w:tl2br w:val="nil"/>
                    <w:tr2bl w:val="nil"/>
                  </w:tcBorders>
                  <w:vAlign w:val="center"/>
                </w:tcPr>
                <w:p w14:paraId="0CF607D4">
                  <w:pPr>
                    <w:keepNext w:val="0"/>
                    <w:keepLines w:val="0"/>
                    <w:suppressLineNumbers w:val="0"/>
                    <w:spacing w:before="0" w:beforeAutospacing="0" w:after="0" w:afterAutospacing="0" w:line="240" w:lineRule="auto"/>
                    <w:ind w:right="0"/>
                    <w:jc w:val="center"/>
                    <w:rPr>
                      <w:rFonts w:hint="default" w:ascii="Times New Roman" w:hAnsi="Times New Roman" w:eastAsia="宋体" w:cs="Times New Roman"/>
                      <w:color w:val="auto"/>
                      <w:sz w:val="21"/>
                      <w:szCs w:val="21"/>
                    </w:rPr>
                  </w:pPr>
                </w:p>
              </w:tc>
            </w:tr>
            <w:tr w14:paraId="24AF43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vMerge w:val="restart"/>
                  <w:tcBorders>
                    <w:tl2br w:val="nil"/>
                    <w:tr2bl w:val="nil"/>
                  </w:tcBorders>
                  <w:vAlign w:val="center"/>
                </w:tcPr>
                <w:p w14:paraId="5DE03BAA">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总体要求</w:t>
                  </w:r>
                </w:p>
              </w:tc>
              <w:tc>
                <w:tcPr>
                  <w:tcW w:w="414" w:type="pct"/>
                  <w:tcBorders>
                    <w:tl2br w:val="nil"/>
                    <w:tr2bl w:val="nil"/>
                  </w:tcBorders>
                  <w:vAlign w:val="center"/>
                </w:tcPr>
                <w:p w14:paraId="45D22DB3">
                  <w:pPr>
                    <w:keepNext w:val="0"/>
                    <w:keepLines w:val="0"/>
                    <w:pageBreakBefore w:val="0"/>
                    <w:widowControl/>
                    <w:kinsoku/>
                    <w:overflowPunct/>
                    <w:topLinePunct w:val="0"/>
                    <w:bidi w:val="0"/>
                    <w:jc w:val="center"/>
                    <w:rPr>
                      <w:rFonts w:hint="default" w:ascii="Times New Roman" w:hAnsi="Times New Roman" w:eastAsia="宋体" w:cs="Times New Roman"/>
                      <w:color w:val="auto"/>
                      <w:sz w:val="21"/>
                      <w:szCs w:val="21"/>
                    </w:rPr>
                  </w:pPr>
                  <w:r>
                    <w:rPr>
                      <w:rFonts w:hint="eastAsia"/>
                      <w:color w:val="auto"/>
                      <w:kern w:val="0"/>
                      <w:szCs w:val="21"/>
                    </w:rPr>
                    <w:t>空间布局约束</w:t>
                  </w:r>
                </w:p>
              </w:tc>
              <w:tc>
                <w:tcPr>
                  <w:tcW w:w="2250" w:type="pct"/>
                  <w:tcBorders>
                    <w:tl2br w:val="nil"/>
                    <w:tr2bl w:val="nil"/>
                  </w:tcBorders>
                  <w:vAlign w:val="center"/>
                </w:tcPr>
                <w:p w14:paraId="23A09A94">
                  <w:pPr>
                    <w:keepNext w:val="0"/>
                    <w:keepLines w:val="0"/>
                    <w:pageBreakBefore w:val="0"/>
                    <w:widowControl/>
                    <w:kinsoku/>
                    <w:overflowPunct/>
                    <w:topLinePunct w:val="0"/>
                    <w:bidi w:val="0"/>
                    <w:jc w:val="center"/>
                    <w:rPr>
                      <w:rFonts w:hint="default" w:ascii="Times New Roman" w:hAnsi="Times New Roman" w:eastAsia="宋体" w:cs="Times New Roman"/>
                      <w:color w:val="auto"/>
                      <w:sz w:val="21"/>
                      <w:szCs w:val="21"/>
                    </w:rPr>
                  </w:pPr>
                  <w:r>
                    <w:rPr>
                      <w:rFonts w:hint="eastAsia"/>
                      <w:color w:val="auto"/>
                      <w:kern w:val="0"/>
                      <w:szCs w:val="21"/>
                    </w:rPr>
                    <w:t>1.严控“两高”行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1683" w:type="pct"/>
                  <w:tcBorders>
                    <w:tl2br w:val="nil"/>
                    <w:tr2bl w:val="nil"/>
                  </w:tcBorders>
                  <w:vAlign w:val="center"/>
                </w:tcPr>
                <w:p w14:paraId="229C449E">
                  <w:pPr>
                    <w:keepNext w:val="0"/>
                    <w:keepLines w:val="0"/>
                    <w:pageBreakBefore w:val="0"/>
                    <w:kinsoku/>
                    <w:overflowPunct/>
                    <w:topLinePunct w:val="0"/>
                    <w:bidi w:val="0"/>
                    <w:jc w:val="center"/>
                    <w:rPr>
                      <w:rFonts w:hint="default" w:ascii="Times New Roman" w:hAnsi="Times New Roman" w:eastAsia="宋体" w:cs="Times New Roman"/>
                      <w:color w:val="auto"/>
                      <w:sz w:val="21"/>
                      <w:szCs w:val="21"/>
                    </w:rPr>
                  </w:pPr>
                  <w:r>
                    <w:rPr>
                      <w:rFonts w:hint="eastAsia" w:eastAsia="宋体"/>
                      <w:color w:val="auto"/>
                      <w:szCs w:val="21"/>
                      <w:lang w:val="en-US" w:eastAsia="zh-CN"/>
                    </w:rPr>
                    <w:t>本项目属于生产鲜食玉米项目，不属于</w:t>
                  </w:r>
                  <w:r>
                    <w:rPr>
                      <w:rFonts w:hint="eastAsia"/>
                      <w:color w:val="auto"/>
                      <w:kern w:val="0"/>
                      <w:szCs w:val="21"/>
                    </w:rPr>
                    <w:t>“两高”行业</w:t>
                  </w:r>
                  <w:r>
                    <w:rPr>
                      <w:rFonts w:hint="eastAsia"/>
                      <w:color w:val="auto"/>
                      <w:kern w:val="0"/>
                      <w:szCs w:val="21"/>
                      <w:lang w:eastAsia="zh-CN"/>
                    </w:rPr>
                    <w:t>，</w:t>
                  </w:r>
                  <w:r>
                    <w:rPr>
                      <w:rFonts w:hint="eastAsia"/>
                      <w:color w:val="auto"/>
                      <w:kern w:val="0"/>
                      <w:szCs w:val="21"/>
                    </w:rPr>
                    <w:t>钢铁、水泥、平板玻璃等行业</w:t>
                  </w:r>
                  <w:r>
                    <w:rPr>
                      <w:rFonts w:hint="eastAsia"/>
                      <w:color w:val="auto"/>
                      <w:kern w:val="0"/>
                      <w:szCs w:val="21"/>
                      <w:lang w:eastAsia="zh-CN"/>
                    </w:rPr>
                    <w:t>，</w:t>
                  </w:r>
                  <w:r>
                    <w:rPr>
                      <w:rFonts w:hint="eastAsia"/>
                      <w:color w:val="auto"/>
                      <w:kern w:val="0"/>
                      <w:szCs w:val="21"/>
                      <w:lang w:val="en-US" w:eastAsia="zh-CN"/>
                    </w:rPr>
                    <w:t>不属于</w:t>
                  </w:r>
                  <w:r>
                    <w:rPr>
                      <w:rFonts w:hint="eastAsia"/>
                      <w:color w:val="auto"/>
                      <w:kern w:val="0"/>
                      <w:szCs w:val="21"/>
                    </w:rPr>
                    <w:t>利用水泥窑协同处置城市生活垃圾、危险废弃物、电石渣等固废伴生水泥项目</w:t>
                  </w:r>
                  <w:r>
                    <w:rPr>
                      <w:rFonts w:hint="eastAsia"/>
                      <w:color w:val="auto"/>
                      <w:kern w:val="0"/>
                      <w:szCs w:val="21"/>
                      <w:lang w:eastAsia="zh-CN"/>
                    </w:rPr>
                    <w:t>。</w:t>
                  </w:r>
                </w:p>
              </w:tc>
            </w:tr>
            <w:tr w14:paraId="4324EB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vMerge w:val="continue"/>
                  <w:tcBorders>
                    <w:tl2br w:val="nil"/>
                    <w:tr2bl w:val="nil"/>
                  </w:tcBorders>
                  <w:vAlign w:val="center"/>
                </w:tcPr>
                <w:p w14:paraId="6DE4A92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rPr>
                  </w:pPr>
                </w:p>
              </w:tc>
              <w:tc>
                <w:tcPr>
                  <w:tcW w:w="414" w:type="pct"/>
                  <w:tcBorders>
                    <w:tl2br w:val="nil"/>
                    <w:tr2bl w:val="nil"/>
                  </w:tcBorders>
                  <w:vAlign w:val="center"/>
                </w:tcPr>
                <w:p w14:paraId="0A485105">
                  <w:pPr>
                    <w:keepNext w:val="0"/>
                    <w:keepLines w:val="0"/>
                    <w:pageBreakBefore w:val="0"/>
                    <w:widowControl/>
                    <w:kinsoku/>
                    <w:overflowPunct/>
                    <w:topLinePunct w:val="0"/>
                    <w:bidi w:val="0"/>
                    <w:jc w:val="center"/>
                    <w:rPr>
                      <w:rFonts w:hint="default" w:ascii="Times New Roman" w:hAnsi="Times New Roman" w:eastAsia="宋体" w:cs="Times New Roman"/>
                      <w:color w:val="auto"/>
                      <w:sz w:val="21"/>
                      <w:szCs w:val="21"/>
                    </w:rPr>
                  </w:pPr>
                  <w:r>
                    <w:rPr>
                      <w:color w:val="auto"/>
                      <w:kern w:val="0"/>
                      <w:szCs w:val="21"/>
                    </w:rPr>
                    <w:t>污染物排放管</w:t>
                  </w:r>
                  <w:r>
                    <w:rPr>
                      <w:rFonts w:hint="eastAsia"/>
                      <w:color w:val="auto"/>
                      <w:kern w:val="0"/>
                      <w:szCs w:val="21"/>
                      <w:lang w:val="en-US" w:eastAsia="zh-CN"/>
                    </w:rPr>
                    <w:t>控</w:t>
                  </w:r>
                </w:p>
              </w:tc>
              <w:tc>
                <w:tcPr>
                  <w:tcW w:w="2250" w:type="pct"/>
                  <w:tcBorders>
                    <w:tl2br w:val="nil"/>
                    <w:tr2bl w:val="nil"/>
                  </w:tcBorders>
                  <w:vAlign w:val="center"/>
                </w:tcPr>
                <w:p w14:paraId="21050AED">
                  <w:pPr>
                    <w:keepNext w:val="0"/>
                    <w:keepLines w:val="0"/>
                    <w:pageBreakBefore w:val="0"/>
                    <w:widowControl/>
                    <w:kinsoku/>
                    <w:overflowPunct/>
                    <w:topLinePunct w:val="0"/>
                    <w:bidi w:val="0"/>
                    <w:jc w:val="center"/>
                    <w:rPr>
                      <w:rFonts w:hint="default" w:ascii="Times New Roman" w:hAnsi="Times New Roman" w:eastAsia="宋体" w:cs="Times New Roman"/>
                      <w:color w:val="auto"/>
                      <w:sz w:val="21"/>
                      <w:szCs w:val="21"/>
                    </w:rPr>
                  </w:pPr>
                  <w:r>
                    <w:rPr>
                      <w:rFonts w:hint="eastAsia"/>
                      <w:color w:val="auto"/>
                      <w:kern w:val="0"/>
                      <w:szCs w:val="21"/>
                    </w:rPr>
                    <w:t>1.对以煤、石焦油、渣油、重油等为燃料的锅炉和工业炉密，加快使用清洁低碳能源以及工余热、电力热力等进行替代。2到2025年，在用65蒸吨/小时以上的燃煤锅炉(含电力)实现超低排放，钢铁企业基本实现超低排放。</w:t>
                  </w:r>
                </w:p>
              </w:tc>
              <w:tc>
                <w:tcPr>
                  <w:tcW w:w="1683" w:type="pct"/>
                  <w:tcBorders>
                    <w:tl2br w:val="nil"/>
                    <w:tr2bl w:val="nil"/>
                  </w:tcBorders>
                  <w:vAlign w:val="center"/>
                </w:tcPr>
                <w:p w14:paraId="5E780548">
                  <w:pPr>
                    <w:keepNext w:val="0"/>
                    <w:keepLines w:val="0"/>
                    <w:pageBreakBefore w:val="0"/>
                    <w:kinsoku/>
                    <w:overflowPunct/>
                    <w:topLinePunct w:val="0"/>
                    <w:bidi w:val="0"/>
                    <w:jc w:val="center"/>
                    <w:rPr>
                      <w:rFonts w:hint="default" w:ascii="Times New Roman" w:hAnsi="Times New Roman" w:eastAsia="宋体" w:cs="Times New Roman"/>
                      <w:color w:val="auto"/>
                      <w:sz w:val="21"/>
                      <w:szCs w:val="21"/>
                    </w:rPr>
                  </w:pPr>
                  <w:r>
                    <w:rPr>
                      <w:rFonts w:hint="eastAsia"/>
                      <w:color w:val="auto"/>
                      <w:szCs w:val="21"/>
                      <w:lang w:val="en-US" w:eastAsia="zh-CN"/>
                    </w:rPr>
                    <w:t>本项目生产和冬季供暖采用1台4t/h燃生物质锅炉，燃料为生物质成型燃料。</w:t>
                  </w:r>
                </w:p>
              </w:tc>
            </w:tr>
            <w:tr w14:paraId="419E58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vMerge w:val="continue"/>
                  <w:tcBorders>
                    <w:tl2br w:val="nil"/>
                    <w:tr2bl w:val="nil"/>
                  </w:tcBorders>
                  <w:vAlign w:val="center"/>
                </w:tcPr>
                <w:p w14:paraId="6FC08278">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rPr>
                  </w:pPr>
                </w:p>
              </w:tc>
              <w:tc>
                <w:tcPr>
                  <w:tcW w:w="414" w:type="pct"/>
                  <w:tcBorders>
                    <w:tl2br w:val="nil"/>
                    <w:tr2bl w:val="nil"/>
                  </w:tcBorders>
                  <w:vAlign w:val="center"/>
                </w:tcPr>
                <w:p w14:paraId="4249E2AF">
                  <w:pPr>
                    <w:keepNext w:val="0"/>
                    <w:keepLines w:val="0"/>
                    <w:pageBreakBefore w:val="0"/>
                    <w:widowControl/>
                    <w:kinsoku/>
                    <w:overflowPunct/>
                    <w:topLinePunct w:val="0"/>
                    <w:bidi w:val="0"/>
                    <w:jc w:val="center"/>
                    <w:rPr>
                      <w:rFonts w:hint="default" w:ascii="Times New Roman" w:hAnsi="Times New Roman" w:cs="Times New Roman"/>
                      <w:color w:val="auto"/>
                      <w:sz w:val="21"/>
                      <w:szCs w:val="21"/>
                      <w:highlight w:val="none"/>
                      <w:lang w:val="en-US" w:eastAsia="zh-CN"/>
                    </w:rPr>
                  </w:pPr>
                  <w:r>
                    <w:rPr>
                      <w:rFonts w:hint="eastAsia"/>
                      <w:color w:val="auto"/>
                      <w:kern w:val="0"/>
                      <w:szCs w:val="21"/>
                      <w:lang w:val="en-US" w:eastAsia="zh-CN"/>
                    </w:rPr>
                    <w:t>环境风险防控</w:t>
                  </w:r>
                </w:p>
              </w:tc>
              <w:tc>
                <w:tcPr>
                  <w:tcW w:w="2250" w:type="pct"/>
                  <w:tcBorders>
                    <w:tl2br w:val="nil"/>
                    <w:tr2bl w:val="nil"/>
                  </w:tcBorders>
                  <w:vAlign w:val="center"/>
                </w:tcPr>
                <w:p w14:paraId="1D041244">
                  <w:pPr>
                    <w:keepNext w:val="0"/>
                    <w:keepLines w:val="0"/>
                    <w:pageBreakBefore w:val="0"/>
                    <w:widowControl/>
                    <w:kinsoku/>
                    <w:overflowPunct/>
                    <w:topLinePunct w:val="0"/>
                    <w:bidi w:val="0"/>
                    <w:jc w:val="center"/>
                    <w:rPr>
                      <w:rFonts w:hint="default" w:ascii="Times New Roman" w:hAnsi="Times New Roman" w:cs="Times New Roman"/>
                      <w:color w:val="auto"/>
                      <w:sz w:val="21"/>
                      <w:szCs w:val="21"/>
                      <w:highlight w:val="none"/>
                      <w:lang w:val="en-US" w:eastAsia="zh-CN"/>
                    </w:rPr>
                  </w:pPr>
                  <w:r>
                    <w:rPr>
                      <w:rFonts w:hint="eastAsia"/>
                      <w:color w:val="auto"/>
                      <w:kern w:val="0"/>
                      <w:szCs w:val="21"/>
                    </w:rPr>
                    <w:t>禁止在居民区、学校、医疗和养老机构等周边新建有色金属冶炼、焦化等行业企业。</w:t>
                  </w:r>
                </w:p>
              </w:tc>
              <w:tc>
                <w:tcPr>
                  <w:tcW w:w="1683" w:type="pct"/>
                  <w:tcBorders>
                    <w:tl2br w:val="nil"/>
                    <w:tr2bl w:val="nil"/>
                  </w:tcBorders>
                  <w:vAlign w:val="center"/>
                </w:tcPr>
                <w:p w14:paraId="4AFE1E1C">
                  <w:pPr>
                    <w:keepNext w:val="0"/>
                    <w:keepLines w:val="0"/>
                    <w:pageBreakBefore w:val="0"/>
                    <w:kinsoku/>
                    <w:overflowPunct/>
                    <w:topLinePunct w:val="0"/>
                    <w:bidi w:val="0"/>
                    <w:jc w:val="center"/>
                    <w:rPr>
                      <w:rFonts w:hint="default" w:ascii="Times New Roman" w:hAnsi="Times New Roman" w:eastAsia="宋体" w:cs="Times New Roman"/>
                      <w:color w:val="auto"/>
                      <w:sz w:val="21"/>
                      <w:szCs w:val="21"/>
                      <w:highlight w:val="none"/>
                      <w:lang w:val="en-US" w:eastAsia="zh-CN"/>
                    </w:rPr>
                  </w:pPr>
                  <w:r>
                    <w:rPr>
                      <w:rFonts w:hint="eastAsia" w:eastAsia="宋体"/>
                      <w:color w:val="auto"/>
                      <w:szCs w:val="21"/>
                      <w:lang w:val="en-US" w:eastAsia="zh-CN"/>
                    </w:rPr>
                    <w:t>本项目属于生产鲜食玉米项目，不属于</w:t>
                  </w:r>
                  <w:r>
                    <w:rPr>
                      <w:rFonts w:hint="eastAsia"/>
                      <w:color w:val="auto"/>
                      <w:kern w:val="0"/>
                      <w:szCs w:val="21"/>
                    </w:rPr>
                    <w:t>有色金属冶炼、焦化等行业企业</w:t>
                  </w:r>
                  <w:r>
                    <w:rPr>
                      <w:rFonts w:hint="eastAsia"/>
                      <w:color w:val="auto"/>
                      <w:kern w:val="0"/>
                      <w:szCs w:val="21"/>
                      <w:lang w:eastAsia="zh-CN"/>
                    </w:rPr>
                    <w:t>。</w:t>
                  </w:r>
                </w:p>
              </w:tc>
            </w:tr>
            <w:tr w14:paraId="152C2A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vMerge w:val="continue"/>
                  <w:tcBorders>
                    <w:tl2br w:val="nil"/>
                    <w:tr2bl w:val="nil"/>
                  </w:tcBorders>
                  <w:vAlign w:val="center"/>
                </w:tcPr>
                <w:p w14:paraId="7F90005C">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rPr>
                  </w:pPr>
                </w:p>
              </w:tc>
              <w:tc>
                <w:tcPr>
                  <w:tcW w:w="414" w:type="pct"/>
                  <w:tcBorders>
                    <w:tl2br w:val="nil"/>
                    <w:tr2bl w:val="nil"/>
                  </w:tcBorders>
                  <w:vAlign w:val="center"/>
                </w:tcPr>
                <w:p w14:paraId="1801C7A4">
                  <w:pPr>
                    <w:keepNext w:val="0"/>
                    <w:keepLines w:val="0"/>
                    <w:pageBreakBefore w:val="0"/>
                    <w:widowControl/>
                    <w:kinsoku/>
                    <w:overflowPunct/>
                    <w:topLinePunct w:val="0"/>
                    <w:bidi w:val="0"/>
                    <w:jc w:val="center"/>
                    <w:rPr>
                      <w:rFonts w:hint="default" w:ascii="Times New Roman" w:hAnsi="Times New Roman" w:cs="Times New Roman"/>
                      <w:color w:val="auto"/>
                      <w:sz w:val="21"/>
                      <w:szCs w:val="21"/>
                      <w:highlight w:val="none"/>
                      <w:lang w:val="en-US" w:eastAsia="zh-CN"/>
                    </w:rPr>
                  </w:pPr>
                  <w:r>
                    <w:rPr>
                      <w:rFonts w:hint="eastAsia"/>
                      <w:color w:val="auto"/>
                      <w:kern w:val="0"/>
                      <w:szCs w:val="21"/>
                      <w:lang w:val="en-US" w:eastAsia="zh-CN"/>
                    </w:rPr>
                    <w:t>资源开放效率要求</w:t>
                  </w:r>
                </w:p>
              </w:tc>
              <w:tc>
                <w:tcPr>
                  <w:tcW w:w="2250" w:type="pct"/>
                  <w:tcBorders>
                    <w:tl2br w:val="nil"/>
                    <w:tr2bl w:val="nil"/>
                  </w:tcBorders>
                  <w:vAlign w:val="center"/>
                </w:tcPr>
                <w:p w14:paraId="184E1B4B">
                  <w:pPr>
                    <w:keepNext w:val="0"/>
                    <w:keepLines w:val="0"/>
                    <w:pageBreakBefore w:val="0"/>
                    <w:widowControl/>
                    <w:kinsoku/>
                    <w:overflowPunct/>
                    <w:topLinePunct w:val="0"/>
                    <w:bidi w:val="0"/>
                    <w:jc w:val="center"/>
                    <w:rPr>
                      <w:rFonts w:hint="default" w:ascii="Times New Roman" w:hAnsi="Times New Roman" w:cs="Times New Roman"/>
                      <w:color w:val="auto"/>
                      <w:sz w:val="21"/>
                      <w:szCs w:val="21"/>
                      <w:highlight w:val="none"/>
                      <w:lang w:val="en-US" w:eastAsia="zh-CN"/>
                    </w:rPr>
                  </w:pPr>
                  <w:r>
                    <w:rPr>
                      <w:rFonts w:hint="eastAsia"/>
                      <w:color w:val="auto"/>
                      <w:kern w:val="0"/>
                      <w:szCs w:val="21"/>
                    </w:rPr>
                    <w:t>高污染燃料禁燃区同时执行“1)在禁燃区内，禁止销售、燃用高污染燃料;禁止新建、扩建燃用高污染燃料的设施，已建成的，应当在城市人民政府规定的期限内改用天然气、页岩气、液化石油气、电或者其他清洁能源。2)城市建设应当统筹规划，在燃煤供热地区，推进热电联产和集中供热。在集中供热管网覆盖地区，禁止新建、扩建分散燃煤供锅炉:已建成的不能达标排放的燃煤供热锅炉，应当在城市人民政府规定的期限内拆除。</w:t>
                  </w:r>
                </w:p>
              </w:tc>
              <w:tc>
                <w:tcPr>
                  <w:tcW w:w="1683" w:type="pct"/>
                  <w:tcBorders>
                    <w:tl2br w:val="nil"/>
                    <w:tr2bl w:val="nil"/>
                  </w:tcBorders>
                  <w:vAlign w:val="center"/>
                </w:tcPr>
                <w:p w14:paraId="3B62CA3B">
                  <w:pPr>
                    <w:keepNext w:val="0"/>
                    <w:keepLines w:val="0"/>
                    <w:pageBreakBefore w:val="0"/>
                    <w:kinsoku/>
                    <w:overflowPunct/>
                    <w:topLinePunct w:val="0"/>
                    <w:bidi w:val="0"/>
                    <w:jc w:val="center"/>
                    <w:rPr>
                      <w:rFonts w:hint="default" w:ascii="Times New Roman" w:hAnsi="Times New Roman" w:eastAsia="宋体" w:cs="Times New Roman"/>
                      <w:color w:val="auto"/>
                      <w:sz w:val="21"/>
                      <w:szCs w:val="21"/>
                      <w:highlight w:val="none"/>
                      <w:lang w:val="en-US" w:eastAsia="zh-CN"/>
                    </w:rPr>
                  </w:pPr>
                  <w:r>
                    <w:rPr>
                      <w:rFonts w:hint="eastAsia"/>
                      <w:color w:val="auto"/>
                      <w:szCs w:val="21"/>
                      <w:lang w:val="en-US" w:eastAsia="zh-CN"/>
                    </w:rPr>
                    <w:t>本项目生产和冬季供暖采用1台4t/h燃生物质锅炉，燃料为生物质成型燃料。</w:t>
                  </w:r>
                </w:p>
              </w:tc>
            </w:tr>
            <w:tr w14:paraId="7FBD88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75024D07">
                  <w:pPr>
                    <w:keepNext w:val="0"/>
                    <w:keepLines w:val="0"/>
                    <w:pageBreakBefore w:val="0"/>
                    <w:kinsoku/>
                    <w:overflowPunct/>
                    <w:topLinePunct w:val="0"/>
                    <w:bidi w:val="0"/>
                    <w:jc w:val="center"/>
                    <w:rPr>
                      <w:rFonts w:hint="default" w:ascii="Times New Roman" w:hAnsi="Times New Roman" w:eastAsia="宋体" w:cs="Times New Roman"/>
                      <w:color w:val="auto"/>
                      <w:sz w:val="21"/>
                      <w:szCs w:val="21"/>
                    </w:rPr>
                  </w:pPr>
                  <w:r>
                    <w:rPr>
                      <w:color w:val="auto"/>
                      <w:szCs w:val="21"/>
                    </w:rPr>
                    <w:t>环境管控</w:t>
                  </w:r>
                  <w:r>
                    <w:rPr>
                      <w:rFonts w:hint="eastAsia"/>
                      <w:color w:val="auto"/>
                      <w:szCs w:val="21"/>
                      <w:lang w:val="en-US" w:eastAsia="zh-CN"/>
                    </w:rPr>
                    <w:t>区</w:t>
                  </w:r>
                  <w:r>
                    <w:rPr>
                      <w:color w:val="auto"/>
                      <w:szCs w:val="21"/>
                    </w:rPr>
                    <w:t>名称</w:t>
                  </w:r>
                </w:p>
              </w:tc>
              <w:tc>
                <w:tcPr>
                  <w:tcW w:w="2665" w:type="pct"/>
                  <w:gridSpan w:val="2"/>
                  <w:tcBorders>
                    <w:tl2br w:val="nil"/>
                    <w:tr2bl w:val="nil"/>
                  </w:tcBorders>
                  <w:vAlign w:val="center"/>
                </w:tcPr>
                <w:p w14:paraId="3B0D7B3C">
                  <w:pPr>
                    <w:keepNext w:val="0"/>
                    <w:keepLines w:val="0"/>
                    <w:pageBreakBefore w:val="0"/>
                    <w:widowControl/>
                    <w:kinsoku/>
                    <w:overflowPunct/>
                    <w:topLinePunct w:val="0"/>
                    <w:bidi w:val="0"/>
                    <w:jc w:val="center"/>
                    <w:rPr>
                      <w:rFonts w:hint="default" w:ascii="Times New Roman" w:hAnsi="Times New Roman" w:cs="Times New Roman"/>
                      <w:color w:val="auto"/>
                      <w:sz w:val="21"/>
                      <w:szCs w:val="21"/>
                      <w:highlight w:val="none"/>
                      <w:lang w:val="en-US" w:eastAsia="zh-CN"/>
                    </w:rPr>
                  </w:pPr>
                  <w:r>
                    <w:rPr>
                      <w:rFonts w:hint="eastAsia" w:eastAsia="宋体"/>
                      <w:color w:val="auto"/>
                      <w:kern w:val="0"/>
                      <w:szCs w:val="21"/>
                      <w:lang w:val="en-US" w:eastAsia="zh-CN"/>
                    </w:rPr>
                    <w:t>尖山区地下水环境一般管控区</w:t>
                  </w:r>
                </w:p>
              </w:tc>
              <w:tc>
                <w:tcPr>
                  <w:tcW w:w="1683" w:type="pct"/>
                  <w:vMerge w:val="restart"/>
                  <w:tcBorders>
                    <w:tl2br w:val="nil"/>
                    <w:tr2bl w:val="nil"/>
                  </w:tcBorders>
                  <w:vAlign w:val="center"/>
                </w:tcPr>
                <w:p w14:paraId="12D0879A">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w:t>
                  </w:r>
                </w:p>
              </w:tc>
            </w:tr>
            <w:tr w14:paraId="29CA39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0C07308B">
                  <w:pPr>
                    <w:keepNext w:val="0"/>
                    <w:keepLines w:val="0"/>
                    <w:pageBreakBefore w:val="0"/>
                    <w:kinsoku/>
                    <w:overflowPunct/>
                    <w:topLinePunct w:val="0"/>
                    <w:bidi w:val="0"/>
                    <w:jc w:val="center"/>
                    <w:rPr>
                      <w:rFonts w:hint="default" w:ascii="Times New Roman" w:hAnsi="Times New Roman" w:eastAsia="宋体" w:cs="Times New Roman"/>
                      <w:color w:val="auto"/>
                      <w:sz w:val="21"/>
                      <w:szCs w:val="21"/>
                    </w:rPr>
                  </w:pPr>
                  <w:r>
                    <w:rPr>
                      <w:color w:val="auto"/>
                      <w:szCs w:val="21"/>
                    </w:rPr>
                    <w:t>环境管控</w:t>
                  </w:r>
                  <w:r>
                    <w:rPr>
                      <w:rFonts w:hint="eastAsia"/>
                      <w:color w:val="auto"/>
                      <w:szCs w:val="21"/>
                      <w:lang w:val="en-US" w:eastAsia="zh-CN"/>
                    </w:rPr>
                    <w:t>区</w:t>
                  </w:r>
                  <w:r>
                    <w:rPr>
                      <w:color w:val="auto"/>
                      <w:szCs w:val="21"/>
                    </w:rPr>
                    <w:t>编码</w:t>
                  </w:r>
                </w:p>
              </w:tc>
              <w:tc>
                <w:tcPr>
                  <w:tcW w:w="2665" w:type="pct"/>
                  <w:gridSpan w:val="2"/>
                  <w:tcBorders>
                    <w:tl2br w:val="nil"/>
                    <w:tr2bl w:val="nil"/>
                  </w:tcBorders>
                  <w:vAlign w:val="center"/>
                </w:tcPr>
                <w:p w14:paraId="7BBDCBDA">
                  <w:pPr>
                    <w:keepNext w:val="0"/>
                    <w:keepLines w:val="0"/>
                    <w:pageBreakBefore w:val="0"/>
                    <w:kinsoku/>
                    <w:overflowPunct/>
                    <w:topLinePunct w:val="0"/>
                    <w:bidi w:val="0"/>
                    <w:jc w:val="center"/>
                    <w:rPr>
                      <w:rFonts w:hint="default" w:ascii="Times New Roman" w:hAnsi="Times New Roman" w:cs="Times New Roman"/>
                      <w:color w:val="auto"/>
                      <w:sz w:val="21"/>
                      <w:szCs w:val="21"/>
                      <w:highlight w:val="none"/>
                      <w:lang w:val="en-US" w:eastAsia="zh-CN"/>
                    </w:rPr>
                  </w:pPr>
                  <w:r>
                    <w:rPr>
                      <w:rFonts w:hint="eastAsia"/>
                      <w:color w:val="auto"/>
                      <w:kern w:val="0"/>
                      <w:szCs w:val="21"/>
                    </w:rPr>
                    <w:t>TS2305026310001</w:t>
                  </w:r>
                </w:p>
              </w:tc>
              <w:tc>
                <w:tcPr>
                  <w:tcW w:w="1683" w:type="pct"/>
                  <w:vMerge w:val="continue"/>
                  <w:tcBorders>
                    <w:tl2br w:val="nil"/>
                    <w:tr2bl w:val="nil"/>
                  </w:tcBorders>
                  <w:vAlign w:val="center"/>
                </w:tcPr>
                <w:p w14:paraId="1B18F74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p>
              </w:tc>
            </w:tr>
            <w:tr w14:paraId="23F787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1E48E4C6">
                  <w:pPr>
                    <w:keepNext w:val="0"/>
                    <w:keepLines w:val="0"/>
                    <w:pageBreakBefore w:val="0"/>
                    <w:kinsoku/>
                    <w:overflowPunct/>
                    <w:topLinePunct w:val="0"/>
                    <w:bidi w:val="0"/>
                    <w:jc w:val="center"/>
                    <w:rPr>
                      <w:rFonts w:hint="default" w:ascii="Times New Roman" w:hAnsi="Times New Roman" w:eastAsia="宋体" w:cs="Times New Roman"/>
                      <w:color w:val="auto"/>
                      <w:sz w:val="21"/>
                      <w:szCs w:val="21"/>
                    </w:rPr>
                  </w:pPr>
                  <w:r>
                    <w:rPr>
                      <w:color w:val="auto"/>
                      <w:szCs w:val="21"/>
                    </w:rPr>
                    <w:t>管控</w:t>
                  </w:r>
                  <w:r>
                    <w:rPr>
                      <w:rFonts w:hint="eastAsia"/>
                      <w:color w:val="auto"/>
                      <w:szCs w:val="21"/>
                      <w:lang w:val="en-US" w:eastAsia="zh-CN"/>
                    </w:rPr>
                    <w:t>区</w:t>
                  </w:r>
                  <w:r>
                    <w:rPr>
                      <w:color w:val="auto"/>
                      <w:szCs w:val="21"/>
                    </w:rPr>
                    <w:t>类</w:t>
                  </w:r>
                  <w:r>
                    <w:rPr>
                      <w:rFonts w:hint="eastAsia"/>
                      <w:color w:val="auto"/>
                      <w:szCs w:val="21"/>
                      <w:lang w:val="en-US" w:eastAsia="zh-CN"/>
                    </w:rPr>
                    <w:t>型</w:t>
                  </w:r>
                </w:p>
              </w:tc>
              <w:tc>
                <w:tcPr>
                  <w:tcW w:w="2665" w:type="pct"/>
                  <w:gridSpan w:val="2"/>
                  <w:tcBorders>
                    <w:tl2br w:val="nil"/>
                    <w:tr2bl w:val="nil"/>
                  </w:tcBorders>
                  <w:vAlign w:val="center"/>
                </w:tcPr>
                <w:p w14:paraId="08649D5A">
                  <w:pPr>
                    <w:keepNext w:val="0"/>
                    <w:keepLines w:val="0"/>
                    <w:pageBreakBefore w:val="0"/>
                    <w:kinsoku/>
                    <w:overflowPunct/>
                    <w:topLinePunct w:val="0"/>
                    <w:bidi w:val="0"/>
                    <w:jc w:val="center"/>
                    <w:rPr>
                      <w:rFonts w:hint="default" w:ascii="Times New Roman" w:hAnsi="Times New Roman" w:cs="Times New Roman"/>
                      <w:color w:val="auto"/>
                      <w:sz w:val="21"/>
                      <w:szCs w:val="21"/>
                      <w:highlight w:val="none"/>
                      <w:lang w:val="en-US" w:eastAsia="zh-CN"/>
                    </w:rPr>
                  </w:pPr>
                  <w:r>
                    <w:rPr>
                      <w:rFonts w:hint="eastAsia"/>
                      <w:color w:val="auto"/>
                      <w:kern w:val="0"/>
                      <w:szCs w:val="21"/>
                      <w:lang w:val="en-US" w:eastAsia="zh-CN"/>
                    </w:rPr>
                    <w:t>一般管控区</w:t>
                  </w:r>
                </w:p>
              </w:tc>
              <w:tc>
                <w:tcPr>
                  <w:tcW w:w="1683" w:type="pct"/>
                  <w:vMerge w:val="continue"/>
                  <w:tcBorders>
                    <w:tl2br w:val="nil"/>
                    <w:tr2bl w:val="nil"/>
                  </w:tcBorders>
                  <w:vAlign w:val="center"/>
                </w:tcPr>
                <w:p w14:paraId="3C996C77">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p>
              </w:tc>
            </w:tr>
            <w:tr w14:paraId="6161D9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1" w:type="pct"/>
                  <w:tcBorders>
                    <w:tl2br w:val="nil"/>
                    <w:tr2bl w:val="nil"/>
                  </w:tcBorders>
                  <w:vAlign w:val="center"/>
                </w:tcPr>
                <w:p w14:paraId="27B49D99">
                  <w:pPr>
                    <w:keepNext w:val="0"/>
                    <w:keepLines w:val="0"/>
                    <w:pageBreakBefore w:val="0"/>
                    <w:kinsoku/>
                    <w:overflowPunct/>
                    <w:topLinePunct w:val="0"/>
                    <w:bidi w:val="0"/>
                    <w:jc w:val="center"/>
                    <w:rPr>
                      <w:rFonts w:hint="default" w:ascii="Times New Roman" w:hAnsi="Times New Roman" w:eastAsia="宋体" w:cs="Times New Roman"/>
                      <w:color w:val="auto"/>
                      <w:sz w:val="21"/>
                      <w:szCs w:val="21"/>
                    </w:rPr>
                  </w:pPr>
                  <w:r>
                    <w:rPr>
                      <w:rFonts w:hint="eastAsia"/>
                      <w:color w:val="auto"/>
                      <w:szCs w:val="21"/>
                    </w:rPr>
                    <w:t>管控要求</w:t>
                  </w:r>
                </w:p>
              </w:tc>
              <w:tc>
                <w:tcPr>
                  <w:tcW w:w="414" w:type="pct"/>
                  <w:tcBorders>
                    <w:tl2br w:val="nil"/>
                    <w:tr2bl w:val="nil"/>
                  </w:tcBorders>
                  <w:vAlign w:val="center"/>
                </w:tcPr>
                <w:p w14:paraId="6D790491">
                  <w:pPr>
                    <w:keepNext w:val="0"/>
                    <w:keepLines w:val="0"/>
                    <w:pageBreakBefore w:val="0"/>
                    <w:widowControl/>
                    <w:kinsoku/>
                    <w:overflowPunct/>
                    <w:topLinePunct w:val="0"/>
                    <w:bidi w:val="0"/>
                    <w:jc w:val="center"/>
                    <w:rPr>
                      <w:rFonts w:hint="default" w:ascii="Times New Roman" w:hAnsi="Times New Roman" w:cs="Times New Roman"/>
                      <w:color w:val="auto"/>
                      <w:sz w:val="21"/>
                      <w:szCs w:val="21"/>
                      <w:highlight w:val="none"/>
                      <w:lang w:val="en-US" w:eastAsia="zh-CN"/>
                    </w:rPr>
                  </w:pPr>
                  <w:r>
                    <w:rPr>
                      <w:rFonts w:hint="eastAsia"/>
                      <w:color w:val="auto"/>
                      <w:kern w:val="0"/>
                      <w:szCs w:val="21"/>
                      <w:lang w:val="en-US" w:eastAsia="zh-CN"/>
                    </w:rPr>
                    <w:t>环境风险管控</w:t>
                  </w:r>
                </w:p>
              </w:tc>
              <w:tc>
                <w:tcPr>
                  <w:tcW w:w="2250" w:type="pct"/>
                  <w:tcBorders>
                    <w:tl2br w:val="nil"/>
                    <w:tr2bl w:val="nil"/>
                  </w:tcBorders>
                  <w:vAlign w:val="center"/>
                </w:tcPr>
                <w:p w14:paraId="1E844440">
                  <w:pPr>
                    <w:keepNext w:val="0"/>
                    <w:keepLines w:val="0"/>
                    <w:pageBreakBefore w:val="0"/>
                    <w:widowControl/>
                    <w:kinsoku/>
                    <w:overflowPunct/>
                    <w:topLinePunct w:val="0"/>
                    <w:bidi w:val="0"/>
                    <w:jc w:val="left"/>
                    <w:rPr>
                      <w:rFonts w:hint="default" w:ascii="Times New Roman" w:hAnsi="Times New Roman" w:cs="Times New Roman"/>
                      <w:color w:val="auto"/>
                      <w:sz w:val="21"/>
                      <w:szCs w:val="21"/>
                      <w:highlight w:val="none"/>
                      <w:lang w:val="en-US" w:eastAsia="zh-CN"/>
                    </w:rPr>
                  </w:pPr>
                  <w:r>
                    <w:rPr>
                      <w:rFonts w:hint="eastAsia"/>
                      <w:color w:val="auto"/>
                      <w:szCs w:val="21"/>
                    </w:rPr>
                    <w:t>1.土壤污染重点监管单位应当履行下列文务:(一)严格控制有毒有害物质排放，并按年度向生泰环境主管部门报告</w:t>
                  </w:r>
                  <w:r>
                    <w:rPr>
                      <w:rFonts w:hint="eastAsia"/>
                      <w:color w:val="auto"/>
                      <w:szCs w:val="21"/>
                      <w:lang w:val="en-US" w:eastAsia="zh-CN"/>
                    </w:rPr>
                    <w:t>排</w:t>
                  </w:r>
                  <w:r>
                    <w:rPr>
                      <w:rFonts w:hint="eastAsia"/>
                      <w:color w:val="auto"/>
                      <w:szCs w:val="21"/>
                    </w:rPr>
                    <w:t>放情况:(二)建立土壤污染隐患排查制度，保证持续有效止有都有害物质渗漏、流失、扬散:(三)制定、实自行监测方案，并将监测数据报生态环境主管部门。2重点单位新、改、扩建项目地下储罐储存有毒有害物质的，应当在项目投入生产或者使用之前，将地下储罐的信息报所在地设区的市级生态环境主管部门备案。3.重点单位应当建立土壤和地下水污染隐患排查治理制度，定期对重点区域、重点设开展隐患排查。发现污染隐患的，应当制定整改方案，及时采取技术、管理措施消除隐患。隐患排查、治理情况应当如实记录并建立档案。重点区域包括涉及有毒有害物质的生区，原材料及固体废物的堆存区、储放区和转运区等:重点设施包括涉及有毒有害物质的地下储罐、地下管线。以及污染治理设施等。4.化学品生产企业以及工业集聚区、矿山开采区、尾矿库、危险废物处置场、垃圾填埋场等的运营、管理单位，应当采取防渗漏等措施，并建设地下水水质监测井进行监测，防止地下水污染。5.重点单位通过新、改、扩建项目的土壤和地下水环境现状调查，发现项目用地污染物含量超过国家或者地方有关建设用地土壤污染风险管控标准狗，土地使用权人或者污染责任人应当参照污染地块土壤环竟管理有关规定开展详细调查、风险评估、风险管控、治理写修复等活动。</w:t>
                  </w:r>
                </w:p>
              </w:tc>
              <w:tc>
                <w:tcPr>
                  <w:tcW w:w="1683" w:type="pct"/>
                  <w:tcBorders>
                    <w:tl2br w:val="nil"/>
                    <w:tr2bl w:val="nil"/>
                  </w:tcBorders>
                  <w:vAlign w:val="center"/>
                </w:tcPr>
                <w:p w14:paraId="3ECBBBD2">
                  <w:pPr>
                    <w:keepNext w:val="0"/>
                    <w:keepLines w:val="0"/>
                    <w:pageBreakBefore w:val="0"/>
                    <w:kinsoku/>
                    <w:overflowPunct/>
                    <w:topLinePunct w:val="0"/>
                    <w:bidi w:val="0"/>
                    <w:jc w:val="center"/>
                    <w:rPr>
                      <w:rFonts w:hint="default" w:ascii="Times New Roman" w:hAnsi="Times New Roman" w:eastAsia="宋体" w:cs="Times New Roman"/>
                      <w:color w:val="auto"/>
                      <w:sz w:val="21"/>
                      <w:szCs w:val="21"/>
                      <w:highlight w:val="none"/>
                      <w:lang w:val="en-US" w:eastAsia="zh-CN"/>
                    </w:rPr>
                  </w:pPr>
                  <w:r>
                    <w:rPr>
                      <w:rFonts w:hint="eastAsia"/>
                      <w:color w:val="auto"/>
                      <w:szCs w:val="21"/>
                      <w:lang w:val="en-US" w:eastAsia="zh-CN"/>
                    </w:rPr>
                    <w:t>本项目主要污染物为颗粒物</w:t>
                  </w:r>
                  <w:r>
                    <w:rPr>
                      <w:rFonts w:hint="eastAsia"/>
                      <w:color w:val="auto"/>
                      <w:szCs w:val="21"/>
                    </w:rPr>
                    <w:t>、SO</w:t>
                  </w:r>
                  <w:r>
                    <w:rPr>
                      <w:rFonts w:hint="eastAsia"/>
                      <w:color w:val="auto"/>
                      <w:szCs w:val="21"/>
                      <w:vertAlign w:val="subscript"/>
                    </w:rPr>
                    <w:t>2</w:t>
                  </w:r>
                  <w:r>
                    <w:rPr>
                      <w:rFonts w:hint="eastAsia"/>
                      <w:color w:val="auto"/>
                      <w:szCs w:val="21"/>
                    </w:rPr>
                    <w:t>和NO</w:t>
                  </w:r>
                  <w:r>
                    <w:rPr>
                      <w:rFonts w:hint="eastAsia"/>
                      <w:color w:val="auto"/>
                      <w:szCs w:val="21"/>
                      <w:vertAlign w:val="subscript"/>
                    </w:rPr>
                    <w:t>x</w:t>
                  </w:r>
                  <w:r>
                    <w:rPr>
                      <w:rFonts w:hint="eastAsia"/>
                      <w:color w:val="auto"/>
                      <w:szCs w:val="21"/>
                      <w:lang w:eastAsia="zh-CN"/>
                    </w:rPr>
                    <w:t>，</w:t>
                  </w:r>
                  <w:r>
                    <w:rPr>
                      <w:rFonts w:hint="eastAsia"/>
                      <w:color w:val="auto"/>
                      <w:szCs w:val="21"/>
                      <w:lang w:val="en-US" w:eastAsia="zh-CN"/>
                    </w:rPr>
                    <w:t>不排放有毒有害物质；本项目采取分区防渗措施，以防止有害物质渗漏、流失，本项目不使用有毒有害物质，本项目不属于</w:t>
                  </w:r>
                  <w:r>
                    <w:rPr>
                      <w:rFonts w:hint="eastAsia"/>
                      <w:color w:val="auto"/>
                      <w:szCs w:val="21"/>
                    </w:rPr>
                    <w:t>化学品生产企业以及工业集聚区、矿山开采区、尾矿库、危险废物处置场、垃圾填埋场等的运营、管理单位</w:t>
                  </w:r>
                  <w:r>
                    <w:rPr>
                      <w:rFonts w:hint="eastAsia"/>
                      <w:color w:val="auto"/>
                      <w:szCs w:val="21"/>
                      <w:lang w:eastAsia="zh-CN"/>
                    </w:rPr>
                    <w:t>，</w:t>
                  </w:r>
                  <w:r>
                    <w:rPr>
                      <w:rFonts w:hint="eastAsia"/>
                      <w:color w:val="auto"/>
                      <w:szCs w:val="21"/>
                      <w:lang w:val="en-US" w:eastAsia="zh-CN"/>
                    </w:rPr>
                    <w:t>本项目为新建项目，场地初始用于建设安邦乡公立村小学，无土壤污染途径</w:t>
                  </w:r>
                  <w:r>
                    <w:rPr>
                      <w:rFonts w:hint="eastAsia"/>
                      <w:color w:val="auto"/>
                      <w:szCs w:val="21"/>
                      <w:lang w:eastAsia="zh-CN"/>
                    </w:rPr>
                    <w:t>。</w:t>
                  </w:r>
                </w:p>
              </w:tc>
            </w:tr>
          </w:tbl>
          <w:p w14:paraId="241BE8FD">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color w:val="auto"/>
                <w:sz w:val="24"/>
                <w:szCs w:val="32"/>
                <w:highlight w:val="none"/>
                <w:lang w:val="en-US" w:eastAsia="zh-CN"/>
              </w:rPr>
              <w:t>（4）“一说明”</w:t>
            </w:r>
          </w:p>
          <w:p w14:paraId="50A431A3">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color w:val="auto"/>
                <w:sz w:val="24"/>
                <w:szCs w:val="32"/>
                <w:highlight w:val="none"/>
                <w:lang w:val="en-US" w:eastAsia="zh-CN"/>
              </w:rPr>
              <w:t>由上表可知，本项目的建设符合《黑龙江省人民政府关于实施“三线一单生态环境分区管控的意见》（黑政发〔2020〕14号）、《双鸭山市人民政府关于实施“三线一单”生态环境分区管控的意见》（双政规〔2021〕2号）及《双鸭山市生态环境准入清单》（2023年版）中要求。</w:t>
            </w:r>
          </w:p>
          <w:p w14:paraId="45AD376D">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color w:val="auto"/>
                <w:sz w:val="24"/>
                <w:szCs w:val="32"/>
                <w:highlight w:val="none"/>
                <w:lang w:val="en-US" w:eastAsia="zh-CN"/>
              </w:rPr>
              <w:t>根据双鸭山市尖山区众诚种植养殖农民专业合作社新建项目“三线一单”分析成果，双鸭山市尖山区众诚种植养殖农民专业合作社新建项目位置涉及双鸭山市尖山区；双鸭山市尖山区众诚种植养殖农民专业合作社新建项目与生态保护红线无交集与自然保护地无交集；与饮用水水源保护区无交集；与国家级水产种质资源保护区无交集；与环境管控单元优先保护单元无交集；与环境管控单元重点管控单元有交集，占区块面积的100%；与环境管控单元一般管控单元无交集。</w:t>
            </w:r>
          </w:p>
          <w:p w14:paraId="2DAAD79B">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olor w:val="auto"/>
                <w:sz w:val="24"/>
                <w:szCs w:val="24"/>
                <w:highlight w:val="none"/>
                <w:vertAlign w:val="baseline"/>
                <w:lang w:val="en-US" w:eastAsia="zh-CN"/>
              </w:rPr>
            </w:pPr>
            <w:r>
              <w:rPr>
                <w:rFonts w:hint="eastAsia"/>
                <w:color w:val="auto"/>
                <w:sz w:val="24"/>
                <w:szCs w:val="32"/>
                <w:highlight w:val="none"/>
                <w:lang w:val="en-US" w:eastAsia="zh-CN"/>
              </w:rPr>
              <w:t>3、</w:t>
            </w:r>
            <w:r>
              <w:rPr>
                <w:rFonts w:hint="eastAsia" w:ascii="Times New Roman" w:hAnsi="Times New Roman" w:eastAsia="宋体"/>
                <w:color w:val="auto"/>
                <w:sz w:val="24"/>
                <w:szCs w:val="24"/>
                <w:highlight w:val="none"/>
                <w:vertAlign w:val="baseline"/>
                <w:lang w:val="en-US" w:eastAsia="zh-CN"/>
              </w:rPr>
              <w:t>与《黑龙江省大气污染防治条例》（2018年12月27日修订）符合性分析</w:t>
            </w:r>
          </w:p>
          <w:p w14:paraId="2FBDFCBD">
            <w:pPr>
              <w:pStyle w:val="137"/>
              <w:keepNext w:val="0"/>
              <w:keepLines w:val="0"/>
              <w:pageBreakBefore w:val="0"/>
              <w:widowControl w:val="0"/>
              <w:kinsoku/>
              <w:wordWrap/>
              <w:overflowPunct/>
              <w:topLinePunct w:val="0"/>
              <w:autoSpaceDE/>
              <w:autoSpaceDN/>
              <w:bidi w:val="0"/>
              <w:spacing w:line="360" w:lineRule="auto"/>
              <w:textAlignment w:val="auto"/>
              <w:rPr>
                <w:rFonts w:hint="eastAsia" w:ascii="Times New Roman" w:hAnsi="Times New Roman" w:eastAsia="宋体" w:cs="Times New Roman"/>
                <w:bCs/>
                <w:color w:val="auto"/>
                <w:kern w:val="0"/>
                <w:sz w:val="24"/>
                <w:szCs w:val="21"/>
                <w:highlight w:val="none"/>
                <w:lang w:val="en-US" w:eastAsia="zh-CN" w:bidi="ar-SA"/>
              </w:rPr>
            </w:pPr>
            <w:r>
              <w:rPr>
                <w:rFonts w:hint="eastAsia" w:ascii="Times New Roman" w:hAnsi="Times New Roman" w:eastAsia="宋体" w:cs="Times New Roman"/>
                <w:bCs/>
                <w:color w:val="auto"/>
                <w:kern w:val="0"/>
                <w:sz w:val="24"/>
                <w:szCs w:val="21"/>
                <w:highlight w:val="none"/>
                <w:lang w:val="en-US" w:eastAsia="zh-CN" w:bidi="ar-SA"/>
              </w:rPr>
              <w:t>根据《黑龙江省大气污染防治条例》（2018年12月27日修订）</w:t>
            </w:r>
          </w:p>
          <w:p w14:paraId="03B5AC83">
            <w:pPr>
              <w:pStyle w:val="137"/>
              <w:keepNext w:val="0"/>
              <w:keepLines w:val="0"/>
              <w:pageBreakBefore w:val="0"/>
              <w:widowControl w:val="0"/>
              <w:kinsoku/>
              <w:wordWrap/>
              <w:overflowPunct/>
              <w:topLinePunct w:val="0"/>
              <w:autoSpaceDE/>
              <w:autoSpaceDN/>
              <w:bidi w:val="0"/>
              <w:spacing w:line="360" w:lineRule="auto"/>
              <w:textAlignment w:val="auto"/>
              <w:rPr>
                <w:rFonts w:hint="eastAsia" w:ascii="Times New Roman" w:hAnsi="Times New Roman" w:eastAsia="宋体" w:cs="Times New Roman"/>
                <w:bCs/>
                <w:color w:val="auto"/>
                <w:kern w:val="0"/>
                <w:sz w:val="24"/>
                <w:szCs w:val="21"/>
                <w:highlight w:val="none"/>
                <w:lang w:val="en-US" w:eastAsia="zh-CN" w:bidi="ar-SA"/>
              </w:rPr>
            </w:pPr>
            <w:r>
              <w:rPr>
                <w:rFonts w:hint="eastAsia" w:ascii="Times New Roman" w:hAnsi="Times New Roman" w:eastAsia="宋体" w:cs="Times New Roman"/>
                <w:bCs/>
                <w:color w:val="auto"/>
                <w:kern w:val="0"/>
                <w:sz w:val="24"/>
                <w:szCs w:val="21"/>
                <w:highlight w:val="none"/>
                <w:lang w:val="en-US" w:eastAsia="zh-CN" w:bidi="ar-SA"/>
              </w:rPr>
              <w:t>第二节 工业污染防治</w:t>
            </w:r>
          </w:p>
          <w:p w14:paraId="6079D294">
            <w:pPr>
              <w:pStyle w:val="137"/>
              <w:keepNext w:val="0"/>
              <w:keepLines w:val="0"/>
              <w:pageBreakBefore w:val="0"/>
              <w:widowControl w:val="0"/>
              <w:kinsoku/>
              <w:wordWrap/>
              <w:overflowPunct/>
              <w:topLinePunct w:val="0"/>
              <w:autoSpaceDE/>
              <w:autoSpaceDN/>
              <w:bidi w:val="0"/>
              <w:spacing w:line="360" w:lineRule="auto"/>
              <w:textAlignment w:val="auto"/>
              <w:rPr>
                <w:rFonts w:hint="eastAsia" w:ascii="Times New Roman" w:hAnsi="Times New Roman" w:eastAsia="宋体" w:cs="Times New Roman"/>
                <w:bCs/>
                <w:color w:val="auto"/>
                <w:kern w:val="0"/>
                <w:sz w:val="24"/>
                <w:szCs w:val="21"/>
                <w:highlight w:val="none"/>
                <w:lang w:val="en-US" w:eastAsia="zh-CN" w:bidi="ar-SA"/>
              </w:rPr>
            </w:pPr>
            <w:r>
              <w:rPr>
                <w:rFonts w:hint="eastAsia" w:ascii="Times New Roman" w:hAnsi="Times New Roman" w:eastAsia="宋体" w:cs="Times New Roman"/>
                <w:bCs/>
                <w:color w:val="auto"/>
                <w:kern w:val="0"/>
                <w:sz w:val="24"/>
                <w:szCs w:val="21"/>
                <w:highlight w:val="none"/>
                <w:lang w:val="en-US" w:eastAsia="zh-CN" w:bidi="ar-SA"/>
              </w:rPr>
              <w:t>第三十七条 县级以上人民政府应当发展工业循环经济，调整、优化产业结构，推进清洁生产，鼓励产业集聚发展，按照主体功能区划合理规划工业园区的布局，引导工业企业入驻工业园区。</w:t>
            </w:r>
          </w:p>
          <w:p w14:paraId="749C0DD9">
            <w:pPr>
              <w:pStyle w:val="137"/>
              <w:keepNext w:val="0"/>
              <w:keepLines w:val="0"/>
              <w:pageBreakBefore w:val="0"/>
              <w:widowControl w:val="0"/>
              <w:kinsoku/>
              <w:wordWrap/>
              <w:overflowPunct/>
              <w:topLinePunct w:val="0"/>
              <w:autoSpaceDE/>
              <w:autoSpaceDN/>
              <w:bidi w:val="0"/>
              <w:spacing w:line="360" w:lineRule="auto"/>
              <w:textAlignment w:val="auto"/>
              <w:rPr>
                <w:rFonts w:hint="eastAsia" w:ascii="Times New Roman" w:hAnsi="Times New Roman" w:eastAsia="宋体" w:cs="Times New Roman"/>
                <w:bCs/>
                <w:color w:val="auto"/>
                <w:kern w:val="0"/>
                <w:sz w:val="24"/>
                <w:szCs w:val="21"/>
                <w:highlight w:val="none"/>
                <w:lang w:val="en-US" w:eastAsia="zh-CN" w:bidi="ar-SA"/>
              </w:rPr>
            </w:pPr>
            <w:r>
              <w:rPr>
                <w:rFonts w:hint="eastAsia" w:ascii="Times New Roman" w:hAnsi="Times New Roman" w:eastAsia="宋体" w:cs="Times New Roman"/>
                <w:bCs/>
                <w:color w:val="auto"/>
                <w:kern w:val="0"/>
                <w:sz w:val="24"/>
                <w:szCs w:val="21"/>
                <w:highlight w:val="none"/>
                <w:lang w:val="en-US" w:eastAsia="zh-CN" w:bidi="ar-SA"/>
              </w:rPr>
              <w:t>鼓励工业园区集中建设生产用热热源以及热网，逐步淘汰分散锅炉。</w:t>
            </w:r>
          </w:p>
          <w:p w14:paraId="61F70A3E">
            <w:pPr>
              <w:pStyle w:val="137"/>
              <w:keepNext w:val="0"/>
              <w:keepLines w:val="0"/>
              <w:pageBreakBefore w:val="0"/>
              <w:widowControl w:val="0"/>
              <w:kinsoku/>
              <w:wordWrap/>
              <w:overflowPunct/>
              <w:topLinePunct w:val="0"/>
              <w:autoSpaceDE/>
              <w:autoSpaceDN/>
              <w:bidi w:val="0"/>
              <w:spacing w:line="360" w:lineRule="auto"/>
              <w:textAlignment w:val="auto"/>
              <w:rPr>
                <w:rFonts w:hint="eastAsia" w:ascii="Times New Roman" w:hAnsi="Times New Roman" w:eastAsia="宋体" w:cs="Times New Roman"/>
                <w:bCs/>
                <w:color w:val="auto"/>
                <w:kern w:val="0"/>
                <w:sz w:val="24"/>
                <w:szCs w:val="21"/>
                <w:highlight w:val="none"/>
                <w:lang w:val="en-US" w:eastAsia="zh-CN" w:bidi="ar-SA"/>
              </w:rPr>
            </w:pPr>
            <w:r>
              <w:rPr>
                <w:rFonts w:hint="eastAsia" w:ascii="Times New Roman" w:hAnsi="Times New Roman" w:eastAsia="宋体" w:cs="Times New Roman"/>
                <w:bCs/>
                <w:color w:val="auto"/>
                <w:kern w:val="0"/>
                <w:sz w:val="24"/>
                <w:szCs w:val="21"/>
                <w:highlight w:val="none"/>
                <w:lang w:val="en-US" w:eastAsia="zh-CN" w:bidi="ar-SA"/>
              </w:rPr>
              <w:t>第三十八条企业事业单位和其他生产经营者应当在规定期限内，淘汰列入国家综合性产业政策目录的严重污染大气环境的工艺、设备和产品。</w:t>
            </w:r>
          </w:p>
          <w:p w14:paraId="487CE3AF">
            <w:pPr>
              <w:pStyle w:val="137"/>
              <w:keepNext w:val="0"/>
              <w:keepLines w:val="0"/>
              <w:pageBreakBefore w:val="0"/>
              <w:widowControl w:val="0"/>
              <w:kinsoku/>
              <w:wordWrap/>
              <w:overflowPunct/>
              <w:topLinePunct w:val="0"/>
              <w:autoSpaceDE/>
              <w:autoSpaceDN/>
              <w:bidi w:val="0"/>
              <w:spacing w:line="360" w:lineRule="auto"/>
              <w:textAlignment w:val="auto"/>
              <w:rPr>
                <w:rFonts w:hint="eastAsia" w:ascii="Times New Roman" w:hAnsi="Times New Roman" w:eastAsia="宋体" w:cs="Times New Roman"/>
                <w:bCs/>
                <w:color w:val="auto"/>
                <w:kern w:val="0"/>
                <w:sz w:val="24"/>
                <w:szCs w:val="21"/>
                <w:highlight w:val="none"/>
                <w:lang w:val="en-US" w:eastAsia="zh-CN" w:bidi="ar-SA"/>
              </w:rPr>
            </w:pPr>
            <w:r>
              <w:rPr>
                <w:rFonts w:hint="eastAsia" w:ascii="Times New Roman" w:hAnsi="Times New Roman" w:eastAsia="宋体" w:cs="Times New Roman"/>
                <w:bCs/>
                <w:color w:val="auto"/>
                <w:kern w:val="0"/>
                <w:sz w:val="24"/>
                <w:szCs w:val="21"/>
                <w:highlight w:val="none"/>
                <w:lang w:val="en-US" w:eastAsia="zh-CN" w:bidi="ar-SA"/>
              </w:rPr>
              <w:t>第三十九条 生产、进口、销售和使用含</w:t>
            </w:r>
            <w:r>
              <w:rPr>
                <w:rFonts w:hint="eastAsia" w:ascii="Times New Roman" w:hAnsi="Times New Roman" w:eastAsia="宋体" w:cs="Times New Roman"/>
                <w:bCs/>
                <w:color w:val="auto"/>
                <w:kern w:val="0"/>
                <w:sz w:val="24"/>
                <w:szCs w:val="21"/>
                <w:highlight w:val="none"/>
                <w:lang w:val="en-US" w:eastAsia="zh-CN" w:bidi="ar-SA"/>
              </w:rPr>
              <w:fldChar w:fldCharType="begin"/>
            </w:r>
            <w:r>
              <w:rPr>
                <w:rFonts w:hint="eastAsia" w:ascii="Times New Roman" w:hAnsi="Times New Roman" w:eastAsia="宋体" w:cs="Times New Roman"/>
                <w:bCs/>
                <w:color w:val="auto"/>
                <w:kern w:val="0"/>
                <w:sz w:val="24"/>
                <w:szCs w:val="21"/>
                <w:highlight w:val="none"/>
                <w:lang w:val="en-US" w:eastAsia="zh-CN" w:bidi="ar-SA"/>
              </w:rPr>
              <w:instrText xml:space="preserve"> HYPERLINK "https://baike.baidu.com/item/%E6%8C%A5%E5%8F%91%E6%80%A7%E6%9C%89%E6%9C%BA%E7%89%A9/10832612" \t "https://baike.baidu.com/item/%E9%BB%91%E9%BE%99%E6%B1%9F%E7%9C%81%E5%A4%A7%E6%B0%94%E6%B1%A1%E6%9F%93%E9%98%B2%E6%B2%BB%E6%9D%A1%E4%BE%8B/_blank" </w:instrText>
            </w:r>
            <w:r>
              <w:rPr>
                <w:rFonts w:hint="eastAsia" w:ascii="Times New Roman" w:hAnsi="Times New Roman" w:eastAsia="宋体" w:cs="Times New Roman"/>
                <w:bCs/>
                <w:color w:val="auto"/>
                <w:kern w:val="0"/>
                <w:sz w:val="24"/>
                <w:szCs w:val="21"/>
                <w:highlight w:val="none"/>
                <w:lang w:val="en-US" w:eastAsia="zh-CN" w:bidi="ar-SA"/>
              </w:rPr>
              <w:fldChar w:fldCharType="separate"/>
            </w:r>
            <w:r>
              <w:rPr>
                <w:rFonts w:hint="eastAsia" w:ascii="Times New Roman" w:hAnsi="Times New Roman" w:eastAsia="宋体" w:cs="Times New Roman"/>
                <w:bCs/>
                <w:color w:val="auto"/>
                <w:kern w:val="0"/>
                <w:sz w:val="24"/>
                <w:szCs w:val="21"/>
                <w:highlight w:val="none"/>
                <w:lang w:val="en-US" w:eastAsia="zh-CN" w:bidi="ar-SA"/>
              </w:rPr>
              <w:t>挥发性有机物</w:t>
            </w:r>
            <w:r>
              <w:rPr>
                <w:rFonts w:hint="eastAsia" w:ascii="Times New Roman" w:hAnsi="Times New Roman" w:eastAsia="宋体" w:cs="Times New Roman"/>
                <w:bCs/>
                <w:color w:val="auto"/>
                <w:kern w:val="0"/>
                <w:sz w:val="24"/>
                <w:szCs w:val="21"/>
                <w:highlight w:val="none"/>
                <w:lang w:val="en-US" w:eastAsia="zh-CN" w:bidi="ar-SA"/>
              </w:rPr>
              <w:fldChar w:fldCharType="end"/>
            </w:r>
            <w:r>
              <w:rPr>
                <w:rFonts w:hint="eastAsia" w:ascii="Times New Roman" w:hAnsi="Times New Roman" w:eastAsia="宋体" w:cs="Times New Roman"/>
                <w:bCs/>
                <w:color w:val="auto"/>
                <w:kern w:val="0"/>
                <w:sz w:val="24"/>
                <w:szCs w:val="21"/>
                <w:highlight w:val="none"/>
                <w:lang w:val="en-US" w:eastAsia="zh-CN" w:bidi="ar-SA"/>
              </w:rPr>
              <w:t>的原材料和产品的，其挥发性有机物含量应当符合质量标准或者要求。</w:t>
            </w:r>
          </w:p>
          <w:p w14:paraId="3C5B7257">
            <w:pPr>
              <w:pStyle w:val="137"/>
              <w:keepNext w:val="0"/>
              <w:keepLines w:val="0"/>
              <w:pageBreakBefore w:val="0"/>
              <w:widowControl w:val="0"/>
              <w:kinsoku/>
              <w:wordWrap/>
              <w:overflowPunct/>
              <w:topLinePunct w:val="0"/>
              <w:autoSpaceDE/>
              <w:autoSpaceDN/>
              <w:bidi w:val="0"/>
              <w:spacing w:line="360" w:lineRule="auto"/>
              <w:textAlignment w:val="auto"/>
              <w:rPr>
                <w:rFonts w:hint="eastAsia" w:ascii="Times New Roman" w:hAnsi="Times New Roman" w:eastAsia="宋体" w:cs="Times New Roman"/>
                <w:bCs/>
                <w:color w:val="auto"/>
                <w:kern w:val="0"/>
                <w:sz w:val="24"/>
                <w:szCs w:val="21"/>
                <w:highlight w:val="none"/>
                <w:lang w:val="en-US" w:eastAsia="zh-CN" w:bidi="ar-SA"/>
              </w:rPr>
            </w:pPr>
            <w:r>
              <w:rPr>
                <w:rFonts w:hint="eastAsia" w:ascii="Times New Roman" w:hAnsi="Times New Roman" w:eastAsia="宋体" w:cs="Times New Roman"/>
                <w:bCs/>
                <w:color w:val="auto"/>
                <w:kern w:val="0"/>
                <w:sz w:val="24"/>
                <w:szCs w:val="21"/>
                <w:highlight w:val="none"/>
                <w:lang w:val="en-US" w:eastAsia="zh-CN" w:bidi="ar-SA"/>
              </w:rPr>
              <w:t>鼓励生产、进口、销售和使用无挥发性有机物或者含低毒、低挥发性有机物的原材料和产品。</w:t>
            </w:r>
          </w:p>
          <w:p w14:paraId="5B483422">
            <w:pPr>
              <w:pStyle w:val="137"/>
              <w:keepNext w:val="0"/>
              <w:keepLines w:val="0"/>
              <w:pageBreakBefore w:val="0"/>
              <w:widowControl w:val="0"/>
              <w:kinsoku/>
              <w:wordWrap/>
              <w:overflowPunct/>
              <w:topLinePunct w:val="0"/>
              <w:autoSpaceDE/>
              <w:autoSpaceDN/>
              <w:bidi w:val="0"/>
              <w:spacing w:line="360" w:lineRule="auto"/>
              <w:textAlignment w:val="auto"/>
              <w:rPr>
                <w:rFonts w:hint="eastAsia" w:ascii="Times New Roman" w:hAnsi="Times New Roman" w:eastAsia="宋体" w:cs="Times New Roman"/>
                <w:bCs/>
                <w:color w:val="auto"/>
                <w:kern w:val="0"/>
                <w:sz w:val="24"/>
                <w:szCs w:val="21"/>
                <w:highlight w:val="none"/>
                <w:lang w:val="en-US" w:eastAsia="zh-CN" w:bidi="ar-SA"/>
              </w:rPr>
            </w:pPr>
            <w:r>
              <w:rPr>
                <w:rFonts w:hint="eastAsia" w:ascii="Times New Roman" w:hAnsi="Times New Roman" w:eastAsia="宋体" w:cs="Times New Roman"/>
                <w:bCs/>
                <w:color w:val="auto"/>
                <w:kern w:val="0"/>
                <w:sz w:val="24"/>
                <w:szCs w:val="21"/>
                <w:highlight w:val="none"/>
                <w:lang w:val="en-US" w:eastAsia="zh-CN" w:bidi="ar-SA"/>
              </w:rPr>
              <w:t>第四十条 下列产生含挥发性有机物废气的活动，应当按照国家规定在密闭空间或者设备中进行，并按照规定安装、使用污染防治设施；无法密闭的，应当采取措施减少废气排放：</w:t>
            </w:r>
          </w:p>
          <w:p w14:paraId="3CE5D503">
            <w:pPr>
              <w:pStyle w:val="137"/>
              <w:keepNext w:val="0"/>
              <w:keepLines w:val="0"/>
              <w:pageBreakBefore w:val="0"/>
              <w:widowControl w:val="0"/>
              <w:kinsoku/>
              <w:wordWrap/>
              <w:overflowPunct/>
              <w:topLinePunct w:val="0"/>
              <w:autoSpaceDE/>
              <w:autoSpaceDN/>
              <w:bidi w:val="0"/>
              <w:spacing w:line="360" w:lineRule="auto"/>
              <w:textAlignment w:val="auto"/>
              <w:rPr>
                <w:rFonts w:hint="eastAsia" w:ascii="Times New Roman" w:hAnsi="Times New Roman" w:eastAsia="宋体" w:cs="Times New Roman"/>
                <w:bCs/>
                <w:color w:val="auto"/>
                <w:kern w:val="0"/>
                <w:sz w:val="24"/>
                <w:szCs w:val="21"/>
                <w:highlight w:val="none"/>
                <w:lang w:val="en-US" w:eastAsia="zh-CN" w:bidi="ar-SA"/>
              </w:rPr>
            </w:pPr>
            <w:r>
              <w:rPr>
                <w:rFonts w:hint="eastAsia" w:ascii="Times New Roman" w:hAnsi="Times New Roman" w:eastAsia="宋体" w:cs="Times New Roman"/>
                <w:bCs/>
                <w:color w:val="auto"/>
                <w:kern w:val="0"/>
                <w:sz w:val="24"/>
                <w:szCs w:val="21"/>
                <w:highlight w:val="none"/>
                <w:lang w:val="en-US" w:eastAsia="zh-CN" w:bidi="ar-SA"/>
              </w:rPr>
              <w:t>（一）煤炭加工与转化、石油化工生产；</w:t>
            </w:r>
          </w:p>
          <w:p w14:paraId="16AC3C9B">
            <w:pPr>
              <w:pStyle w:val="137"/>
              <w:keepNext w:val="0"/>
              <w:keepLines w:val="0"/>
              <w:pageBreakBefore w:val="0"/>
              <w:widowControl w:val="0"/>
              <w:kinsoku/>
              <w:wordWrap/>
              <w:overflowPunct/>
              <w:topLinePunct w:val="0"/>
              <w:autoSpaceDE/>
              <w:autoSpaceDN/>
              <w:bidi w:val="0"/>
              <w:spacing w:line="360" w:lineRule="auto"/>
              <w:textAlignment w:val="auto"/>
              <w:rPr>
                <w:rFonts w:hint="eastAsia" w:ascii="Times New Roman" w:hAnsi="Times New Roman" w:eastAsia="宋体" w:cs="Times New Roman"/>
                <w:bCs/>
                <w:color w:val="auto"/>
                <w:kern w:val="0"/>
                <w:sz w:val="24"/>
                <w:szCs w:val="21"/>
                <w:highlight w:val="none"/>
                <w:lang w:val="en-US" w:eastAsia="zh-CN" w:bidi="ar-SA"/>
              </w:rPr>
            </w:pPr>
            <w:r>
              <w:rPr>
                <w:rFonts w:hint="eastAsia" w:ascii="Times New Roman" w:hAnsi="Times New Roman" w:eastAsia="宋体" w:cs="Times New Roman"/>
                <w:bCs/>
                <w:color w:val="auto"/>
                <w:kern w:val="0"/>
                <w:sz w:val="24"/>
                <w:szCs w:val="21"/>
                <w:highlight w:val="none"/>
                <w:lang w:val="en-US" w:eastAsia="zh-CN" w:bidi="ar-SA"/>
              </w:rPr>
              <w:t>（二）燃油、溶剂的储存、运输和销售；</w:t>
            </w:r>
          </w:p>
          <w:p w14:paraId="7EDDC227">
            <w:pPr>
              <w:pStyle w:val="137"/>
              <w:keepNext w:val="0"/>
              <w:keepLines w:val="0"/>
              <w:pageBreakBefore w:val="0"/>
              <w:widowControl w:val="0"/>
              <w:kinsoku/>
              <w:wordWrap/>
              <w:overflowPunct/>
              <w:topLinePunct w:val="0"/>
              <w:autoSpaceDE/>
              <w:autoSpaceDN/>
              <w:bidi w:val="0"/>
              <w:spacing w:line="360" w:lineRule="auto"/>
              <w:textAlignment w:val="auto"/>
              <w:rPr>
                <w:rFonts w:hint="eastAsia" w:ascii="Times New Roman" w:hAnsi="Times New Roman" w:eastAsia="宋体" w:cs="Times New Roman"/>
                <w:bCs/>
                <w:color w:val="auto"/>
                <w:kern w:val="0"/>
                <w:sz w:val="24"/>
                <w:szCs w:val="21"/>
                <w:highlight w:val="none"/>
                <w:lang w:val="en-US" w:eastAsia="zh-CN" w:bidi="ar-SA"/>
              </w:rPr>
            </w:pPr>
            <w:r>
              <w:rPr>
                <w:rFonts w:hint="eastAsia" w:ascii="Times New Roman" w:hAnsi="Times New Roman" w:eastAsia="宋体" w:cs="Times New Roman"/>
                <w:bCs/>
                <w:color w:val="auto"/>
                <w:kern w:val="0"/>
                <w:sz w:val="24"/>
                <w:szCs w:val="21"/>
                <w:highlight w:val="none"/>
                <w:lang w:val="en-US" w:eastAsia="zh-CN" w:bidi="ar-SA"/>
              </w:rPr>
              <w:t>（三）涂料、油墨、胶粘剂、农药等以挥发性有机物为原材料的生产；</w:t>
            </w:r>
          </w:p>
          <w:p w14:paraId="4240A9D8">
            <w:pPr>
              <w:pStyle w:val="137"/>
              <w:keepNext w:val="0"/>
              <w:keepLines w:val="0"/>
              <w:pageBreakBefore w:val="0"/>
              <w:widowControl w:val="0"/>
              <w:kinsoku/>
              <w:wordWrap/>
              <w:overflowPunct/>
              <w:topLinePunct w:val="0"/>
              <w:autoSpaceDE/>
              <w:autoSpaceDN/>
              <w:bidi w:val="0"/>
              <w:spacing w:line="360" w:lineRule="auto"/>
              <w:textAlignment w:val="auto"/>
              <w:rPr>
                <w:rFonts w:hint="eastAsia" w:ascii="Times New Roman" w:hAnsi="Times New Roman" w:eastAsia="宋体" w:cs="Times New Roman"/>
                <w:bCs/>
                <w:color w:val="auto"/>
                <w:kern w:val="0"/>
                <w:sz w:val="24"/>
                <w:szCs w:val="21"/>
                <w:highlight w:val="none"/>
                <w:lang w:val="en-US" w:eastAsia="zh-CN" w:bidi="ar-SA"/>
              </w:rPr>
            </w:pPr>
            <w:r>
              <w:rPr>
                <w:rFonts w:hint="eastAsia" w:ascii="Times New Roman" w:hAnsi="Times New Roman" w:eastAsia="宋体" w:cs="Times New Roman"/>
                <w:bCs/>
                <w:color w:val="auto"/>
                <w:kern w:val="0"/>
                <w:sz w:val="24"/>
                <w:szCs w:val="21"/>
                <w:highlight w:val="none"/>
                <w:lang w:val="en-US" w:eastAsia="zh-CN" w:bidi="ar-SA"/>
              </w:rPr>
              <w:t>（四）涂装、印刷、粘合和工业清洗；</w:t>
            </w:r>
          </w:p>
          <w:p w14:paraId="2E7D336E">
            <w:pPr>
              <w:pStyle w:val="137"/>
              <w:keepNext w:val="0"/>
              <w:keepLines w:val="0"/>
              <w:pageBreakBefore w:val="0"/>
              <w:widowControl w:val="0"/>
              <w:kinsoku/>
              <w:wordWrap/>
              <w:overflowPunct/>
              <w:topLinePunct w:val="0"/>
              <w:autoSpaceDE/>
              <w:autoSpaceDN/>
              <w:bidi w:val="0"/>
              <w:spacing w:line="360" w:lineRule="auto"/>
              <w:textAlignment w:val="auto"/>
              <w:rPr>
                <w:rFonts w:hint="eastAsia" w:ascii="Times New Roman" w:hAnsi="Times New Roman" w:eastAsia="宋体" w:cs="Times New Roman"/>
                <w:bCs/>
                <w:color w:val="auto"/>
                <w:kern w:val="0"/>
                <w:sz w:val="24"/>
                <w:szCs w:val="21"/>
                <w:highlight w:val="none"/>
                <w:lang w:val="en-US" w:eastAsia="zh-CN" w:bidi="ar-SA"/>
              </w:rPr>
            </w:pPr>
            <w:r>
              <w:rPr>
                <w:rFonts w:hint="eastAsia" w:ascii="Times New Roman" w:hAnsi="Times New Roman" w:eastAsia="宋体" w:cs="Times New Roman"/>
                <w:bCs/>
                <w:color w:val="auto"/>
                <w:kern w:val="0"/>
                <w:sz w:val="24"/>
                <w:szCs w:val="21"/>
                <w:highlight w:val="none"/>
                <w:lang w:val="en-US" w:eastAsia="zh-CN" w:bidi="ar-SA"/>
              </w:rPr>
              <w:t>（五）其他产生含挥发性有机物废气的活动。</w:t>
            </w:r>
          </w:p>
          <w:p w14:paraId="02CCC85B">
            <w:pPr>
              <w:pStyle w:val="137"/>
              <w:keepNext w:val="0"/>
              <w:keepLines w:val="0"/>
              <w:pageBreakBefore w:val="0"/>
              <w:widowControl w:val="0"/>
              <w:kinsoku/>
              <w:wordWrap/>
              <w:overflowPunct/>
              <w:topLinePunct w:val="0"/>
              <w:autoSpaceDE/>
              <w:autoSpaceDN/>
              <w:bidi w:val="0"/>
              <w:spacing w:line="360" w:lineRule="auto"/>
              <w:textAlignment w:val="auto"/>
              <w:rPr>
                <w:rFonts w:hint="eastAsia" w:ascii="Times New Roman" w:hAnsi="Times New Roman" w:eastAsia="宋体" w:cs="Times New Roman"/>
                <w:bCs/>
                <w:color w:val="auto"/>
                <w:kern w:val="0"/>
                <w:sz w:val="24"/>
                <w:szCs w:val="21"/>
                <w:highlight w:val="none"/>
                <w:lang w:val="en-US" w:eastAsia="zh-CN" w:bidi="ar-SA"/>
              </w:rPr>
            </w:pPr>
            <w:r>
              <w:rPr>
                <w:rFonts w:hint="eastAsia" w:ascii="Times New Roman" w:hAnsi="Times New Roman" w:eastAsia="宋体" w:cs="Times New Roman"/>
                <w:bCs/>
                <w:color w:val="auto"/>
                <w:kern w:val="0"/>
                <w:sz w:val="24"/>
                <w:szCs w:val="21"/>
                <w:highlight w:val="none"/>
                <w:lang w:val="en-US" w:eastAsia="zh-CN" w:bidi="ar-SA"/>
              </w:rPr>
              <w:t>第四十一条 石油化工等工业企业应当采取泄漏检测与修复技术，对管道、设备进行日常检测、修复，及时收集处理泄漏物料。</w:t>
            </w:r>
          </w:p>
          <w:p w14:paraId="36E065F7">
            <w:pPr>
              <w:pStyle w:val="137"/>
              <w:keepNext w:val="0"/>
              <w:keepLines w:val="0"/>
              <w:pageBreakBefore w:val="0"/>
              <w:widowControl w:val="0"/>
              <w:kinsoku/>
              <w:wordWrap/>
              <w:overflowPunct/>
              <w:topLinePunct w:val="0"/>
              <w:autoSpaceDE/>
              <w:autoSpaceDN/>
              <w:bidi w:val="0"/>
              <w:spacing w:line="360" w:lineRule="auto"/>
              <w:textAlignment w:val="auto"/>
              <w:rPr>
                <w:rFonts w:hint="eastAsia" w:ascii="Times New Roman" w:hAnsi="Times New Roman" w:eastAsia="宋体" w:cs="Times New Roman"/>
                <w:bCs/>
                <w:color w:val="auto"/>
                <w:kern w:val="0"/>
                <w:sz w:val="24"/>
                <w:szCs w:val="21"/>
                <w:highlight w:val="none"/>
                <w:lang w:val="en-US" w:eastAsia="zh-CN" w:bidi="ar-SA"/>
              </w:rPr>
            </w:pPr>
            <w:r>
              <w:rPr>
                <w:rFonts w:hint="eastAsia" w:ascii="Times New Roman" w:hAnsi="Times New Roman" w:eastAsia="宋体" w:cs="Times New Roman"/>
                <w:bCs/>
                <w:color w:val="auto"/>
                <w:kern w:val="0"/>
                <w:sz w:val="24"/>
                <w:szCs w:val="21"/>
                <w:highlight w:val="none"/>
                <w:lang w:val="en-US" w:eastAsia="zh-CN" w:bidi="ar-SA"/>
              </w:rPr>
              <w:t>垃圾填埋活动产生的可燃性气体应当回收利用，不具备回收利用条件的，应当进行污染防治处理。普遍推行垃圾分类制度。垃圾焚烧设施的运营单位，应当按照国家规定，采取有效措施，实现达标排放。</w:t>
            </w:r>
          </w:p>
          <w:p w14:paraId="2CECEC3D">
            <w:pPr>
              <w:keepLines w:val="0"/>
              <w:pageBreakBefore w:val="0"/>
              <w:topLinePunct w:val="0"/>
              <w:bidi w:val="0"/>
              <w:spacing w:beforeAutospacing="0" w:afterAutospacing="0"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Cs/>
                <w:color w:val="auto"/>
                <w:kern w:val="0"/>
                <w:sz w:val="24"/>
                <w:szCs w:val="21"/>
                <w:highlight w:val="none"/>
                <w:lang w:val="en-US" w:eastAsia="zh-CN" w:bidi="ar-SA"/>
              </w:rPr>
              <w:t>本项目</w:t>
            </w:r>
            <w:r>
              <w:rPr>
                <w:rFonts w:hint="eastAsia" w:ascii="Times New Roman" w:hAnsi="Times New Roman" w:eastAsia="宋体" w:cs="Times New Roman"/>
                <w:bCs/>
                <w:color w:val="auto"/>
                <w:kern w:val="0"/>
                <w:sz w:val="24"/>
                <w:szCs w:val="21"/>
                <w:highlight w:val="none"/>
                <w:lang w:val="en-US" w:eastAsia="zh-CN" w:bidi="ar-SA"/>
              </w:rPr>
              <w:t>设置1台</w:t>
            </w:r>
            <w:r>
              <w:rPr>
                <w:rFonts w:hint="eastAsia" w:cs="Times New Roman"/>
                <w:bCs/>
                <w:color w:val="auto"/>
                <w:kern w:val="0"/>
                <w:sz w:val="24"/>
                <w:szCs w:val="21"/>
                <w:highlight w:val="none"/>
                <w:lang w:val="en-US" w:eastAsia="zh-CN" w:bidi="ar-SA"/>
              </w:rPr>
              <w:t>4</w:t>
            </w:r>
            <w:r>
              <w:rPr>
                <w:rFonts w:hint="eastAsia" w:ascii="Times New Roman" w:hAnsi="Times New Roman" w:cs="Times New Roman"/>
                <w:bCs/>
                <w:color w:val="auto"/>
                <w:kern w:val="0"/>
                <w:sz w:val="24"/>
                <w:szCs w:val="21"/>
                <w:highlight w:val="none"/>
                <w:lang w:val="en-US" w:eastAsia="zh-CN" w:bidi="ar-SA"/>
              </w:rPr>
              <w:t>t/h</w:t>
            </w:r>
            <w:r>
              <w:rPr>
                <w:rFonts w:hint="eastAsia" w:cs="Times New Roman"/>
                <w:bCs/>
                <w:color w:val="auto"/>
                <w:kern w:val="0"/>
                <w:sz w:val="24"/>
                <w:szCs w:val="21"/>
                <w:highlight w:val="none"/>
                <w:lang w:val="en-US" w:eastAsia="zh-CN" w:bidi="ar-SA"/>
              </w:rPr>
              <w:t>燃生物质</w:t>
            </w:r>
            <w:r>
              <w:rPr>
                <w:rFonts w:hint="default" w:ascii="Times New Roman" w:hAnsi="Times New Roman" w:eastAsia="宋体" w:cs="Times New Roman"/>
                <w:bCs/>
                <w:color w:val="auto"/>
                <w:kern w:val="0"/>
                <w:sz w:val="24"/>
                <w:szCs w:val="21"/>
                <w:highlight w:val="none"/>
                <w:lang w:val="en-US" w:eastAsia="zh-CN" w:bidi="ar-SA"/>
              </w:rPr>
              <w:t>蒸汽锅炉，项目所在区域不属于城市建成区，采用生物质成型燃料，</w:t>
            </w:r>
            <w:r>
              <w:rPr>
                <w:rFonts w:hint="eastAsia" w:ascii="Times New Roman" w:hAnsi="Times New Roman" w:eastAsia="宋体" w:cs="Times New Roman"/>
                <w:bCs/>
                <w:color w:val="auto"/>
                <w:kern w:val="0"/>
                <w:sz w:val="24"/>
                <w:szCs w:val="21"/>
                <w:highlight w:val="none"/>
                <w:lang w:val="en-US" w:eastAsia="zh-CN" w:bidi="ar-SA"/>
              </w:rPr>
              <w:t>锅炉</w:t>
            </w:r>
            <w:r>
              <w:rPr>
                <w:rFonts w:hint="default" w:ascii="Times New Roman" w:hAnsi="Times New Roman" w:eastAsia="宋体" w:cs="Times New Roman"/>
                <w:bCs/>
                <w:color w:val="auto"/>
                <w:kern w:val="0"/>
                <w:sz w:val="24"/>
                <w:szCs w:val="21"/>
                <w:highlight w:val="none"/>
                <w:lang w:val="en-US" w:eastAsia="zh-CN" w:bidi="ar-SA"/>
              </w:rPr>
              <w:t>烟气经</w:t>
            </w:r>
            <w:r>
              <w:rPr>
                <w:rFonts w:hint="eastAsia" w:ascii="Times New Roman" w:hAnsi="Times New Roman" w:eastAsia="宋体" w:cs="Times New Roman"/>
                <w:bCs/>
                <w:color w:val="auto"/>
                <w:kern w:val="0"/>
                <w:sz w:val="24"/>
                <w:szCs w:val="21"/>
                <w:highlight w:val="none"/>
                <w:lang w:val="en-US" w:eastAsia="zh-CN" w:bidi="ar-SA"/>
              </w:rPr>
              <w:t>旋风除尘+布袋除尘器</w:t>
            </w:r>
            <w:r>
              <w:rPr>
                <w:rFonts w:hint="default" w:ascii="Times New Roman" w:hAnsi="Times New Roman" w:eastAsia="宋体" w:cs="Times New Roman"/>
                <w:bCs/>
                <w:color w:val="auto"/>
                <w:kern w:val="0"/>
                <w:sz w:val="24"/>
                <w:szCs w:val="21"/>
                <w:highlight w:val="none"/>
                <w:lang w:val="en-US" w:eastAsia="zh-CN" w:bidi="ar-SA"/>
              </w:rPr>
              <w:t>处理后能够达标排放</w:t>
            </w:r>
            <w:r>
              <w:rPr>
                <w:rFonts w:hint="eastAsia" w:ascii="Times New Roman" w:hAnsi="Times New Roman" w:eastAsia="宋体" w:cs="Times New Roman"/>
                <w:bCs/>
                <w:color w:val="auto"/>
                <w:kern w:val="0"/>
                <w:sz w:val="24"/>
                <w:szCs w:val="21"/>
                <w:highlight w:val="none"/>
                <w:lang w:val="en-US" w:eastAsia="zh-CN" w:bidi="ar-SA"/>
              </w:rPr>
              <w:t>，符合黑龙江省大气污染防治条例要求。</w:t>
            </w:r>
          </w:p>
          <w:p w14:paraId="2C2A6C7B">
            <w:pPr>
              <w:keepLines w:val="0"/>
              <w:pageBreakBefore w:val="0"/>
              <w:topLinePunct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4、与《双鸭山市空气质量持续改善行动计划贯彻落实方案》的符合性分析</w:t>
            </w:r>
          </w:p>
          <w:p w14:paraId="5A144ADE">
            <w:pPr>
              <w:keepLines w:val="0"/>
              <w:pageBreakBefore w:val="0"/>
              <w:topLinePunct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加快重点行业落后产能淘汰退出。贯彻落实《产业结构调整指导目录》，加大退出淘汰落后产能、工艺、装备，提高限制类产能、工艺、装备淘汰改造引导力度。实施供暖行业合理调配</w:t>
            </w:r>
          </w:p>
          <w:p w14:paraId="134109BB">
            <w:pPr>
              <w:keepLines w:val="0"/>
              <w:pageBreakBefore w:val="0"/>
              <w:topLinePunct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积极推进燃煤锅炉淘汰改造。将燃煤供热锅炉替代项目纳入城镇供热规划。县级及以上城市建成区原则上不再新建35蒸吨/小时及以下燃煤锅炉，其他地区原则上不再新建10蒸吨/小时及以下燃煤锅炉。逐步开展集中供热项目建设，依托电厂、大型工业企业开展远距离供热示范，加快推进供热区域热网互联互通，推进正在谋划的热电联产、工业余热、电厂远距离供热等热源项目落地，提升热源保障能力，淘汰管网覆盖范围内的供热燃煤锅炉和散煤。</w:t>
            </w:r>
          </w:p>
          <w:p w14:paraId="17406301">
            <w:pPr>
              <w:keepLines w:val="0"/>
              <w:pageBreakBefore w:val="0"/>
              <w:topLinePunct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积极推进散煤污染治理。持续推进散煤污染治理，有序推进煤改电，推进清洁能源改造项目。积极推动民用散煤替代和农村散煤治理及清洁能源改造项目的谋划工作。加快实施散煤源头减量、散煤清洁替代、供应能力提升和基础设施保障等“四大工程”，持续推进棚户区拆迁改造、清洁能源替代、节能建筑和老旧小区管网改造、燃煤锅炉淘汰、规范散煤经营行为、打击非法经营行为等方面工作。</w:t>
            </w:r>
          </w:p>
          <w:p w14:paraId="2E7E8E13">
            <w:pPr>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bCs/>
                <w:color w:val="auto"/>
                <w:kern w:val="0"/>
                <w:sz w:val="24"/>
                <w:szCs w:val="21"/>
                <w:highlight w:val="none"/>
                <w:lang w:val="en-US" w:eastAsia="zh-CN" w:bidi="ar-SA"/>
              </w:rPr>
            </w:pPr>
            <w:r>
              <w:rPr>
                <w:rFonts w:hint="eastAsia" w:ascii="Times New Roman" w:hAnsi="Times New Roman" w:eastAsia="宋体" w:cs="Times New Roman"/>
                <w:bCs/>
                <w:color w:val="auto"/>
                <w:kern w:val="0"/>
                <w:sz w:val="24"/>
                <w:szCs w:val="21"/>
                <w:highlight w:val="none"/>
                <w:lang w:val="en-US" w:eastAsia="zh-CN" w:bidi="ar-SA"/>
              </w:rPr>
              <w:t>本项目属于鲜食玉米加工项目，对照《产业结构调整指导目录（2024年本）》属于《目录》中“一、农林牧渔业8.农产品仓储运输：农林牧渔产品储运、保鲜、加工与综合利用”，为鼓励类项目，项目的建设符合国家相关法律和政策。因此，本项目建设符合国家产业政策要求。</w:t>
            </w:r>
            <w:r>
              <w:rPr>
                <w:rFonts w:hint="eastAsia" w:ascii="Times New Roman" w:hAnsi="Times New Roman" w:eastAsia="宋体" w:cs="Times New Roman"/>
                <w:color w:val="auto"/>
                <w:kern w:val="0"/>
                <w:sz w:val="24"/>
                <w:szCs w:val="24"/>
                <w:highlight w:val="none"/>
                <w:lang w:val="en-US" w:eastAsia="zh-CN" w:bidi="ar-SA"/>
              </w:rPr>
              <w:t>本项目</w:t>
            </w:r>
            <w:r>
              <w:rPr>
                <w:rFonts w:hint="eastAsia" w:cs="Times New Roman"/>
                <w:color w:val="auto"/>
                <w:kern w:val="0"/>
                <w:sz w:val="24"/>
                <w:szCs w:val="24"/>
                <w:highlight w:val="none"/>
                <w:lang w:val="en-US" w:eastAsia="zh-CN" w:bidi="ar-SA"/>
              </w:rPr>
              <w:t>1台4t/h燃生物质</w:t>
            </w:r>
            <w:r>
              <w:rPr>
                <w:rFonts w:hint="eastAsia" w:ascii="Times New Roman" w:hAnsi="Times New Roman" w:eastAsia="宋体" w:cs="Times New Roman"/>
                <w:color w:val="auto"/>
                <w:kern w:val="0"/>
                <w:sz w:val="24"/>
                <w:szCs w:val="24"/>
                <w:highlight w:val="none"/>
                <w:lang w:val="en-US" w:eastAsia="zh-CN" w:bidi="ar-SA"/>
              </w:rPr>
              <w:t>蒸汽锅</w:t>
            </w:r>
            <w:r>
              <w:rPr>
                <w:rFonts w:hint="default" w:ascii="Times New Roman" w:hAnsi="Times New Roman" w:eastAsia="宋体" w:cs="Times New Roman"/>
                <w:color w:val="auto"/>
                <w:kern w:val="0"/>
                <w:sz w:val="24"/>
                <w:szCs w:val="24"/>
                <w:highlight w:val="none"/>
                <w:lang w:val="en-US" w:eastAsia="zh-CN" w:bidi="ar-SA"/>
              </w:rPr>
              <w:t>炉</w:t>
            </w:r>
            <w:r>
              <w:rPr>
                <w:rFonts w:hint="eastAsia" w:ascii="Times New Roman" w:hAnsi="Times New Roman" w:eastAsia="宋体" w:cs="Times New Roman"/>
                <w:color w:val="auto"/>
                <w:kern w:val="0"/>
                <w:sz w:val="24"/>
                <w:szCs w:val="24"/>
                <w:highlight w:val="none"/>
                <w:lang w:val="en-US" w:eastAsia="zh-CN" w:bidi="ar-SA"/>
              </w:rPr>
              <w:t>废</w:t>
            </w:r>
            <w:r>
              <w:rPr>
                <w:rFonts w:hint="eastAsia" w:cs="Times New Roman"/>
                <w:color w:val="auto"/>
                <w:kern w:val="0"/>
                <w:sz w:val="24"/>
                <w:szCs w:val="24"/>
                <w:highlight w:val="none"/>
                <w:lang w:val="en-US" w:eastAsia="zh-CN" w:bidi="ar-SA"/>
              </w:rPr>
              <w:t>气旋风除尘+布袋除尘器</w:t>
            </w:r>
            <w:r>
              <w:rPr>
                <w:rFonts w:hint="eastAsia" w:ascii="Times New Roman" w:hAnsi="Times New Roman" w:eastAsia="宋体" w:cs="Times New Roman"/>
                <w:color w:val="auto"/>
                <w:kern w:val="0"/>
                <w:sz w:val="24"/>
                <w:szCs w:val="24"/>
                <w:highlight w:val="none"/>
                <w:lang w:val="en-US" w:eastAsia="zh-CN" w:bidi="ar-SA"/>
              </w:rPr>
              <w:t>处理，处理后废气经35m高烟囱</w:t>
            </w:r>
            <w:r>
              <w:rPr>
                <w:rFonts w:hint="eastAsia" w:cs="Times New Roman"/>
                <w:color w:val="auto"/>
                <w:kern w:val="0"/>
                <w:sz w:val="24"/>
                <w:szCs w:val="24"/>
                <w:highlight w:val="none"/>
                <w:lang w:val="en-US" w:eastAsia="zh-CN" w:bidi="ar-SA"/>
              </w:rPr>
              <w:t>（DA001）</w:t>
            </w:r>
            <w:r>
              <w:rPr>
                <w:rFonts w:hint="eastAsia" w:ascii="Times New Roman" w:hAnsi="Times New Roman" w:eastAsia="宋体" w:cs="Times New Roman"/>
                <w:color w:val="auto"/>
                <w:kern w:val="0"/>
                <w:sz w:val="24"/>
                <w:szCs w:val="24"/>
                <w:highlight w:val="none"/>
                <w:lang w:val="en-US" w:eastAsia="zh-CN" w:bidi="ar-SA"/>
              </w:rPr>
              <w:t>排放。</w:t>
            </w:r>
            <w:r>
              <w:rPr>
                <w:rFonts w:hint="default"/>
                <w:color w:val="auto"/>
                <w:sz w:val="24"/>
                <w:lang w:val="en-US" w:eastAsia="zh-CN"/>
              </w:rPr>
              <w:t>颗粒物、SO</w:t>
            </w:r>
            <w:r>
              <w:rPr>
                <w:rFonts w:hint="default"/>
                <w:color w:val="auto"/>
                <w:sz w:val="24"/>
                <w:vertAlign w:val="subscript"/>
                <w:lang w:val="en-US" w:eastAsia="zh-CN"/>
              </w:rPr>
              <w:t>2</w:t>
            </w:r>
            <w:r>
              <w:rPr>
                <w:rFonts w:hint="eastAsia"/>
                <w:color w:val="auto"/>
                <w:sz w:val="24"/>
                <w:lang w:val="en-US" w:eastAsia="zh-CN"/>
              </w:rPr>
              <w:t>、</w:t>
            </w:r>
            <w:r>
              <w:rPr>
                <w:rFonts w:hint="default"/>
                <w:color w:val="auto"/>
                <w:sz w:val="24"/>
                <w:lang w:val="en-US" w:eastAsia="zh-CN"/>
              </w:rPr>
              <w:t>NOx排放</w:t>
            </w:r>
            <w:r>
              <w:rPr>
                <w:rFonts w:hint="eastAsia"/>
                <w:color w:val="auto"/>
                <w:sz w:val="24"/>
                <w:lang w:val="en-US" w:eastAsia="zh-CN"/>
              </w:rPr>
              <w:t>浓度</w:t>
            </w:r>
            <w:r>
              <w:rPr>
                <w:rFonts w:hint="default"/>
                <w:color w:val="auto"/>
                <w:sz w:val="24"/>
                <w:lang w:val="en-US" w:eastAsia="zh-CN"/>
              </w:rPr>
              <w:t>均满足</w:t>
            </w:r>
            <w:r>
              <w:rPr>
                <w:rFonts w:hint="eastAsia"/>
                <w:color w:val="auto"/>
                <w:sz w:val="24"/>
                <w:lang w:val="en-US" w:eastAsia="zh-CN"/>
              </w:rPr>
              <w:t>《锅炉大气污染物排放标准》（GB13271-2014）表2标准限值要求</w:t>
            </w:r>
            <w:r>
              <w:rPr>
                <w:rFonts w:hint="default"/>
                <w:color w:val="auto"/>
                <w:sz w:val="24"/>
                <w:lang w:val="en-US" w:eastAsia="zh-CN"/>
              </w:rPr>
              <w:t>。</w:t>
            </w:r>
          </w:p>
          <w:p w14:paraId="47EEE4D7">
            <w:pPr>
              <w:keepLines w:val="0"/>
              <w:pageBreakBefore w:val="0"/>
              <w:topLinePunct w:val="0"/>
              <w:bidi w:val="0"/>
              <w:spacing w:beforeAutospacing="0" w:afterAutospacing="0" w:line="360" w:lineRule="auto"/>
              <w:ind w:left="0" w:leftChars="0" w:right="0" w:rightChars="0" w:firstLine="480" w:firstLineChars="200"/>
              <w:jc w:val="both"/>
              <w:rPr>
                <w:rFonts w:hint="default" w:ascii="Times New Roman" w:hAnsi="Times New Roman" w:eastAsia="宋体"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5、与《双鸭山市尖山区安邦乡国土空间总体规划（2021-2035年）》的符合性分析</w:t>
            </w:r>
          </w:p>
          <w:p w14:paraId="3EE24DAC">
            <w:pPr>
              <w:keepLines w:val="0"/>
              <w:pageBreakBefore w:val="0"/>
              <w:topLinePunct w:val="0"/>
              <w:bidi w:val="0"/>
              <w:spacing w:beforeAutospacing="0" w:afterAutospacing="0" w:line="360" w:lineRule="auto"/>
              <w:ind w:left="0" w:leftChars="0" w:right="0" w:rightChars="0" w:firstLine="480" w:firstLineChars="200"/>
              <w:jc w:val="both"/>
              <w:rPr>
                <w:rFonts w:hint="default"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（1）发展定位</w:t>
            </w:r>
          </w:p>
          <w:p w14:paraId="0E6CB378">
            <w:pPr>
              <w:keepLines w:val="0"/>
              <w:pageBreakBefore w:val="0"/>
              <w:topLinePunct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双鸭山市绿色农副产品生产加工基地；依托地理优势和种植优势，大力发展“一乡一业一村一品”经济。</w:t>
            </w:r>
          </w:p>
          <w:p w14:paraId="35163B47">
            <w:pPr>
              <w:keepLines w:val="0"/>
              <w:pageBreakBefore w:val="0"/>
              <w:topLinePunct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（2）农业空间</w:t>
            </w:r>
          </w:p>
          <w:p w14:paraId="113D53D5">
            <w:pPr>
              <w:keepLines w:val="0"/>
              <w:pageBreakBefore w:val="0"/>
              <w:topLinePunct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以安邦乡中心村为主要农产品发展支柱，构建北部农产品特色发展区、南部农产品传统种植区和西部农业综合发展区的农业生产格局。</w:t>
            </w:r>
          </w:p>
          <w:p w14:paraId="0EDC6E1D">
            <w:pPr>
              <w:keepLines w:val="0"/>
              <w:pageBreakBefore w:val="0"/>
              <w:topLinePunct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（3）城镇空间</w:t>
            </w:r>
          </w:p>
          <w:p w14:paraId="45834662">
            <w:pPr>
              <w:keepLines w:val="0"/>
              <w:pageBreakBefore w:val="0"/>
              <w:topLinePunct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构建“一主、两心、多点、一环”的乡村体系结构。</w:t>
            </w:r>
          </w:p>
          <w:p w14:paraId="32211ABB">
            <w:pPr>
              <w:keepLines w:val="0"/>
              <w:pageBreakBefore w:val="0"/>
              <w:topLinePunct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一主：乡政府驻地；</w:t>
            </w:r>
          </w:p>
          <w:p w14:paraId="2CE0BB6C">
            <w:pPr>
              <w:keepLines w:val="0"/>
              <w:pageBreakBefore w:val="0"/>
              <w:topLinePunct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两心：双兴村、公立村；</w:t>
            </w:r>
          </w:p>
          <w:p w14:paraId="2C2DA61D">
            <w:pPr>
              <w:keepLines w:val="0"/>
              <w:pageBreakBefore w:val="0"/>
              <w:topLinePunct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多点：双富村、建胜村等村庄；</w:t>
            </w:r>
          </w:p>
          <w:p w14:paraId="0199B685">
            <w:pPr>
              <w:keepLines w:val="0"/>
              <w:pageBreakBefore w:val="0"/>
              <w:topLinePunct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一环：环乡域发展轴线。</w:t>
            </w:r>
          </w:p>
          <w:p w14:paraId="5EF57637">
            <w:pPr>
              <w:keepLines w:val="0"/>
              <w:pageBreakBefore w:val="0"/>
              <w:topLinePunct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（4）产业发展</w:t>
            </w:r>
          </w:p>
          <w:p w14:paraId="39C410BC">
            <w:pPr>
              <w:keepLines w:val="0"/>
              <w:pageBreakBefore w:val="0"/>
              <w:topLinePunct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形成“一核一环三区”的产业空间布局。</w:t>
            </w:r>
          </w:p>
          <w:p w14:paraId="768DD71D">
            <w:pPr>
              <w:keepLines w:val="0"/>
              <w:pageBreakBefore w:val="0"/>
              <w:topLinePunct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一核：是指以安邦乡政府驻地区域为核心的乡域发展主中心。</w:t>
            </w:r>
          </w:p>
          <w:p w14:paraId="72FE7E9C">
            <w:pPr>
              <w:keepLines w:val="0"/>
              <w:pageBreakBefore w:val="0"/>
              <w:topLinePunct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一环：以双鸭山市环线为贯穿乡域各村的主要产业发展轴线。</w:t>
            </w:r>
          </w:p>
          <w:p w14:paraId="1B81037D">
            <w:pPr>
              <w:keepLines w:val="0"/>
              <w:pageBreakBefore w:val="0"/>
              <w:topLinePunct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三区：西部乡村旅游发展区；</w:t>
            </w:r>
          </w:p>
          <w:p w14:paraId="6C5FCB63">
            <w:pPr>
              <w:keepLines w:val="0"/>
              <w:pageBreakBefore w:val="0"/>
              <w:topLinePunct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北部现代农业发展区；</w:t>
            </w:r>
          </w:p>
          <w:p w14:paraId="29DC25E5">
            <w:pPr>
              <w:keepLines w:val="0"/>
              <w:pageBreakBefore w:val="0"/>
              <w:topLinePunct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东部城乡产业融合发展区。</w:t>
            </w:r>
          </w:p>
          <w:p w14:paraId="355C0A2A">
            <w:pPr>
              <w:keepLines w:val="0"/>
              <w:pageBreakBefore w:val="0"/>
              <w:topLinePunct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（5）规划产业发展定位</w:t>
            </w:r>
          </w:p>
          <w:p w14:paraId="1D951D03">
            <w:pPr>
              <w:keepLines w:val="0"/>
              <w:pageBreakBefore w:val="0"/>
              <w:topLinePunct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规划安邦乡形成以现代农业为基础产业，绿色产业为主导产业，多村旅游为特色产业的生态绿色产业多。</w:t>
            </w:r>
          </w:p>
          <w:p w14:paraId="3F7B1D1E">
            <w:pPr>
              <w:keepLines w:val="0"/>
              <w:pageBreakBefore w:val="0"/>
              <w:topLinePunct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cs="Times New Roman"/>
                <w:bCs/>
                <w:color w:val="auto"/>
                <w:kern w:val="0"/>
                <w:sz w:val="24"/>
                <w:szCs w:val="21"/>
                <w:highlight w:val="none"/>
                <w:lang w:val="en-US" w:eastAsia="zh-CN" w:bidi="ar-SA"/>
              </w:rPr>
              <w:t>本项目为鲜食玉米加工项目，位于双鸭山市尖山区安邦乡公立村，符合安邦乡产业发展定位和土地规划，符合《双鸭山市尖山区安邦乡国土空间总体规划（2021-2035年）》相关要求。</w:t>
            </w:r>
          </w:p>
          <w:p w14:paraId="234E366F">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6、</w:t>
            </w:r>
            <w:r>
              <w:rPr>
                <w:rFonts w:hint="default" w:ascii="Times New Roman" w:hAnsi="Times New Roman" w:eastAsia="宋体" w:cs="Times New Roman"/>
                <w:color w:val="auto"/>
                <w:kern w:val="0"/>
                <w:sz w:val="24"/>
                <w:szCs w:val="24"/>
                <w:highlight w:val="none"/>
                <w:lang w:val="en-US" w:eastAsia="zh-CN" w:bidi="ar-SA"/>
              </w:rPr>
              <w:t>选址合理性分析</w:t>
            </w:r>
          </w:p>
          <w:p w14:paraId="39EED3E7">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cs="Times New Roman"/>
                <w:color w:val="auto"/>
                <w:kern w:val="0"/>
                <w:sz w:val="24"/>
                <w:szCs w:val="24"/>
                <w:highlight w:val="none"/>
                <w:lang w:val="en-US" w:eastAsia="zh-CN" w:bidi="ar-SA"/>
              </w:rPr>
              <w:t>本项目位于</w:t>
            </w:r>
            <w:r>
              <w:rPr>
                <w:rFonts w:hint="eastAsia" w:ascii="Times New Roman" w:hAnsi="Times New Roman" w:eastAsia="宋体" w:cs="Times New Roman"/>
                <w:color w:val="auto"/>
                <w:spacing w:val="4"/>
                <w:sz w:val="24"/>
                <w:highlight w:val="none"/>
                <w:lang w:val="en-US" w:eastAsia="zh-CN"/>
              </w:rPr>
              <w:t>双鸭山市尖山区安邦乡公立村</w:t>
            </w:r>
            <w:r>
              <w:rPr>
                <w:rFonts w:hint="eastAsia"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本项目</w:t>
            </w:r>
            <w:r>
              <w:rPr>
                <w:rFonts w:hint="eastAsia" w:cs="Times New Roman"/>
                <w:color w:val="auto"/>
                <w:spacing w:val="4"/>
                <w:sz w:val="24"/>
                <w:highlight w:val="none"/>
                <w:lang w:val="en-US" w:eastAsia="zh-CN"/>
              </w:rPr>
              <w:t>租赁双鸭山市安邦乡公立村小学场地建设</w:t>
            </w:r>
            <w:r>
              <w:rPr>
                <w:rFonts w:hint="eastAsia" w:ascii="Times New Roman" w:hAnsi="Times New Roman" w:eastAsia="宋体" w:cs="Times New Roman"/>
                <w:color w:val="auto"/>
                <w:spacing w:val="4"/>
                <w:sz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bidi="ar-SA"/>
              </w:rPr>
              <w:t>用地性质为</w:t>
            </w:r>
            <w:r>
              <w:rPr>
                <w:rFonts w:hint="eastAsia" w:cs="Times New Roman"/>
                <w:color w:val="auto"/>
                <w:kern w:val="0"/>
                <w:sz w:val="24"/>
                <w:szCs w:val="24"/>
                <w:highlight w:val="none"/>
                <w:lang w:val="en-US" w:eastAsia="zh-CN" w:bidi="ar-SA"/>
              </w:rPr>
              <w:t>工业用地</w:t>
            </w:r>
            <w:r>
              <w:rPr>
                <w:rFonts w:hint="default" w:ascii="Times New Roman" w:hAnsi="Times New Roman" w:eastAsia="宋体" w:cs="Times New Roman"/>
                <w:color w:val="auto"/>
                <w:kern w:val="0"/>
                <w:sz w:val="24"/>
                <w:szCs w:val="24"/>
                <w:highlight w:val="none"/>
                <w:lang w:val="en-US" w:eastAsia="zh-CN" w:bidi="ar-SA"/>
              </w:rPr>
              <w:t>。</w:t>
            </w:r>
            <w:r>
              <w:rPr>
                <w:rFonts w:hint="eastAsia" w:cs="Times New Roman"/>
                <w:color w:val="auto"/>
                <w:sz w:val="24"/>
                <w:szCs w:val="24"/>
                <w:highlight w:val="none"/>
                <w:lang w:eastAsia="zh-CN"/>
              </w:rPr>
              <w:t>本项目厂区东侧为</w:t>
            </w:r>
            <w:r>
              <w:rPr>
                <w:rFonts w:hint="eastAsia" w:cs="Times New Roman"/>
                <w:color w:val="auto"/>
                <w:sz w:val="24"/>
                <w:szCs w:val="24"/>
                <w:highlight w:val="none"/>
                <w:lang w:val="en-US" w:eastAsia="zh-CN"/>
              </w:rPr>
              <w:t>村庄道路</w:t>
            </w:r>
            <w:r>
              <w:rPr>
                <w:rFonts w:hint="eastAsia" w:cs="Times New Roman"/>
                <w:color w:val="auto"/>
                <w:sz w:val="24"/>
                <w:szCs w:val="24"/>
                <w:highlight w:val="none"/>
                <w:lang w:eastAsia="zh-CN"/>
              </w:rPr>
              <w:t>，厂区南侧为</w:t>
            </w:r>
            <w:r>
              <w:rPr>
                <w:rFonts w:hint="eastAsia" w:cs="Times New Roman"/>
                <w:color w:val="auto"/>
                <w:sz w:val="24"/>
                <w:szCs w:val="24"/>
                <w:highlight w:val="none"/>
                <w:lang w:val="en-US" w:eastAsia="zh-CN"/>
              </w:rPr>
              <w:t>耕地</w:t>
            </w:r>
            <w:r>
              <w:rPr>
                <w:rFonts w:hint="eastAsia" w:cs="Times New Roman"/>
                <w:color w:val="auto"/>
                <w:sz w:val="24"/>
                <w:szCs w:val="24"/>
                <w:highlight w:val="none"/>
                <w:lang w:eastAsia="zh-CN"/>
              </w:rPr>
              <w:t>，厂区西侧为</w:t>
            </w:r>
            <w:r>
              <w:rPr>
                <w:rFonts w:hint="eastAsia" w:cs="Times New Roman"/>
                <w:color w:val="auto"/>
                <w:sz w:val="24"/>
                <w:szCs w:val="24"/>
                <w:highlight w:val="none"/>
                <w:lang w:val="en-US" w:eastAsia="zh-CN"/>
              </w:rPr>
              <w:t>耕地</w:t>
            </w:r>
            <w:r>
              <w:rPr>
                <w:rFonts w:hint="eastAsia" w:ascii="Times New Roman" w:hAnsi="Times New Roman" w:eastAsia="宋体" w:cs="Times New Roman"/>
                <w:color w:val="auto"/>
                <w:sz w:val="24"/>
                <w:szCs w:val="24"/>
                <w:highlight w:val="none"/>
                <w:lang w:eastAsia="zh-CN"/>
              </w:rPr>
              <w:t>，厂区北</w:t>
            </w:r>
            <w:r>
              <w:rPr>
                <w:rFonts w:hint="eastAsia" w:cs="Times New Roman"/>
                <w:color w:val="auto"/>
                <w:sz w:val="24"/>
                <w:szCs w:val="24"/>
                <w:highlight w:val="none"/>
                <w:lang w:eastAsia="zh-CN"/>
              </w:rPr>
              <w:t>侧为</w:t>
            </w:r>
            <w:r>
              <w:rPr>
                <w:rFonts w:hint="eastAsia" w:cs="Times New Roman"/>
                <w:color w:val="auto"/>
                <w:sz w:val="24"/>
                <w:szCs w:val="24"/>
                <w:highlight w:val="none"/>
                <w:lang w:val="en-US" w:eastAsia="zh-CN"/>
              </w:rPr>
              <w:t>公立村</w:t>
            </w:r>
            <w:r>
              <w:rPr>
                <w:rFonts w:hint="eastAsia" w:cs="Times New Roman"/>
                <w:color w:val="auto"/>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bidi="ar-SA"/>
              </w:rPr>
              <w:t>项目选址不属于</w:t>
            </w:r>
            <w:r>
              <w:rPr>
                <w:rFonts w:hint="eastAsia" w:ascii="Times New Roman" w:hAnsi="Times New Roman" w:eastAsia="宋体" w:cs="Times New Roman"/>
                <w:color w:val="auto"/>
                <w:kern w:val="0"/>
                <w:sz w:val="24"/>
                <w:szCs w:val="24"/>
                <w:highlight w:val="none"/>
                <w:lang w:val="en-US" w:eastAsia="zh-CN" w:bidi="ar-SA"/>
              </w:rPr>
              <w:t>自然保护区、风景名胜区、</w:t>
            </w:r>
            <w:r>
              <w:rPr>
                <w:rFonts w:hint="default" w:ascii="Times New Roman" w:hAnsi="Times New Roman" w:eastAsia="宋体" w:cs="Times New Roman"/>
                <w:color w:val="auto"/>
                <w:kern w:val="0"/>
                <w:sz w:val="24"/>
                <w:szCs w:val="24"/>
                <w:highlight w:val="none"/>
                <w:lang w:val="en-US" w:eastAsia="zh-CN" w:bidi="ar-SA"/>
              </w:rPr>
              <w:t>生活饮用水源地保护区、温泉疗养区、基本农田保护区等</w:t>
            </w:r>
            <w:r>
              <w:rPr>
                <w:rFonts w:hint="eastAsia" w:ascii="Times New Roman" w:hAnsi="Times New Roman" w:eastAsia="宋体" w:cs="Times New Roman"/>
                <w:color w:val="auto"/>
                <w:kern w:val="0"/>
                <w:sz w:val="24"/>
                <w:szCs w:val="24"/>
                <w:highlight w:val="none"/>
                <w:lang w:val="en-US" w:eastAsia="zh-CN" w:bidi="ar-SA"/>
              </w:rPr>
              <w:t>其他</w:t>
            </w:r>
            <w:r>
              <w:rPr>
                <w:rFonts w:hint="default" w:ascii="Times New Roman" w:hAnsi="Times New Roman" w:eastAsia="宋体" w:cs="Times New Roman"/>
                <w:color w:val="auto"/>
                <w:kern w:val="0"/>
                <w:sz w:val="24"/>
                <w:szCs w:val="24"/>
                <w:highlight w:val="none"/>
                <w:lang w:val="en-US" w:eastAsia="zh-CN" w:bidi="ar-SA"/>
              </w:rPr>
              <w:t>需要特殊保护区域。本项目有良好的经营条件，给排水、供电等公用设施齐备</w:t>
            </w:r>
            <w:r>
              <w:rPr>
                <w:rFonts w:hint="eastAsia" w:ascii="Times New Roman" w:hAnsi="Times New Roman" w:eastAsia="宋体" w:cs="Times New Roman"/>
                <w:color w:val="auto"/>
                <w:kern w:val="0"/>
                <w:sz w:val="24"/>
                <w:szCs w:val="24"/>
                <w:highlight w:val="none"/>
                <w:lang w:val="en-US" w:eastAsia="zh-CN" w:bidi="ar-SA"/>
              </w:rPr>
              <w:t>。</w:t>
            </w:r>
            <w:r>
              <w:rPr>
                <w:rFonts w:hint="eastAsia" w:cs="Times New Roman"/>
                <w:color w:val="auto"/>
                <w:kern w:val="0"/>
                <w:sz w:val="24"/>
                <w:szCs w:val="24"/>
                <w:highlight w:val="none"/>
                <w:lang w:val="en-US" w:eastAsia="zh-CN" w:bidi="ar-SA"/>
              </w:rPr>
              <w:t>本项目</w:t>
            </w:r>
            <w:r>
              <w:rPr>
                <w:rFonts w:hint="eastAsia" w:cs="Times New Roman"/>
                <w:bCs/>
                <w:color w:val="auto"/>
                <w:kern w:val="0"/>
                <w:sz w:val="24"/>
                <w:szCs w:val="21"/>
                <w:highlight w:val="none"/>
                <w:lang w:val="en-US" w:eastAsia="zh-CN" w:bidi="ar-SA"/>
              </w:rPr>
              <w:t>符合《双鸭山市尖山区安邦乡国土空间总体规划（2021-2035年）》相关要求。</w:t>
            </w:r>
          </w:p>
          <w:p w14:paraId="2D52F5E8">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敏感目标</w:t>
            </w:r>
            <w:r>
              <w:rPr>
                <w:rFonts w:hint="eastAsia" w:cs="Times New Roman"/>
                <w:color w:val="auto"/>
                <w:kern w:val="0"/>
                <w:sz w:val="24"/>
                <w:szCs w:val="24"/>
                <w:highlight w:val="none"/>
                <w:lang w:val="en-US" w:eastAsia="zh-CN" w:bidi="ar-SA"/>
              </w:rPr>
              <w:t>公立村</w:t>
            </w:r>
            <w:r>
              <w:rPr>
                <w:rFonts w:hint="eastAsia" w:ascii="Times New Roman" w:hAnsi="Times New Roman" w:eastAsia="宋体" w:cs="Times New Roman"/>
                <w:color w:val="auto"/>
                <w:kern w:val="0"/>
                <w:sz w:val="24"/>
                <w:szCs w:val="24"/>
                <w:highlight w:val="none"/>
                <w:lang w:val="en-US" w:eastAsia="zh-CN" w:bidi="ar-SA"/>
              </w:rPr>
              <w:t>位于厂区</w:t>
            </w:r>
            <w:r>
              <w:rPr>
                <w:rFonts w:hint="eastAsia" w:cs="Times New Roman"/>
                <w:color w:val="auto"/>
                <w:kern w:val="0"/>
                <w:sz w:val="24"/>
                <w:szCs w:val="24"/>
                <w:highlight w:val="none"/>
                <w:lang w:val="en-US" w:eastAsia="zh-CN" w:bidi="ar-SA"/>
              </w:rPr>
              <w:t>北</w:t>
            </w:r>
            <w:r>
              <w:rPr>
                <w:rFonts w:hint="eastAsia" w:ascii="Times New Roman" w:hAnsi="Times New Roman" w:eastAsia="宋体" w:cs="Times New Roman"/>
                <w:color w:val="auto"/>
                <w:kern w:val="0"/>
                <w:sz w:val="24"/>
                <w:szCs w:val="24"/>
                <w:highlight w:val="none"/>
                <w:lang w:val="en-US" w:eastAsia="zh-CN" w:bidi="ar-SA"/>
              </w:rPr>
              <w:t>侧</w:t>
            </w:r>
            <w:r>
              <w:rPr>
                <w:rFonts w:hint="eastAsia" w:cs="Times New Roman"/>
                <w:color w:val="auto"/>
                <w:kern w:val="0"/>
                <w:sz w:val="24"/>
                <w:szCs w:val="24"/>
                <w:highlight w:val="none"/>
                <w:lang w:val="en-US" w:eastAsia="zh-CN" w:bidi="ar-SA"/>
              </w:rPr>
              <w:t>10</w:t>
            </w:r>
            <w:r>
              <w:rPr>
                <w:rFonts w:hint="eastAsia" w:ascii="Times New Roman" w:hAnsi="Times New Roman" w:eastAsia="宋体" w:cs="Times New Roman"/>
                <w:color w:val="auto"/>
                <w:kern w:val="0"/>
                <w:sz w:val="24"/>
                <w:szCs w:val="24"/>
                <w:highlight w:val="none"/>
                <w:lang w:val="en-US" w:eastAsia="zh-CN" w:bidi="ar-SA"/>
              </w:rPr>
              <w:t>m处，敏感目标</w:t>
            </w:r>
            <w:r>
              <w:rPr>
                <w:rFonts w:hint="eastAsia" w:cs="Times New Roman"/>
                <w:color w:val="auto"/>
                <w:kern w:val="0"/>
                <w:sz w:val="24"/>
                <w:szCs w:val="24"/>
                <w:highlight w:val="none"/>
                <w:lang w:val="en-US" w:eastAsia="zh-CN" w:bidi="ar-SA"/>
              </w:rPr>
              <w:t>黑龙江能源职业学院</w:t>
            </w:r>
            <w:r>
              <w:rPr>
                <w:rFonts w:hint="eastAsia" w:ascii="Times New Roman" w:hAnsi="Times New Roman" w:eastAsia="宋体" w:cs="Times New Roman"/>
                <w:color w:val="auto"/>
                <w:kern w:val="0"/>
                <w:sz w:val="24"/>
                <w:szCs w:val="24"/>
                <w:highlight w:val="none"/>
                <w:lang w:val="en-US" w:eastAsia="zh-CN" w:bidi="ar-SA"/>
              </w:rPr>
              <w:t>位于厂区</w:t>
            </w:r>
            <w:r>
              <w:rPr>
                <w:rFonts w:hint="eastAsia" w:cs="Times New Roman"/>
                <w:color w:val="auto"/>
                <w:kern w:val="0"/>
                <w:sz w:val="24"/>
                <w:szCs w:val="24"/>
                <w:highlight w:val="none"/>
                <w:lang w:val="en-US" w:eastAsia="zh-CN" w:bidi="ar-SA"/>
              </w:rPr>
              <w:t>西</w:t>
            </w:r>
            <w:r>
              <w:rPr>
                <w:rFonts w:hint="eastAsia" w:ascii="Times New Roman" w:hAnsi="Times New Roman" w:eastAsia="宋体" w:cs="Times New Roman"/>
                <w:color w:val="auto"/>
                <w:kern w:val="0"/>
                <w:sz w:val="24"/>
                <w:szCs w:val="24"/>
                <w:highlight w:val="none"/>
                <w:lang w:val="en-US" w:eastAsia="zh-CN" w:bidi="ar-SA"/>
              </w:rPr>
              <w:t>侧</w:t>
            </w:r>
            <w:r>
              <w:rPr>
                <w:rFonts w:hint="eastAsia" w:cs="Times New Roman"/>
                <w:color w:val="auto"/>
                <w:kern w:val="0"/>
                <w:sz w:val="24"/>
                <w:szCs w:val="24"/>
                <w:highlight w:val="none"/>
                <w:lang w:val="en-US" w:eastAsia="zh-CN" w:bidi="ar-SA"/>
              </w:rPr>
              <w:t>40</w:t>
            </w:r>
            <w:r>
              <w:rPr>
                <w:rFonts w:hint="eastAsia" w:ascii="Times New Roman" w:hAnsi="Times New Roman" w:eastAsia="宋体" w:cs="Times New Roman"/>
                <w:color w:val="auto"/>
                <w:kern w:val="0"/>
                <w:sz w:val="24"/>
                <w:szCs w:val="24"/>
                <w:highlight w:val="none"/>
                <w:lang w:val="en-US" w:eastAsia="zh-CN" w:bidi="ar-SA"/>
              </w:rPr>
              <w:t>0m处，</w:t>
            </w:r>
            <w:r>
              <w:rPr>
                <w:rFonts w:hint="eastAsia" w:cs="Times New Roman"/>
                <w:color w:val="auto"/>
                <w:kern w:val="0"/>
                <w:sz w:val="24"/>
                <w:szCs w:val="24"/>
                <w:highlight w:val="none"/>
                <w:lang w:val="en-US" w:eastAsia="zh-CN" w:bidi="ar-SA"/>
              </w:rPr>
              <w:t>双鸭山市</w:t>
            </w:r>
            <w:r>
              <w:rPr>
                <w:rFonts w:hint="eastAsia" w:ascii="Times New Roman" w:hAnsi="Times New Roman" w:eastAsia="宋体" w:cs="Times New Roman"/>
                <w:color w:val="auto"/>
                <w:kern w:val="0"/>
                <w:sz w:val="24"/>
                <w:szCs w:val="24"/>
                <w:highlight w:val="none"/>
                <w:lang w:val="en-US" w:eastAsia="zh-CN" w:bidi="ar-SA"/>
              </w:rPr>
              <w:t>主导风向为</w:t>
            </w:r>
            <w:r>
              <w:rPr>
                <w:rFonts w:hint="eastAsia" w:cs="Times New Roman"/>
                <w:color w:val="auto"/>
                <w:kern w:val="0"/>
                <w:sz w:val="24"/>
                <w:szCs w:val="24"/>
                <w:highlight w:val="none"/>
                <w:lang w:val="en-US" w:eastAsia="zh-CN" w:bidi="ar-SA"/>
              </w:rPr>
              <w:t>西南</w:t>
            </w:r>
            <w:r>
              <w:rPr>
                <w:rFonts w:hint="eastAsia" w:ascii="Times New Roman" w:hAnsi="Times New Roman" w:eastAsia="宋体" w:cs="Times New Roman"/>
                <w:color w:val="auto"/>
                <w:kern w:val="0"/>
                <w:sz w:val="24"/>
                <w:szCs w:val="24"/>
                <w:highlight w:val="none"/>
                <w:lang w:val="en-US" w:eastAsia="zh-CN" w:bidi="ar-SA"/>
              </w:rPr>
              <w:t>风，敏感目标位于厂区北侧及</w:t>
            </w:r>
            <w:r>
              <w:rPr>
                <w:rFonts w:hint="eastAsia" w:cs="Times New Roman"/>
                <w:color w:val="auto"/>
                <w:kern w:val="0"/>
                <w:sz w:val="24"/>
                <w:szCs w:val="24"/>
                <w:highlight w:val="none"/>
                <w:lang w:val="en-US" w:eastAsia="zh-CN" w:bidi="ar-SA"/>
              </w:rPr>
              <w:t>西</w:t>
            </w:r>
            <w:r>
              <w:rPr>
                <w:rFonts w:hint="eastAsia" w:ascii="Times New Roman" w:hAnsi="Times New Roman" w:eastAsia="宋体" w:cs="Times New Roman"/>
                <w:color w:val="auto"/>
                <w:kern w:val="0"/>
                <w:sz w:val="24"/>
                <w:szCs w:val="24"/>
                <w:highlight w:val="none"/>
                <w:lang w:val="en-US" w:eastAsia="zh-CN" w:bidi="ar-SA"/>
              </w:rPr>
              <w:t>侧。本项目</w:t>
            </w:r>
            <w:r>
              <w:rPr>
                <w:rFonts w:hint="eastAsia" w:cs="Times New Roman"/>
                <w:color w:val="auto"/>
                <w:kern w:val="0"/>
                <w:sz w:val="24"/>
                <w:szCs w:val="24"/>
                <w:highlight w:val="none"/>
                <w:lang w:val="en-US" w:eastAsia="zh-CN" w:bidi="ar-SA"/>
              </w:rPr>
              <w:t>1台4t/h燃生物质</w:t>
            </w:r>
            <w:r>
              <w:rPr>
                <w:rFonts w:hint="eastAsia" w:ascii="Times New Roman" w:hAnsi="Times New Roman" w:eastAsia="宋体" w:cs="Times New Roman"/>
                <w:color w:val="auto"/>
                <w:kern w:val="0"/>
                <w:sz w:val="24"/>
                <w:szCs w:val="24"/>
                <w:highlight w:val="none"/>
                <w:lang w:val="en-US" w:eastAsia="zh-CN" w:bidi="ar-SA"/>
              </w:rPr>
              <w:t>蒸汽锅</w:t>
            </w:r>
            <w:r>
              <w:rPr>
                <w:rFonts w:hint="default" w:ascii="Times New Roman" w:hAnsi="Times New Roman" w:eastAsia="宋体" w:cs="Times New Roman"/>
                <w:color w:val="auto"/>
                <w:kern w:val="0"/>
                <w:sz w:val="24"/>
                <w:szCs w:val="24"/>
                <w:highlight w:val="none"/>
                <w:lang w:val="en-US" w:eastAsia="zh-CN" w:bidi="ar-SA"/>
              </w:rPr>
              <w:t>炉</w:t>
            </w:r>
            <w:r>
              <w:rPr>
                <w:rFonts w:hint="eastAsia" w:ascii="Times New Roman" w:hAnsi="Times New Roman" w:eastAsia="宋体" w:cs="Times New Roman"/>
                <w:color w:val="auto"/>
                <w:kern w:val="0"/>
                <w:sz w:val="24"/>
                <w:szCs w:val="24"/>
                <w:highlight w:val="none"/>
                <w:lang w:val="en-US" w:eastAsia="zh-CN" w:bidi="ar-SA"/>
              </w:rPr>
              <w:t>废</w:t>
            </w:r>
            <w:r>
              <w:rPr>
                <w:rFonts w:hint="eastAsia" w:cs="Times New Roman"/>
                <w:color w:val="auto"/>
                <w:kern w:val="0"/>
                <w:sz w:val="24"/>
                <w:szCs w:val="24"/>
                <w:highlight w:val="none"/>
                <w:lang w:val="en-US" w:eastAsia="zh-CN" w:bidi="ar-SA"/>
              </w:rPr>
              <w:t>气旋风除尘+布袋除尘器</w:t>
            </w:r>
            <w:r>
              <w:rPr>
                <w:rFonts w:hint="eastAsia" w:ascii="Times New Roman" w:hAnsi="Times New Roman" w:eastAsia="宋体" w:cs="Times New Roman"/>
                <w:color w:val="auto"/>
                <w:kern w:val="0"/>
                <w:sz w:val="24"/>
                <w:szCs w:val="24"/>
                <w:highlight w:val="none"/>
                <w:lang w:val="en-US" w:eastAsia="zh-CN" w:bidi="ar-SA"/>
              </w:rPr>
              <w:t>处理，处理后废气经35m高烟囱</w:t>
            </w:r>
            <w:r>
              <w:rPr>
                <w:rFonts w:hint="eastAsia" w:cs="Times New Roman"/>
                <w:color w:val="auto"/>
                <w:kern w:val="0"/>
                <w:sz w:val="24"/>
                <w:szCs w:val="24"/>
                <w:highlight w:val="none"/>
                <w:lang w:val="en-US" w:eastAsia="zh-CN" w:bidi="ar-SA"/>
              </w:rPr>
              <w:t>（DA001）</w:t>
            </w:r>
            <w:r>
              <w:rPr>
                <w:rFonts w:hint="eastAsia" w:ascii="Times New Roman" w:hAnsi="Times New Roman" w:eastAsia="宋体" w:cs="Times New Roman"/>
                <w:color w:val="auto"/>
                <w:kern w:val="0"/>
                <w:sz w:val="24"/>
                <w:szCs w:val="24"/>
                <w:highlight w:val="none"/>
                <w:lang w:val="en-US" w:eastAsia="zh-CN" w:bidi="ar-SA"/>
              </w:rPr>
              <w:t>排放。</w:t>
            </w:r>
            <w:r>
              <w:rPr>
                <w:rFonts w:hint="default" w:ascii="Times New Roman" w:hAnsi="Times New Roman" w:eastAsia="宋体" w:cs="Times New Roman"/>
                <w:color w:val="auto"/>
                <w:kern w:val="0"/>
                <w:sz w:val="24"/>
                <w:szCs w:val="24"/>
                <w:highlight w:val="none"/>
                <w:lang w:val="en-US" w:eastAsia="zh-CN" w:bidi="ar-SA"/>
              </w:rPr>
              <w:t>本项目对大气污染物排放采取相应措施，可使污染物得到有效控制，</w:t>
            </w:r>
            <w:r>
              <w:rPr>
                <w:rFonts w:hint="eastAsia" w:ascii="Times New Roman" w:hAnsi="Times New Roman" w:eastAsia="宋体" w:cs="Times New Roman"/>
                <w:color w:val="auto"/>
                <w:kern w:val="0"/>
                <w:sz w:val="24"/>
                <w:szCs w:val="24"/>
                <w:highlight w:val="none"/>
                <w:lang w:val="en-US" w:eastAsia="zh-CN" w:bidi="ar-SA"/>
              </w:rPr>
              <w:t>本项目厂区综合废水排入市政管网，废水污染物排放满足《污水综合排放标准》（GB8978-1996）中表4三级排放标准及双鸭山市污水处理厂进水指标，经双鸭山市污水处理厂处理达标后排放。</w:t>
            </w:r>
            <w:r>
              <w:rPr>
                <w:rFonts w:hint="default" w:ascii="Times New Roman" w:hAnsi="Times New Roman" w:eastAsia="宋体" w:cs="Times New Roman"/>
                <w:color w:val="auto"/>
                <w:kern w:val="0"/>
                <w:sz w:val="24"/>
                <w:szCs w:val="24"/>
                <w:highlight w:val="none"/>
                <w:lang w:val="en-US" w:eastAsia="zh-CN" w:bidi="ar-SA"/>
              </w:rPr>
              <w:t>选用低噪声设备，通过减振、隔声、降噪、加强管理和设备合理布局等措施</w:t>
            </w:r>
            <w:r>
              <w:rPr>
                <w:rFonts w:hint="eastAsia" w:cs="Times New Roman"/>
                <w:color w:val="auto"/>
                <w:kern w:val="0"/>
                <w:sz w:val="24"/>
                <w:szCs w:val="24"/>
                <w:highlight w:val="none"/>
                <w:lang w:val="en-US" w:eastAsia="zh-CN" w:bidi="ar-SA"/>
              </w:rPr>
              <w:t>，</w:t>
            </w:r>
            <w:r>
              <w:rPr>
                <w:rFonts w:hint="default" w:ascii="Times New Roman" w:hAnsi="Times New Roman" w:eastAsia="宋体" w:cs="Times New Roman"/>
                <w:bCs/>
                <w:color w:val="auto"/>
                <w:sz w:val="24"/>
                <w:highlight w:val="none"/>
              </w:rPr>
              <w:t>优化厂区布置，采取降噪措施后本项目厂界</w:t>
            </w:r>
            <w:r>
              <w:rPr>
                <w:rFonts w:hint="eastAsia" w:cs="Times New Roman"/>
                <w:bCs/>
                <w:color w:val="auto"/>
                <w:sz w:val="24"/>
                <w:highlight w:val="none"/>
                <w:lang w:val="en-US" w:eastAsia="zh-CN"/>
              </w:rPr>
              <w:t>四周</w:t>
            </w:r>
            <w:r>
              <w:rPr>
                <w:rFonts w:hint="default" w:ascii="Times New Roman" w:hAnsi="Times New Roman" w:eastAsia="宋体" w:cs="Times New Roman"/>
                <w:bCs/>
                <w:color w:val="auto"/>
                <w:sz w:val="24"/>
                <w:highlight w:val="none"/>
              </w:rPr>
              <w:t>噪声</w:t>
            </w:r>
            <w:r>
              <w:rPr>
                <w:rFonts w:hint="eastAsia" w:cs="Times New Roman"/>
                <w:bCs/>
                <w:color w:val="auto"/>
                <w:sz w:val="24"/>
                <w:highlight w:val="none"/>
                <w:lang w:val="en-US" w:eastAsia="zh-CN"/>
              </w:rPr>
              <w:t>满足</w:t>
            </w:r>
            <w:r>
              <w:rPr>
                <w:rFonts w:hint="default" w:ascii="Times New Roman" w:hAnsi="Times New Roman" w:eastAsia="宋体" w:cs="Times New Roman"/>
                <w:bCs/>
                <w:color w:val="auto"/>
                <w:sz w:val="24"/>
                <w:highlight w:val="none"/>
              </w:rPr>
              <w:t>《工业企业厂界环境噪声排放标准》（GB12348-2008）表1中</w:t>
            </w:r>
            <w:r>
              <w:rPr>
                <w:rFonts w:hint="eastAsia" w:cs="Times New Roman"/>
                <w:bCs/>
                <w:color w:val="auto"/>
                <w:sz w:val="24"/>
                <w:highlight w:val="none"/>
                <w:lang w:val="en-US" w:eastAsia="zh-CN"/>
              </w:rPr>
              <w:t>1</w:t>
            </w:r>
            <w:r>
              <w:rPr>
                <w:rFonts w:hint="default" w:ascii="Times New Roman" w:hAnsi="Times New Roman" w:eastAsia="宋体" w:cs="Times New Roman"/>
                <w:bCs/>
                <w:color w:val="auto"/>
                <w:sz w:val="24"/>
                <w:highlight w:val="none"/>
              </w:rPr>
              <w:t>类标准。</w:t>
            </w:r>
            <w:r>
              <w:rPr>
                <w:rFonts w:hint="default" w:ascii="Times New Roman" w:hAnsi="Times New Roman" w:cs="Times New Roman"/>
                <w:color w:val="auto"/>
                <w:kern w:val="0"/>
                <w:sz w:val="24"/>
                <w:szCs w:val="24"/>
                <w:highlight w:val="none"/>
                <w:lang w:eastAsia="zh-CN"/>
              </w:rPr>
              <w:t>项目敏感目标处满足《声环境质量标准》</w:t>
            </w:r>
            <w:r>
              <w:rPr>
                <w:rFonts w:hint="eastAsia"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eastAsia="zh-CN"/>
              </w:rPr>
              <w:t>GB</w:t>
            </w:r>
            <w:r>
              <w:rPr>
                <w:rFonts w:hint="eastAsia" w:ascii="Times New Roman" w:hAnsi="Times New Roman" w:cs="Times New Roman"/>
                <w:color w:val="auto"/>
                <w:kern w:val="0"/>
                <w:sz w:val="24"/>
                <w:szCs w:val="24"/>
                <w:highlight w:val="none"/>
                <w:lang w:val="en-US" w:eastAsia="zh-CN"/>
              </w:rPr>
              <w:t xml:space="preserve"> </w:t>
            </w:r>
            <w:r>
              <w:rPr>
                <w:rFonts w:hint="default" w:ascii="Times New Roman" w:hAnsi="Times New Roman" w:cs="Times New Roman"/>
                <w:color w:val="auto"/>
                <w:kern w:val="0"/>
                <w:sz w:val="24"/>
                <w:szCs w:val="24"/>
                <w:highlight w:val="none"/>
                <w:lang w:eastAsia="zh-CN"/>
              </w:rPr>
              <w:t>3096-2008</w:t>
            </w:r>
            <w:r>
              <w:rPr>
                <w:rFonts w:hint="eastAsia" w:cs="Times New Roman"/>
                <w:color w:val="auto"/>
                <w:kern w:val="0"/>
                <w:sz w:val="24"/>
                <w:szCs w:val="24"/>
                <w:highlight w:val="none"/>
                <w:lang w:eastAsia="zh-CN"/>
              </w:rPr>
              <w:t>）</w:t>
            </w:r>
            <w:r>
              <w:rPr>
                <w:rFonts w:hint="eastAsia" w:cs="Times New Roman"/>
                <w:color w:val="auto"/>
                <w:kern w:val="0"/>
                <w:sz w:val="24"/>
                <w:szCs w:val="24"/>
                <w:highlight w:val="none"/>
                <w:lang w:val="en-US" w:eastAsia="zh-CN"/>
              </w:rPr>
              <w:t>1</w:t>
            </w:r>
            <w:r>
              <w:rPr>
                <w:rFonts w:hint="default" w:ascii="Times New Roman" w:hAnsi="Times New Roman" w:cs="Times New Roman"/>
                <w:color w:val="auto"/>
                <w:kern w:val="0"/>
                <w:sz w:val="24"/>
                <w:szCs w:val="24"/>
                <w:highlight w:val="none"/>
                <w:lang w:eastAsia="zh-CN"/>
              </w:rPr>
              <w:t>类标准限值的要求</w:t>
            </w:r>
            <w:r>
              <w:rPr>
                <w:rFonts w:hint="eastAsia" w:ascii="Times New Roman" w:hAnsi="Times New Roman" w:cs="Times New Roman"/>
                <w:color w:val="auto"/>
                <w:kern w:val="0"/>
                <w:sz w:val="24"/>
                <w:szCs w:val="24"/>
                <w:highlight w:val="none"/>
                <w:lang w:eastAsia="zh-CN"/>
              </w:rPr>
              <w:t>。</w:t>
            </w:r>
            <w:r>
              <w:rPr>
                <w:rFonts w:hint="eastAsia" w:cs="Times New Roman"/>
                <w:color w:val="auto"/>
                <w:kern w:val="0"/>
                <w:sz w:val="24"/>
                <w:szCs w:val="24"/>
                <w:highlight w:val="none"/>
                <w:lang w:val="en-US" w:eastAsia="zh-CN"/>
              </w:rPr>
              <w:t>本项目固体废物处理率可达100%。</w:t>
            </w:r>
            <w:r>
              <w:rPr>
                <w:rFonts w:hint="default" w:ascii="Times New Roman" w:hAnsi="Times New Roman" w:eastAsia="宋体" w:cs="Times New Roman"/>
                <w:color w:val="auto"/>
                <w:kern w:val="0"/>
                <w:sz w:val="24"/>
                <w:szCs w:val="24"/>
                <w:highlight w:val="none"/>
                <w:lang w:val="en-US" w:eastAsia="zh-CN" w:bidi="ar-SA"/>
              </w:rPr>
              <w:t>因此，本项目建设对环境影响较小。通过严格落实本项目提出的各项污染物防治措施，本项目各项污染物均能达标排放，固体废物均能做到安全处置，不会改变现有的环境质量现状，对外环境的影响是可以接受的。</w:t>
            </w:r>
            <w:r>
              <w:rPr>
                <w:rFonts w:hint="eastAsia" w:ascii="Times New Roman" w:hAnsi="Times New Roman" w:eastAsia="宋体" w:cs="Times New Roman"/>
                <w:color w:val="auto"/>
                <w:kern w:val="0"/>
                <w:sz w:val="24"/>
                <w:szCs w:val="24"/>
                <w:highlight w:val="none"/>
                <w:lang w:val="en-US" w:eastAsia="zh-CN" w:bidi="ar-SA"/>
              </w:rPr>
              <w:t>根</w:t>
            </w:r>
            <w:r>
              <w:rPr>
                <w:rFonts w:hint="default" w:ascii="Times New Roman" w:hAnsi="Times New Roman" w:eastAsia="宋体" w:cs="Times New Roman"/>
                <w:color w:val="auto"/>
                <w:kern w:val="0"/>
                <w:sz w:val="24"/>
                <w:szCs w:val="24"/>
                <w:highlight w:val="none"/>
                <w:lang w:val="en-US" w:eastAsia="zh-CN" w:bidi="ar-SA"/>
              </w:rPr>
              <w:t>据以上分析可知，本项目选址基本合理。</w:t>
            </w:r>
          </w:p>
          <w:p w14:paraId="53547029">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cs="Times New Roman"/>
                <w:bCs/>
                <w:color w:val="auto"/>
                <w:kern w:val="0"/>
                <w:sz w:val="24"/>
                <w:szCs w:val="21"/>
                <w:highlight w:val="none"/>
                <w:lang w:val="en-US" w:eastAsia="zh-CN" w:bidi="ar-SA"/>
              </w:rPr>
            </w:pPr>
          </w:p>
          <w:p w14:paraId="774362B2">
            <w:pPr>
              <w:keepLines w:val="0"/>
              <w:pageBreakBefore w:val="0"/>
              <w:widowControl/>
              <w:shd w:val="clear"/>
              <w:topLinePunct w:val="0"/>
              <w:autoSpaceDE w:val="0"/>
              <w:bidi w:val="0"/>
              <w:spacing w:beforeAutospacing="0" w:afterAutospacing="0" w:line="360" w:lineRule="auto"/>
              <w:ind w:right="0" w:rightChars="0"/>
              <w:jc w:val="both"/>
              <w:rPr>
                <w:rFonts w:hint="eastAsia" w:cs="Times New Roman"/>
                <w:bCs/>
                <w:color w:val="auto"/>
                <w:kern w:val="0"/>
                <w:sz w:val="24"/>
                <w:szCs w:val="21"/>
                <w:highlight w:val="none"/>
                <w:lang w:val="en-US" w:eastAsia="zh-CN" w:bidi="ar-SA"/>
              </w:rPr>
            </w:pPr>
          </w:p>
          <w:p w14:paraId="57FD407F">
            <w:pPr>
              <w:rPr>
                <w:rFonts w:hint="eastAsia"/>
                <w:color w:val="auto"/>
                <w:lang w:val="en-US" w:eastAsia="zh-CN"/>
              </w:rPr>
            </w:pPr>
          </w:p>
        </w:tc>
      </w:tr>
    </w:tbl>
    <w:p w14:paraId="5F9160BA">
      <w:pPr>
        <w:pStyle w:val="27"/>
        <w:spacing w:before="120" w:beforeLines="50" w:beforeAutospacing="0" w:after="0" w:afterAutospacing="0"/>
        <w:jc w:val="center"/>
        <w:outlineLvl w:val="0"/>
        <w:rPr>
          <w:rFonts w:ascii="Times New Roman" w:hAnsi="Times New Roman"/>
          <w:b/>
          <w:snapToGrid w:val="0"/>
          <w:color w:val="auto"/>
          <w:sz w:val="30"/>
          <w:szCs w:val="30"/>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bookmarkStart w:id="4" w:name="_Toc5691"/>
    </w:p>
    <w:p w14:paraId="00F18519">
      <w:pPr>
        <w:pStyle w:val="27"/>
        <w:spacing w:before="120" w:beforeLines="50" w:beforeAutospacing="0" w:after="0" w:afterAutospacing="0"/>
        <w:jc w:val="center"/>
        <w:outlineLvl w:val="0"/>
        <w:rPr>
          <w:rFonts w:ascii="Times New Roman" w:hAnsi="Times New Roman"/>
          <w:b/>
          <w:snapToGrid w:val="0"/>
          <w:color w:val="auto"/>
          <w:sz w:val="30"/>
          <w:szCs w:val="30"/>
        </w:rPr>
      </w:pPr>
      <w:r>
        <w:rPr>
          <w:rFonts w:ascii="Times New Roman" w:hAnsi="Times New Roman"/>
          <w:b/>
          <w:snapToGrid w:val="0"/>
          <w:color w:val="auto"/>
          <w:sz w:val="30"/>
          <w:szCs w:val="30"/>
        </w:rPr>
        <w:t>二、建设项目工程分析</w:t>
      </w:r>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51"/>
        <w:gridCol w:w="8409"/>
      </w:tblGrid>
      <w:tr w14:paraId="30F76B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25" w:hRule="atLeast"/>
          <w:jc w:val="center"/>
        </w:trPr>
        <w:tc>
          <w:tcPr>
            <w:tcW w:w="651" w:type="dxa"/>
            <w:vAlign w:val="center"/>
          </w:tcPr>
          <w:p w14:paraId="3CB5E5D7">
            <w:pPr>
              <w:pStyle w:val="27"/>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宋体"/>
                <w:color w:val="auto"/>
                <w:sz w:val="21"/>
                <w:szCs w:val="18"/>
                <w:highlight w:val="none"/>
              </w:rPr>
            </w:pPr>
            <w:r>
              <w:rPr>
                <w:rFonts w:hint="default" w:ascii="Times New Roman" w:hAnsi="Times New Roman" w:eastAsia="宋体"/>
                <w:b/>
                <w:color w:val="auto"/>
                <w:sz w:val="21"/>
                <w:szCs w:val="21"/>
                <w:highlight w:val="none"/>
              </w:rPr>
              <w:t>建设内容</w:t>
            </w:r>
          </w:p>
        </w:tc>
        <w:tc>
          <w:tcPr>
            <w:tcW w:w="8409" w:type="dxa"/>
            <w:vAlign w:val="top"/>
          </w:tcPr>
          <w:p w14:paraId="1847460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highlight w:val="none"/>
              </w:rPr>
            </w:pPr>
            <w:r>
              <w:rPr>
                <w:rFonts w:hint="eastAsia" w:cs="Times New Roman"/>
                <w:b/>
                <w:bCs/>
                <w:color w:val="auto"/>
                <w:sz w:val="24"/>
                <w:highlight w:val="none"/>
                <w:lang w:val="en-US" w:eastAsia="zh-CN"/>
              </w:rPr>
              <w:t>1、</w:t>
            </w:r>
            <w:r>
              <w:rPr>
                <w:rFonts w:hint="default" w:ascii="Times New Roman" w:hAnsi="Times New Roman" w:eastAsia="宋体" w:cs="Times New Roman"/>
                <w:b/>
                <w:bCs/>
                <w:color w:val="auto"/>
                <w:sz w:val="24"/>
                <w:highlight w:val="none"/>
              </w:rPr>
              <w:t>项目概况</w:t>
            </w:r>
          </w:p>
          <w:p w14:paraId="584EFAF2">
            <w:pPr>
              <w:keepNext w:val="0"/>
              <w:keepLines w:val="0"/>
              <w:suppressLineNumbers w:val="0"/>
              <w:spacing w:before="0" w:beforeAutospacing="0" w:after="0" w:afterAutospacing="0" w:line="360" w:lineRule="auto"/>
              <w:ind w:left="0" w:right="0" w:firstLine="496" w:firstLineChars="200"/>
              <w:rPr>
                <w:rFonts w:hint="eastAsia" w:ascii="Times New Roman" w:hAnsi="Times New Roman" w:eastAsia="宋体" w:cs="Times New Roman"/>
                <w:color w:val="auto"/>
                <w:spacing w:val="4"/>
                <w:sz w:val="24"/>
                <w:highlight w:val="none"/>
                <w:lang w:val="en-US" w:eastAsia="zh-CN"/>
              </w:rPr>
            </w:pPr>
            <w:r>
              <w:rPr>
                <w:rFonts w:hint="eastAsia" w:ascii="Times New Roman" w:hAnsi="Times New Roman" w:eastAsia="宋体"/>
                <w:color w:val="auto"/>
                <w:spacing w:val="4"/>
                <w:sz w:val="24"/>
                <w:highlight w:val="none"/>
              </w:rPr>
              <w:t>（1）项目</w:t>
            </w:r>
            <w:r>
              <w:rPr>
                <w:rFonts w:hint="eastAsia" w:ascii="Times New Roman" w:hAnsi="Times New Roman" w:eastAsia="宋体" w:cs="Times New Roman"/>
                <w:color w:val="auto"/>
                <w:spacing w:val="4"/>
                <w:sz w:val="24"/>
                <w:highlight w:val="none"/>
              </w:rPr>
              <w:t>名称：</w:t>
            </w:r>
            <w:r>
              <w:rPr>
                <w:rFonts w:hint="eastAsia" w:ascii="Times New Roman" w:hAnsi="Times New Roman" w:eastAsia="宋体" w:cs="Times New Roman"/>
                <w:color w:val="auto"/>
                <w:spacing w:val="4"/>
                <w:sz w:val="24"/>
                <w:highlight w:val="none"/>
                <w:lang w:val="en-US" w:eastAsia="zh-CN"/>
              </w:rPr>
              <w:t>双鸭山市尖山区众诚种植养殖农民专业合作社新建项目</w:t>
            </w:r>
          </w:p>
          <w:p w14:paraId="311F2F74">
            <w:pPr>
              <w:keepNext w:val="0"/>
              <w:keepLines w:val="0"/>
              <w:suppressLineNumbers w:val="0"/>
              <w:spacing w:before="0" w:beforeAutospacing="0" w:after="0" w:afterAutospacing="0" w:line="360" w:lineRule="auto"/>
              <w:ind w:left="0" w:right="0" w:firstLine="496" w:firstLineChars="200"/>
              <w:rPr>
                <w:rFonts w:hint="eastAsia" w:ascii="Times New Roman" w:hAnsi="Times New Roman" w:eastAsia="宋体" w:cs="Times New Roman"/>
                <w:color w:val="auto"/>
                <w:spacing w:val="4"/>
                <w:sz w:val="24"/>
                <w:highlight w:val="none"/>
                <w:lang w:eastAsia="zh-CN"/>
              </w:rPr>
            </w:pPr>
            <w:r>
              <w:rPr>
                <w:rFonts w:hint="eastAsia" w:ascii="Times New Roman" w:hAnsi="Times New Roman" w:eastAsia="宋体" w:cs="Times New Roman"/>
                <w:color w:val="auto"/>
                <w:spacing w:val="4"/>
                <w:sz w:val="24"/>
                <w:highlight w:val="none"/>
              </w:rPr>
              <w:t>（2）建设单位：</w:t>
            </w:r>
            <w:r>
              <w:rPr>
                <w:rFonts w:hint="eastAsia" w:ascii="Times New Roman" w:hAnsi="Times New Roman" w:eastAsia="宋体" w:cs="Times New Roman"/>
                <w:color w:val="auto"/>
                <w:spacing w:val="4"/>
                <w:sz w:val="24"/>
                <w:highlight w:val="none"/>
                <w:lang w:val="en-US" w:eastAsia="zh-CN"/>
              </w:rPr>
              <w:t>双鸭山市尖山区众诚种植养殖农民专业合作社</w:t>
            </w:r>
          </w:p>
          <w:p w14:paraId="3BECD125">
            <w:pPr>
              <w:keepNext w:val="0"/>
              <w:keepLines w:val="0"/>
              <w:suppressLineNumbers w:val="0"/>
              <w:spacing w:before="0" w:beforeAutospacing="0" w:after="0" w:afterAutospacing="0" w:line="360" w:lineRule="auto"/>
              <w:ind w:left="0" w:right="0" w:firstLine="496" w:firstLineChars="200"/>
              <w:rPr>
                <w:rFonts w:hint="default" w:ascii="Times New Roman" w:hAnsi="Times New Roman" w:eastAsia="宋体"/>
                <w:color w:val="auto"/>
                <w:spacing w:val="4"/>
                <w:sz w:val="24"/>
                <w:highlight w:val="none"/>
              </w:rPr>
            </w:pPr>
            <w:r>
              <w:rPr>
                <w:rFonts w:hint="eastAsia" w:ascii="Times New Roman" w:hAnsi="Times New Roman" w:eastAsia="宋体"/>
                <w:color w:val="auto"/>
                <w:spacing w:val="4"/>
                <w:sz w:val="24"/>
                <w:highlight w:val="none"/>
              </w:rPr>
              <w:t>（3）建设性质：新建</w:t>
            </w:r>
          </w:p>
          <w:p w14:paraId="35913512">
            <w:pPr>
              <w:keepNext w:val="0"/>
              <w:keepLines w:val="0"/>
              <w:suppressLineNumbers w:val="0"/>
              <w:spacing w:before="0" w:beforeAutospacing="0" w:after="0" w:afterAutospacing="0" w:line="360" w:lineRule="auto"/>
              <w:ind w:left="0" w:right="0" w:firstLine="496" w:firstLineChars="200"/>
              <w:rPr>
                <w:rFonts w:hint="default" w:ascii="Times New Roman" w:hAnsi="Times New Roman" w:eastAsia="宋体"/>
                <w:color w:val="auto"/>
                <w:spacing w:val="4"/>
                <w:sz w:val="24"/>
                <w:highlight w:val="none"/>
              </w:rPr>
            </w:pPr>
            <w:r>
              <w:rPr>
                <w:rFonts w:hint="eastAsia" w:ascii="Times New Roman" w:hAnsi="Times New Roman" w:eastAsia="宋体"/>
                <w:color w:val="auto"/>
                <w:spacing w:val="4"/>
                <w:sz w:val="24"/>
                <w:highlight w:val="none"/>
              </w:rPr>
              <w:t>（4）建设规模：本项目新建</w:t>
            </w:r>
            <w:r>
              <w:rPr>
                <w:rFonts w:hint="eastAsia"/>
                <w:color w:val="auto"/>
                <w:spacing w:val="4"/>
                <w:sz w:val="24"/>
                <w:highlight w:val="none"/>
                <w:lang w:val="en-US" w:eastAsia="zh-CN"/>
              </w:rPr>
              <w:t>1条真空玉米生产线</w:t>
            </w:r>
            <w:r>
              <w:rPr>
                <w:rFonts w:hint="eastAsia"/>
                <w:color w:val="auto"/>
                <w:spacing w:val="4"/>
                <w:sz w:val="24"/>
                <w:highlight w:val="none"/>
                <w:lang w:eastAsia="zh-CN"/>
              </w:rPr>
              <w:t>，</w:t>
            </w:r>
            <w:r>
              <w:rPr>
                <w:rFonts w:hint="eastAsia" w:ascii="Times New Roman" w:hAnsi="Times New Roman" w:eastAsia="宋体"/>
                <w:color w:val="auto"/>
                <w:spacing w:val="4"/>
                <w:sz w:val="24"/>
                <w:highlight w:val="none"/>
              </w:rPr>
              <w:t>主要</w:t>
            </w:r>
            <w:r>
              <w:rPr>
                <w:rFonts w:hint="eastAsia"/>
                <w:color w:val="auto"/>
                <w:spacing w:val="4"/>
                <w:sz w:val="24"/>
                <w:highlight w:val="none"/>
                <w:lang w:val="en-US" w:eastAsia="zh-CN"/>
              </w:rPr>
              <w:t>生产真空玉米</w:t>
            </w:r>
            <w:r>
              <w:rPr>
                <w:rFonts w:hint="eastAsia" w:ascii="Times New Roman" w:hAnsi="Times New Roman" w:eastAsia="宋体"/>
                <w:color w:val="auto"/>
                <w:spacing w:val="4"/>
                <w:sz w:val="24"/>
                <w:highlight w:val="none"/>
              </w:rPr>
              <w:t>，</w:t>
            </w:r>
            <w:r>
              <w:rPr>
                <w:rFonts w:hint="eastAsia"/>
                <w:color w:val="auto"/>
                <w:spacing w:val="4"/>
                <w:sz w:val="24"/>
                <w:highlight w:val="none"/>
                <w:lang w:eastAsia="zh-CN"/>
              </w:rPr>
              <w:t>年产</w:t>
            </w:r>
            <w:r>
              <w:rPr>
                <w:rFonts w:hint="eastAsia"/>
                <w:color w:val="auto"/>
                <w:spacing w:val="4"/>
                <w:sz w:val="24"/>
                <w:highlight w:val="none"/>
                <w:lang w:val="en-US" w:eastAsia="zh-CN"/>
              </w:rPr>
              <w:t>香甜糯玉米</w:t>
            </w:r>
            <w:r>
              <w:rPr>
                <w:rFonts w:hint="eastAsia" w:eastAsia="宋体" w:cs="Times New Roman"/>
                <w:b w:val="0"/>
                <w:bCs/>
                <w:color w:val="auto"/>
                <w:kern w:val="2"/>
                <w:sz w:val="24"/>
                <w:szCs w:val="24"/>
                <w:lang w:val="en-US" w:eastAsia="zh-CN" w:bidi="ar-SA"/>
              </w:rPr>
              <w:t>12</w:t>
            </w:r>
            <w:r>
              <w:rPr>
                <w:rFonts w:hint="eastAsia" w:cs="Times New Roman"/>
                <w:b w:val="0"/>
                <w:bCs/>
                <w:color w:val="auto"/>
                <w:kern w:val="2"/>
                <w:sz w:val="24"/>
                <w:szCs w:val="24"/>
                <w:lang w:val="en-US" w:eastAsia="zh-CN" w:bidi="ar-SA"/>
              </w:rPr>
              <w:t>0</w:t>
            </w:r>
            <w:r>
              <w:rPr>
                <w:rFonts w:hint="eastAsia" w:eastAsia="宋体" w:cs="Times New Roman"/>
                <w:b w:val="0"/>
                <w:bCs/>
                <w:color w:val="auto"/>
                <w:kern w:val="2"/>
                <w:sz w:val="24"/>
                <w:szCs w:val="24"/>
                <w:lang w:val="en-US" w:eastAsia="zh-CN" w:bidi="ar-SA"/>
              </w:rPr>
              <w:t>0吨</w:t>
            </w:r>
            <w:r>
              <w:rPr>
                <w:rFonts w:hint="eastAsia" w:ascii="Times New Roman" w:hAnsi="Times New Roman" w:eastAsia="宋体"/>
                <w:color w:val="auto"/>
                <w:spacing w:val="4"/>
                <w:sz w:val="24"/>
                <w:highlight w:val="none"/>
              </w:rPr>
              <w:t>。</w:t>
            </w:r>
          </w:p>
          <w:p w14:paraId="638AD714">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olor w:val="auto"/>
                <w:spacing w:val="4"/>
                <w:sz w:val="24"/>
                <w:highlight w:val="none"/>
              </w:rPr>
            </w:pPr>
            <w:r>
              <w:rPr>
                <w:rFonts w:hint="eastAsia" w:ascii="Times New Roman" w:hAnsi="Times New Roman" w:eastAsia="宋体"/>
                <w:color w:val="auto"/>
                <w:sz w:val="24"/>
                <w:highlight w:val="none"/>
              </w:rPr>
              <w:t>项目位</w:t>
            </w:r>
            <w:r>
              <w:rPr>
                <w:rFonts w:hint="eastAsia" w:ascii="Times New Roman" w:hAnsi="Times New Roman" w:cs="Times New Roman"/>
                <w:color w:val="auto"/>
                <w:spacing w:val="4"/>
                <w:sz w:val="24"/>
                <w:highlight w:val="none"/>
                <w:lang w:eastAsia="zh-CN"/>
              </w:rPr>
              <w:t>于</w:t>
            </w:r>
            <w:r>
              <w:rPr>
                <w:rFonts w:hint="eastAsia" w:ascii="Times New Roman" w:hAnsi="Times New Roman" w:eastAsia="宋体" w:cs="Times New Roman"/>
                <w:color w:val="auto"/>
                <w:spacing w:val="4"/>
                <w:sz w:val="24"/>
                <w:highlight w:val="none"/>
                <w:lang w:val="en-US" w:eastAsia="zh-CN"/>
              </w:rPr>
              <w:t>双鸭山市尖山区安邦乡公立村，</w:t>
            </w:r>
            <w:r>
              <w:rPr>
                <w:rFonts w:hint="eastAsia" w:cs="Times New Roman"/>
                <w:color w:val="auto"/>
                <w:spacing w:val="4"/>
                <w:sz w:val="24"/>
                <w:highlight w:val="none"/>
                <w:lang w:val="en-US" w:eastAsia="zh-CN"/>
              </w:rPr>
              <w:t>租赁公立村集体建设用地原公立村小学（现已停办）场地建设</w:t>
            </w:r>
            <w:r>
              <w:rPr>
                <w:rFonts w:hint="eastAsia" w:cs="Times New Roman"/>
                <w:color w:val="auto"/>
                <w:sz w:val="24"/>
                <w:szCs w:val="24"/>
                <w:highlight w:val="none"/>
                <w:lang w:eastAsia="zh-CN"/>
              </w:rPr>
              <w:t>。</w:t>
            </w:r>
            <w:r>
              <w:rPr>
                <w:rFonts w:hint="eastAsia" w:ascii="Times New Roman" w:hAnsi="Times New Roman" w:eastAsia="宋体"/>
                <w:color w:val="auto"/>
                <w:sz w:val="24"/>
                <w:highlight w:val="none"/>
              </w:rPr>
              <w:t>项目</w:t>
            </w:r>
            <w:r>
              <w:rPr>
                <w:rFonts w:hint="eastAsia" w:ascii="Times New Roman" w:hAnsi="Times New Roman" w:eastAsia="宋体"/>
                <w:color w:val="auto"/>
                <w:spacing w:val="4"/>
                <w:sz w:val="24"/>
                <w:highlight w:val="none"/>
              </w:rPr>
              <w:t>占地面积</w:t>
            </w:r>
            <w:r>
              <w:rPr>
                <w:rFonts w:hint="eastAsia" w:cs="Times New Roman"/>
                <w:color w:val="auto"/>
                <w:spacing w:val="4"/>
                <w:sz w:val="24"/>
                <w:highlight w:val="none"/>
                <w:lang w:val="en-US" w:eastAsia="zh-CN"/>
              </w:rPr>
              <w:t>10000</w:t>
            </w:r>
            <w:r>
              <w:rPr>
                <w:rFonts w:hint="default" w:ascii="Times New Roman" w:hAnsi="Times New Roman" w:eastAsia="宋体" w:cs="Times New Roman"/>
                <w:color w:val="auto"/>
                <w:spacing w:val="4"/>
                <w:sz w:val="24"/>
                <w:highlight w:val="none"/>
              </w:rPr>
              <w:t>m</w:t>
            </w:r>
            <w:r>
              <w:rPr>
                <w:rFonts w:hint="default" w:ascii="Times New Roman" w:hAnsi="Times New Roman" w:eastAsia="宋体" w:cs="Times New Roman"/>
                <w:color w:val="auto"/>
                <w:spacing w:val="4"/>
                <w:sz w:val="24"/>
                <w:highlight w:val="none"/>
                <w:vertAlign w:val="superscript"/>
              </w:rPr>
              <w:t>2</w:t>
            </w:r>
            <w:r>
              <w:rPr>
                <w:rFonts w:hint="eastAsia" w:ascii="Times New Roman" w:hAnsi="Times New Roman" w:eastAsia="宋体" w:cs="Times New Roman"/>
                <w:color w:val="auto"/>
                <w:spacing w:val="4"/>
                <w:sz w:val="24"/>
                <w:highlight w:val="none"/>
              </w:rPr>
              <w:t>，总建筑面积</w:t>
            </w:r>
            <w:r>
              <w:rPr>
                <w:rFonts w:hint="eastAsia" w:cs="Times New Roman"/>
                <w:color w:val="auto"/>
                <w:spacing w:val="4"/>
                <w:sz w:val="24"/>
                <w:highlight w:val="none"/>
                <w:lang w:val="en-US" w:eastAsia="zh-CN"/>
              </w:rPr>
              <w:t>4741</w:t>
            </w:r>
            <w:r>
              <w:rPr>
                <w:rFonts w:hint="default" w:ascii="Times New Roman" w:hAnsi="Times New Roman" w:eastAsia="宋体" w:cs="Times New Roman"/>
                <w:color w:val="auto"/>
                <w:spacing w:val="4"/>
                <w:sz w:val="24"/>
                <w:highlight w:val="none"/>
              </w:rPr>
              <w:t>m</w:t>
            </w:r>
            <w:r>
              <w:rPr>
                <w:rFonts w:hint="default" w:ascii="Times New Roman" w:hAnsi="Times New Roman" w:eastAsia="宋体" w:cs="Times New Roman"/>
                <w:color w:val="auto"/>
                <w:spacing w:val="4"/>
                <w:sz w:val="24"/>
                <w:highlight w:val="none"/>
                <w:vertAlign w:val="superscript"/>
              </w:rPr>
              <w:t>2</w:t>
            </w:r>
            <w:r>
              <w:rPr>
                <w:rFonts w:hint="eastAsia" w:ascii="Times New Roman" w:hAnsi="Times New Roman" w:eastAsia="宋体"/>
                <w:color w:val="auto"/>
                <w:spacing w:val="4"/>
                <w:sz w:val="24"/>
                <w:highlight w:val="none"/>
              </w:rPr>
              <w:t>。</w:t>
            </w:r>
            <w:r>
              <w:rPr>
                <w:rFonts w:hint="default" w:ascii="Times New Roman" w:hAnsi="Times New Roman" w:eastAsia="宋体"/>
                <w:color w:val="auto"/>
                <w:spacing w:val="4"/>
                <w:sz w:val="24"/>
                <w:highlight w:val="none"/>
              </w:rPr>
              <w:t>具体建设内容以及建设规模</w:t>
            </w:r>
            <w:r>
              <w:rPr>
                <w:rFonts w:hint="eastAsia" w:ascii="Times New Roman" w:hAnsi="Times New Roman" w:eastAsia="宋体"/>
                <w:color w:val="auto"/>
                <w:spacing w:val="4"/>
                <w:sz w:val="24"/>
                <w:highlight w:val="none"/>
              </w:rPr>
              <w:t>见</w:t>
            </w:r>
            <w:r>
              <w:rPr>
                <w:rFonts w:hint="default" w:ascii="Times New Roman" w:hAnsi="Times New Roman" w:eastAsia="宋体"/>
                <w:color w:val="auto"/>
                <w:spacing w:val="4"/>
                <w:sz w:val="24"/>
                <w:highlight w:val="none"/>
              </w:rPr>
              <w:t>表</w:t>
            </w:r>
            <w:r>
              <w:rPr>
                <w:rFonts w:hint="eastAsia" w:ascii="Times New Roman" w:hAnsi="Times New Roman" w:eastAsia="宋体"/>
                <w:color w:val="auto"/>
                <w:spacing w:val="4"/>
                <w:sz w:val="24"/>
                <w:highlight w:val="none"/>
                <w:lang w:val="en-US" w:eastAsia="zh-CN"/>
              </w:rPr>
              <w:t>2</w:t>
            </w:r>
            <w:r>
              <w:rPr>
                <w:rFonts w:hint="default" w:ascii="Times New Roman" w:hAnsi="Times New Roman" w:eastAsia="宋体"/>
                <w:color w:val="auto"/>
                <w:spacing w:val="4"/>
                <w:sz w:val="24"/>
                <w:highlight w:val="none"/>
              </w:rPr>
              <w:t>-1</w:t>
            </w:r>
            <w:r>
              <w:rPr>
                <w:rFonts w:hint="eastAsia" w:ascii="Times New Roman" w:hAnsi="Times New Roman" w:eastAsia="宋体"/>
                <w:color w:val="auto"/>
                <w:spacing w:val="4"/>
                <w:sz w:val="24"/>
                <w:highlight w:val="none"/>
              </w:rPr>
              <w:t>。</w:t>
            </w:r>
          </w:p>
          <w:p w14:paraId="559CE67F">
            <w:pPr>
              <w:keepNext w:val="0"/>
              <w:keepLines w:val="0"/>
              <w:suppressLineNumbers w:val="0"/>
              <w:adjustRightInd w:val="0"/>
              <w:snapToGrid w:val="0"/>
              <w:spacing w:before="0" w:beforeAutospacing="0" w:after="0" w:afterAutospacing="0" w:line="360" w:lineRule="auto"/>
              <w:ind w:left="0" w:right="0" w:firstLine="496"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olor w:val="auto"/>
                <w:spacing w:val="4"/>
                <w:sz w:val="24"/>
                <w:highlight w:val="none"/>
              </w:rPr>
              <w:t>（5）总投资：</w:t>
            </w:r>
            <w:r>
              <w:rPr>
                <w:rFonts w:hint="eastAsia"/>
                <w:color w:val="auto"/>
                <w:spacing w:val="4"/>
                <w:sz w:val="24"/>
                <w:highlight w:val="none"/>
                <w:lang w:eastAsia="zh-CN"/>
              </w:rPr>
              <w:t>本项目</w:t>
            </w:r>
            <w:r>
              <w:rPr>
                <w:rFonts w:hint="eastAsia" w:cs="Times New Roman"/>
                <w:color w:val="auto"/>
                <w:sz w:val="24"/>
                <w:highlight w:val="none"/>
                <w:lang w:val="en-US" w:eastAsia="zh-CN"/>
              </w:rPr>
              <w:t>1000</w:t>
            </w:r>
            <w:r>
              <w:rPr>
                <w:rFonts w:hint="eastAsia" w:ascii="Times New Roman" w:hAnsi="Times New Roman" w:eastAsia="宋体" w:cs="Times New Roman"/>
                <w:color w:val="auto"/>
                <w:sz w:val="24"/>
                <w:highlight w:val="none"/>
              </w:rPr>
              <w:t>万元</w:t>
            </w:r>
            <w:r>
              <w:rPr>
                <w:rFonts w:hint="eastAsia"/>
                <w:color w:val="auto"/>
                <w:spacing w:val="4"/>
                <w:sz w:val="24"/>
                <w:highlight w:val="none"/>
                <w:lang w:eastAsia="zh-CN"/>
              </w:rPr>
              <w:t>，</w:t>
            </w:r>
            <w:r>
              <w:rPr>
                <w:rFonts w:hint="default"/>
                <w:color w:val="auto"/>
                <w:sz w:val="24"/>
                <w:highlight w:val="none"/>
              </w:rPr>
              <w:t>其中环保投资</w:t>
            </w:r>
            <w:r>
              <w:rPr>
                <w:rFonts w:hint="eastAsia"/>
                <w:color w:val="auto"/>
                <w:spacing w:val="4"/>
                <w:sz w:val="24"/>
                <w:highlight w:val="none"/>
                <w:lang w:val="en-US" w:eastAsia="zh-CN"/>
              </w:rPr>
              <w:t>44.5</w:t>
            </w:r>
            <w:r>
              <w:rPr>
                <w:rFonts w:hint="default"/>
                <w:color w:val="auto"/>
                <w:sz w:val="24"/>
                <w:highlight w:val="none"/>
              </w:rPr>
              <w:t>万元，占总投资的</w:t>
            </w:r>
            <w:r>
              <w:rPr>
                <w:rFonts w:hint="eastAsia"/>
                <w:color w:val="auto"/>
                <w:sz w:val="24"/>
                <w:highlight w:val="none"/>
                <w:lang w:val="en-US" w:eastAsia="zh-CN"/>
              </w:rPr>
              <w:t>4.45</w:t>
            </w:r>
            <w:r>
              <w:rPr>
                <w:rFonts w:hint="default"/>
                <w:color w:val="auto"/>
                <w:sz w:val="24"/>
                <w:highlight w:val="none"/>
              </w:rPr>
              <w:t>%。</w:t>
            </w:r>
          </w:p>
          <w:p w14:paraId="4E69C93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textAlignment w:val="auto"/>
              <w:rPr>
                <w:rFonts w:hint="eastAsia" w:ascii="Times New Roman" w:hAnsi="Times New Roman" w:eastAsia="宋体" w:cs="Times New Roman"/>
                <w:b/>
                <w:bCs/>
                <w:color w:val="auto"/>
                <w:sz w:val="24"/>
                <w:highlight w:val="none"/>
                <w:lang w:eastAsia="zh-CN"/>
              </w:rPr>
            </w:pPr>
            <w:r>
              <w:rPr>
                <w:rFonts w:hint="eastAsia"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rPr>
              <w:t>、建设内容</w:t>
            </w:r>
          </w:p>
          <w:p w14:paraId="41966167">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宋体"/>
                <w:color w:val="auto"/>
                <w:sz w:val="24"/>
                <w:highlight w:val="none"/>
              </w:rPr>
            </w:pPr>
            <w:r>
              <w:rPr>
                <w:rFonts w:hint="default" w:eastAsia="宋体"/>
                <w:color w:val="auto"/>
                <w:sz w:val="24"/>
                <w:highlight w:val="none"/>
              </w:rPr>
              <w:t>本次工程项目组成主要包括主体工程、辅助工程、公用工程、储运工程及环保工程，本项目建设内容见表</w:t>
            </w:r>
            <w:r>
              <w:rPr>
                <w:rFonts w:hint="eastAsia"/>
                <w:color w:val="auto"/>
                <w:sz w:val="24"/>
                <w:highlight w:val="none"/>
                <w:lang w:val="en-US" w:eastAsia="zh-CN"/>
              </w:rPr>
              <w:t>2-1</w:t>
            </w:r>
            <w:r>
              <w:rPr>
                <w:rFonts w:hint="default" w:eastAsia="宋体"/>
                <w:color w:val="auto"/>
                <w:sz w:val="24"/>
                <w:highlight w:val="none"/>
              </w:rPr>
              <w:t>。</w:t>
            </w:r>
          </w:p>
          <w:p w14:paraId="263F3A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eastAsia="宋体"/>
                <w:b/>
                <w:color w:val="auto"/>
                <w:sz w:val="21"/>
                <w:szCs w:val="21"/>
                <w:highlight w:val="none"/>
              </w:rPr>
            </w:pPr>
            <w:r>
              <w:rPr>
                <w:rFonts w:hint="default" w:eastAsia="宋体"/>
                <w:b/>
                <w:color w:val="auto"/>
                <w:sz w:val="21"/>
                <w:szCs w:val="21"/>
                <w:highlight w:val="none"/>
              </w:rPr>
              <w:t>表2-1</w:t>
            </w:r>
            <w:r>
              <w:rPr>
                <w:rFonts w:hint="eastAsia"/>
                <w:b/>
                <w:color w:val="auto"/>
                <w:sz w:val="21"/>
                <w:szCs w:val="21"/>
                <w:highlight w:val="none"/>
                <w:lang w:val="en-US" w:eastAsia="zh-CN"/>
              </w:rPr>
              <w:t xml:space="preserve">  </w:t>
            </w:r>
            <w:r>
              <w:rPr>
                <w:rFonts w:hint="default" w:eastAsia="宋体"/>
                <w:b/>
                <w:color w:val="auto"/>
                <w:sz w:val="21"/>
                <w:szCs w:val="21"/>
                <w:highlight w:val="none"/>
              </w:rPr>
              <w:t>项目组成一览表</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29"/>
              <w:gridCol w:w="1103"/>
              <w:gridCol w:w="5275"/>
              <w:gridCol w:w="883"/>
            </w:tblGrid>
            <w:tr w14:paraId="65520D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7" w:type="pct"/>
                  <w:vAlign w:val="center"/>
                </w:tcPr>
                <w:p w14:paraId="52CA5F64">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工程</w:t>
                  </w:r>
                </w:p>
                <w:p w14:paraId="2F90E769">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类别</w:t>
                  </w:r>
                </w:p>
              </w:tc>
              <w:tc>
                <w:tcPr>
                  <w:tcW w:w="673" w:type="pct"/>
                  <w:vAlign w:val="center"/>
                </w:tcPr>
                <w:p w14:paraId="1E2875B1">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项目名称</w:t>
                  </w:r>
                </w:p>
              </w:tc>
              <w:tc>
                <w:tcPr>
                  <w:tcW w:w="3219" w:type="pct"/>
                  <w:vAlign w:val="center"/>
                </w:tcPr>
                <w:p w14:paraId="6A021E8F">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工程建设内容及规模</w:t>
                  </w:r>
                </w:p>
              </w:tc>
              <w:tc>
                <w:tcPr>
                  <w:tcW w:w="539" w:type="pct"/>
                  <w:vAlign w:val="center"/>
                </w:tcPr>
                <w:p w14:paraId="361431F1">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备注</w:t>
                  </w:r>
                </w:p>
              </w:tc>
            </w:tr>
            <w:tr w14:paraId="6EEF0D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7" w:type="pct"/>
                  <w:vMerge w:val="restart"/>
                  <w:vAlign w:val="center"/>
                </w:tcPr>
                <w:p w14:paraId="2B62E568">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主体</w:t>
                  </w:r>
                </w:p>
                <w:p w14:paraId="42753409">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工程</w:t>
                  </w:r>
                </w:p>
              </w:tc>
              <w:tc>
                <w:tcPr>
                  <w:tcW w:w="673" w:type="pct"/>
                  <w:vAlign w:val="center"/>
                </w:tcPr>
                <w:p w14:paraId="07B09C64">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去皮车间</w:t>
                  </w:r>
                </w:p>
              </w:tc>
              <w:tc>
                <w:tcPr>
                  <w:tcW w:w="3219" w:type="pct"/>
                  <w:vAlign w:val="center"/>
                </w:tcPr>
                <w:p w14:paraId="781F4F84">
                  <w:pPr>
                    <w:keepNext w:val="0"/>
                    <w:keepLines w:val="0"/>
                    <w:suppressLineNumbers w:val="0"/>
                    <w:adjustRightInd w:val="0"/>
                    <w:snapToGrid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位于厂区中部，门式钢架结构，半封闭式，建筑高度8.5m，建筑面积536m</w:t>
                  </w:r>
                  <w:r>
                    <w:rPr>
                      <w:rFonts w:hint="eastAsia" w:cs="Times New Roman"/>
                      <w:color w:val="auto"/>
                      <w:kern w:val="2"/>
                      <w:sz w:val="21"/>
                      <w:szCs w:val="21"/>
                      <w:highlight w:val="none"/>
                      <w:vertAlign w:val="superscript"/>
                      <w:lang w:val="en-US" w:eastAsia="zh-CN" w:bidi="ar-SA"/>
                    </w:rPr>
                    <w:t>2</w:t>
                  </w:r>
                  <w:r>
                    <w:rPr>
                      <w:rFonts w:hint="eastAsia" w:cs="Times New Roman"/>
                      <w:color w:val="auto"/>
                      <w:kern w:val="2"/>
                      <w:sz w:val="21"/>
                      <w:szCs w:val="21"/>
                      <w:highlight w:val="none"/>
                      <w:lang w:val="en-US" w:eastAsia="zh-CN" w:bidi="ar-SA"/>
                    </w:rPr>
                    <w:t>，用于切尖、扒皮、清洗工序，临时存放糯玉米，最大存储量45t，满足本项目1天原料用量要求。</w:t>
                  </w:r>
                </w:p>
              </w:tc>
              <w:tc>
                <w:tcPr>
                  <w:tcW w:w="539" w:type="pct"/>
                  <w:vAlign w:val="center"/>
                </w:tcPr>
                <w:p w14:paraId="1708B449">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已建成</w:t>
                  </w:r>
                </w:p>
              </w:tc>
            </w:tr>
            <w:tr w14:paraId="2CACCB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7" w:type="pct"/>
                  <w:vMerge w:val="continue"/>
                  <w:vAlign w:val="center"/>
                </w:tcPr>
                <w:p w14:paraId="79C4B3C1">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673" w:type="pct"/>
                  <w:vAlign w:val="center"/>
                </w:tcPr>
                <w:p w14:paraId="2EDFFFB0">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速冻间</w:t>
                  </w:r>
                </w:p>
              </w:tc>
              <w:tc>
                <w:tcPr>
                  <w:tcW w:w="3219" w:type="pct"/>
                  <w:vAlign w:val="center"/>
                </w:tcPr>
                <w:p w14:paraId="3B17EBFB">
                  <w:pPr>
                    <w:keepNext w:val="0"/>
                    <w:keepLines w:val="0"/>
                    <w:suppressLineNumbers w:val="0"/>
                    <w:adjustRightInd w:val="0"/>
                    <w:snapToGrid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位于厂区南侧，门式钢架结构，建筑高度5.4m，本项目共设二间速冻间，总建筑面积436m</w:t>
                  </w:r>
                  <w:r>
                    <w:rPr>
                      <w:rFonts w:hint="eastAsia" w:cs="Times New Roman"/>
                      <w:color w:val="auto"/>
                      <w:kern w:val="2"/>
                      <w:sz w:val="21"/>
                      <w:szCs w:val="21"/>
                      <w:highlight w:val="none"/>
                      <w:vertAlign w:val="superscript"/>
                      <w:lang w:val="en-US" w:eastAsia="zh-CN" w:bidi="ar-SA"/>
                    </w:rPr>
                    <w:t>2</w:t>
                  </w:r>
                  <w:r>
                    <w:rPr>
                      <w:rFonts w:hint="eastAsia" w:cs="Times New Roman"/>
                      <w:color w:val="auto"/>
                      <w:kern w:val="2"/>
                      <w:sz w:val="21"/>
                      <w:szCs w:val="21"/>
                      <w:highlight w:val="none"/>
                      <w:lang w:val="en-US" w:eastAsia="zh-CN" w:bidi="ar-SA"/>
                    </w:rPr>
                    <w:t>，用于糯玉米速冻工序，制冷剂采用R404A型号制冷剂。</w:t>
                  </w:r>
                </w:p>
              </w:tc>
              <w:tc>
                <w:tcPr>
                  <w:tcW w:w="539" w:type="pct"/>
                  <w:vAlign w:val="center"/>
                </w:tcPr>
                <w:p w14:paraId="63001B00">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已建成</w:t>
                  </w:r>
                </w:p>
              </w:tc>
            </w:tr>
            <w:tr w14:paraId="3AF026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7" w:type="pct"/>
                  <w:vMerge w:val="continue"/>
                  <w:vAlign w:val="center"/>
                </w:tcPr>
                <w:p w14:paraId="341A8740">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673" w:type="pct"/>
                  <w:vAlign w:val="center"/>
                </w:tcPr>
                <w:p w14:paraId="2C39EC72">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加工间</w:t>
                  </w:r>
                </w:p>
              </w:tc>
              <w:tc>
                <w:tcPr>
                  <w:tcW w:w="3219" w:type="pct"/>
                  <w:vAlign w:val="center"/>
                </w:tcPr>
                <w:p w14:paraId="5C4C1C93">
                  <w:pPr>
                    <w:keepNext w:val="0"/>
                    <w:keepLines w:val="0"/>
                    <w:suppressLineNumbers w:val="0"/>
                    <w:adjustRightInd w:val="0"/>
                    <w:snapToGrid w:val="0"/>
                    <w:spacing w:before="0" w:beforeAutospacing="0" w:after="0" w:afterAutospacing="0"/>
                    <w:ind w:left="0" w:leftChars="0" w:right="0" w:rightChars="0"/>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位于厂房北侧，门式钢架结构，建筑高度5.4m，建筑面积932m</w:t>
                  </w:r>
                  <w:r>
                    <w:rPr>
                      <w:rFonts w:hint="eastAsia" w:cs="Times New Roman"/>
                      <w:color w:val="auto"/>
                      <w:kern w:val="2"/>
                      <w:sz w:val="21"/>
                      <w:szCs w:val="21"/>
                      <w:highlight w:val="none"/>
                      <w:vertAlign w:val="superscript"/>
                      <w:lang w:val="en-US" w:eastAsia="zh-CN" w:bidi="ar-SA"/>
                    </w:rPr>
                    <w:t>2</w:t>
                  </w:r>
                  <w:r>
                    <w:rPr>
                      <w:rFonts w:hint="eastAsia" w:cs="Times New Roman"/>
                      <w:color w:val="auto"/>
                      <w:kern w:val="2"/>
                      <w:sz w:val="21"/>
                      <w:szCs w:val="21"/>
                      <w:highlight w:val="none"/>
                      <w:lang w:val="en-US" w:eastAsia="zh-CN" w:bidi="ar-SA"/>
                    </w:rPr>
                    <w:t>，用于香甜糯玉米灭菌、真空包装、检验等工序生产加工，生产能力为42t/d。</w:t>
                  </w:r>
                </w:p>
              </w:tc>
              <w:tc>
                <w:tcPr>
                  <w:tcW w:w="539" w:type="pct"/>
                  <w:vAlign w:val="center"/>
                </w:tcPr>
                <w:p w14:paraId="49A18182">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已建成</w:t>
                  </w:r>
                </w:p>
              </w:tc>
            </w:tr>
            <w:tr w14:paraId="0F0C10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7" w:type="pct"/>
                  <w:vMerge w:val="continue"/>
                  <w:vAlign w:val="center"/>
                </w:tcPr>
                <w:p w14:paraId="156BD2C3">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673" w:type="pct"/>
                  <w:vAlign w:val="center"/>
                </w:tcPr>
                <w:p w14:paraId="109AACB5">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冷库</w:t>
                  </w:r>
                </w:p>
              </w:tc>
              <w:tc>
                <w:tcPr>
                  <w:tcW w:w="3219" w:type="pct"/>
                  <w:vAlign w:val="center"/>
                </w:tcPr>
                <w:p w14:paraId="2A6B9FD7">
                  <w:pPr>
                    <w:keepNext w:val="0"/>
                    <w:keepLines w:val="0"/>
                    <w:suppressLineNumbers w:val="0"/>
                    <w:adjustRightInd w:val="0"/>
                    <w:snapToGrid w:val="0"/>
                    <w:spacing w:before="0" w:beforeAutospacing="0" w:after="0" w:afterAutospacing="0"/>
                    <w:ind w:left="0" w:leftChars="0" w:right="0" w:rightChars="0"/>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lang w:val="en-US" w:eastAsia="zh-CN" w:bidi="ar-SA"/>
                    </w:rPr>
                    <w:t>位于厂房</w:t>
                  </w:r>
                  <w:r>
                    <w:rPr>
                      <w:rFonts w:hint="eastAsia"/>
                      <w:color w:val="auto"/>
                      <w:szCs w:val="21"/>
                      <w:highlight w:val="none"/>
                      <w:lang w:val="en-US" w:eastAsia="zh-CN"/>
                    </w:rPr>
                    <w:t>西侧，</w:t>
                  </w:r>
                  <w:r>
                    <w:rPr>
                      <w:rFonts w:hint="eastAsia" w:cs="Times New Roman"/>
                      <w:color w:val="auto"/>
                      <w:kern w:val="2"/>
                      <w:sz w:val="21"/>
                      <w:szCs w:val="21"/>
                      <w:highlight w:val="none"/>
                      <w:lang w:val="en-US" w:eastAsia="zh-CN" w:bidi="ar-SA"/>
                    </w:rPr>
                    <w:t>门式钢架结构，建筑高度5.4m，总建筑面积600m</w:t>
                  </w:r>
                  <w:r>
                    <w:rPr>
                      <w:rFonts w:hint="eastAsia" w:cs="Times New Roman"/>
                      <w:color w:val="auto"/>
                      <w:kern w:val="2"/>
                      <w:sz w:val="21"/>
                      <w:szCs w:val="21"/>
                      <w:highlight w:val="none"/>
                      <w:vertAlign w:val="superscript"/>
                      <w:lang w:val="en-US" w:eastAsia="zh-CN" w:bidi="ar-SA"/>
                    </w:rPr>
                    <w:t>2</w:t>
                  </w:r>
                  <w:r>
                    <w:rPr>
                      <w:rFonts w:hint="eastAsia" w:cs="Times New Roman"/>
                      <w:color w:val="auto"/>
                      <w:kern w:val="2"/>
                      <w:sz w:val="21"/>
                      <w:szCs w:val="21"/>
                      <w:highlight w:val="none"/>
                      <w:lang w:val="en-US" w:eastAsia="zh-CN" w:bidi="ar-SA"/>
                    </w:rPr>
                    <w:t>，用于香甜糯玉米灭菌后冷却沥干工序，最大贮存量55t，满足本项目1天生产储存需求。制冷剂采用R404A型号制冷剂。</w:t>
                  </w:r>
                </w:p>
              </w:tc>
              <w:tc>
                <w:tcPr>
                  <w:tcW w:w="539" w:type="pct"/>
                  <w:vAlign w:val="center"/>
                </w:tcPr>
                <w:p w14:paraId="62D2A341">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已建成</w:t>
                  </w:r>
                </w:p>
              </w:tc>
            </w:tr>
            <w:tr w14:paraId="08437F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7" w:type="pct"/>
                  <w:vMerge w:val="restart"/>
                  <w:vAlign w:val="center"/>
                </w:tcPr>
                <w:p w14:paraId="29640314">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储运</w:t>
                  </w:r>
                </w:p>
                <w:p w14:paraId="04F51F2E">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工程</w:t>
                  </w:r>
                </w:p>
              </w:tc>
              <w:tc>
                <w:tcPr>
                  <w:tcW w:w="673" w:type="pct"/>
                  <w:shd w:val="clear" w:color="auto" w:fill="auto"/>
                  <w:vAlign w:val="center"/>
                </w:tcPr>
                <w:p w14:paraId="521A18FC">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仓库</w:t>
                  </w:r>
                </w:p>
              </w:tc>
              <w:tc>
                <w:tcPr>
                  <w:tcW w:w="3219" w:type="pct"/>
                  <w:shd w:val="clear" w:color="auto" w:fill="auto"/>
                  <w:vAlign w:val="center"/>
                </w:tcPr>
                <w:p w14:paraId="06EF5880">
                  <w:pPr>
                    <w:keepNext w:val="0"/>
                    <w:keepLines w:val="0"/>
                    <w:suppressLineNumbers w:val="0"/>
                    <w:adjustRightInd w:val="0"/>
                    <w:snapToGrid w:val="0"/>
                    <w:spacing w:before="0" w:beforeAutospacing="0" w:after="0" w:afterAutospacing="0"/>
                    <w:ind w:left="0" w:leftChars="0" w:right="0" w:rightChars="0"/>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kern w:val="2"/>
                      <w:sz w:val="21"/>
                      <w:szCs w:val="21"/>
                      <w:highlight w:val="none"/>
                      <w:lang w:val="en-US" w:eastAsia="zh-CN" w:bidi="ar-SA"/>
                    </w:rPr>
                    <w:t>共两座，位于厂区东侧</w:t>
                  </w:r>
                  <w:r>
                    <w:rPr>
                      <w:rFonts w:hint="eastAsia"/>
                      <w:color w:val="auto"/>
                      <w:lang w:val="en-US" w:eastAsia="zh-CN"/>
                    </w:rPr>
                    <w:t>和北侧</w:t>
                  </w:r>
                  <w:r>
                    <w:rPr>
                      <w:rFonts w:hint="eastAsia"/>
                      <w:color w:val="auto"/>
                      <w:szCs w:val="21"/>
                      <w:highlight w:val="none"/>
                      <w:lang w:val="en-US" w:eastAsia="zh-CN"/>
                    </w:rPr>
                    <w:t>，</w:t>
                  </w:r>
                  <w:r>
                    <w:rPr>
                      <w:rFonts w:hint="eastAsia" w:cs="Times New Roman"/>
                      <w:color w:val="auto"/>
                      <w:kern w:val="2"/>
                      <w:sz w:val="21"/>
                      <w:szCs w:val="21"/>
                      <w:highlight w:val="none"/>
                      <w:lang w:val="en-US" w:eastAsia="zh-CN" w:bidi="ar-SA"/>
                    </w:rPr>
                    <w:t>门式钢架结构，建筑高度5.4m，建筑面积1536m</w:t>
                  </w:r>
                  <w:r>
                    <w:rPr>
                      <w:rFonts w:hint="eastAsia" w:cs="Times New Roman"/>
                      <w:color w:val="auto"/>
                      <w:kern w:val="2"/>
                      <w:sz w:val="21"/>
                      <w:szCs w:val="21"/>
                      <w:highlight w:val="none"/>
                      <w:vertAlign w:val="superscript"/>
                      <w:lang w:val="en-US" w:eastAsia="zh-CN" w:bidi="ar-SA"/>
                    </w:rPr>
                    <w:t>2</w:t>
                  </w:r>
                  <w:r>
                    <w:rPr>
                      <w:rFonts w:hint="eastAsia" w:cs="Times New Roman"/>
                      <w:color w:val="auto"/>
                      <w:kern w:val="2"/>
                      <w:sz w:val="21"/>
                      <w:szCs w:val="21"/>
                      <w:highlight w:val="none"/>
                      <w:lang w:val="en-US" w:eastAsia="zh-CN" w:bidi="ar-SA"/>
                    </w:rPr>
                    <w:t>，用于产品储存，最大贮存量100t，满足本项目2天生产储存需求。</w:t>
                  </w:r>
                </w:p>
              </w:tc>
              <w:tc>
                <w:tcPr>
                  <w:tcW w:w="539" w:type="pct"/>
                  <w:shd w:val="clear" w:color="auto" w:fill="auto"/>
                  <w:vAlign w:val="center"/>
                </w:tcPr>
                <w:p w14:paraId="1A5ECC4A">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已建成</w:t>
                  </w:r>
                </w:p>
              </w:tc>
            </w:tr>
            <w:tr w14:paraId="138067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7" w:type="pct"/>
                  <w:vMerge w:val="continue"/>
                  <w:vAlign w:val="center"/>
                </w:tcPr>
                <w:p w14:paraId="55BE9652">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673" w:type="pct"/>
                  <w:shd w:val="clear" w:color="auto" w:fill="auto"/>
                  <w:vAlign w:val="center"/>
                </w:tcPr>
                <w:p w14:paraId="4D404BED">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燃料间</w:t>
                  </w:r>
                </w:p>
              </w:tc>
              <w:tc>
                <w:tcPr>
                  <w:tcW w:w="3219" w:type="pct"/>
                  <w:shd w:val="clear" w:color="auto" w:fill="auto"/>
                  <w:vAlign w:val="center"/>
                </w:tcPr>
                <w:p w14:paraId="50D3990D">
                  <w:pPr>
                    <w:keepNext w:val="0"/>
                    <w:keepLines w:val="0"/>
                    <w:suppressLineNumbers w:val="0"/>
                    <w:adjustRightInd w:val="0"/>
                    <w:snapToGrid w:val="0"/>
                    <w:spacing w:before="0" w:beforeAutospacing="0" w:after="0" w:afterAutospacing="0"/>
                    <w:ind w:left="0" w:leftChars="0" w:right="0" w:right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位于锅炉房北侧，钢架结构，建筑高度5m，建筑面积15m</w:t>
                  </w:r>
                  <w:r>
                    <w:rPr>
                      <w:rFonts w:hint="eastAsia"/>
                      <w:color w:val="auto"/>
                      <w:vertAlign w:val="superscript"/>
                      <w:lang w:val="en-US" w:eastAsia="zh-CN"/>
                    </w:rPr>
                    <w:t>2</w:t>
                  </w:r>
                  <w:r>
                    <w:rPr>
                      <w:rFonts w:hint="eastAsia"/>
                      <w:color w:val="auto"/>
                      <w:lang w:val="en-US" w:eastAsia="zh-CN"/>
                    </w:rPr>
                    <w:t>，用于储存生物质成型燃料，最大贮存量20t，满足本项目3天燃料用量。</w:t>
                  </w:r>
                </w:p>
              </w:tc>
              <w:tc>
                <w:tcPr>
                  <w:tcW w:w="539" w:type="pct"/>
                  <w:shd w:val="clear" w:color="auto" w:fill="auto"/>
                  <w:vAlign w:val="center"/>
                </w:tcPr>
                <w:p w14:paraId="43BBDB61">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新建</w:t>
                  </w:r>
                </w:p>
              </w:tc>
            </w:tr>
            <w:tr w14:paraId="65CE5B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7" w:type="pct"/>
                  <w:vMerge w:val="continue"/>
                  <w:vAlign w:val="center"/>
                </w:tcPr>
                <w:p w14:paraId="4298105F">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673" w:type="pct"/>
                  <w:shd w:val="clear" w:color="auto" w:fill="auto"/>
                  <w:vAlign w:val="center"/>
                </w:tcPr>
                <w:p w14:paraId="234373D2">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灰渣间</w:t>
                  </w:r>
                </w:p>
              </w:tc>
              <w:tc>
                <w:tcPr>
                  <w:tcW w:w="3219" w:type="pct"/>
                  <w:shd w:val="clear" w:color="auto" w:fill="auto"/>
                  <w:vAlign w:val="center"/>
                </w:tcPr>
                <w:p w14:paraId="2DAFA540">
                  <w:pPr>
                    <w:keepNext w:val="0"/>
                    <w:keepLines w:val="0"/>
                    <w:suppressLineNumbers w:val="0"/>
                    <w:adjustRightInd w:val="0"/>
                    <w:snapToGrid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位于水房西侧，钢架结构，建筑高度5m，建筑面积15m</w:t>
                  </w:r>
                  <w:r>
                    <w:rPr>
                      <w:rFonts w:hint="eastAsia"/>
                      <w:color w:val="auto"/>
                      <w:vertAlign w:val="superscript"/>
                      <w:lang w:val="en-US" w:eastAsia="zh-CN"/>
                    </w:rPr>
                    <w:t>2</w:t>
                  </w:r>
                  <w:r>
                    <w:rPr>
                      <w:rFonts w:hint="eastAsia"/>
                      <w:color w:val="auto"/>
                      <w:lang w:val="en-US" w:eastAsia="zh-CN"/>
                    </w:rPr>
                    <w:t>，用于储存锅炉灰渣及除尘灰，最大贮存量10t，满足本项目15天锅炉灰渣及除尘灰储存需求。</w:t>
                  </w:r>
                  <w:r>
                    <w:rPr>
                      <w:rFonts w:hint="default"/>
                      <w:color w:val="auto"/>
                      <w:lang w:eastAsia="zh-CN"/>
                    </w:rPr>
                    <w:t>本项目</w:t>
                  </w:r>
                  <w:r>
                    <w:rPr>
                      <w:rFonts w:hint="eastAsia"/>
                      <w:color w:val="auto"/>
                      <w:lang w:val="en-US" w:eastAsia="zh-CN"/>
                    </w:rPr>
                    <w:t>灰渣库</w:t>
                  </w:r>
                  <w:r>
                    <w:rPr>
                      <w:rFonts w:hint="default"/>
                      <w:color w:val="auto"/>
                      <w:lang w:eastAsia="zh-CN"/>
                    </w:rPr>
                    <w:t>内</w:t>
                  </w:r>
                  <w:r>
                    <w:rPr>
                      <w:rFonts w:hint="eastAsia"/>
                      <w:color w:val="auto"/>
                      <w:lang w:val="en-US" w:eastAsia="zh-CN"/>
                    </w:rPr>
                    <w:t>分区存放</w:t>
                  </w:r>
                  <w:r>
                    <w:rPr>
                      <w:rFonts w:hint="default"/>
                      <w:color w:val="auto"/>
                      <w:lang w:eastAsia="zh-CN"/>
                    </w:rPr>
                    <w:t>热风炉渣、布袋除尘器，</w:t>
                  </w:r>
                  <w:r>
                    <w:rPr>
                      <w:rFonts w:hint="eastAsia"/>
                      <w:color w:val="auto"/>
                      <w:lang w:val="en-US" w:eastAsia="zh-CN"/>
                    </w:rPr>
                    <w:t>灰渣库</w:t>
                  </w:r>
                  <w:r>
                    <w:rPr>
                      <w:rFonts w:hint="default"/>
                      <w:color w:val="auto"/>
                      <w:lang w:eastAsia="zh-CN"/>
                    </w:rPr>
                    <w:t>封闭并且定期洒水降尘，储存过程中无粉尘外逸至大气环境。</w:t>
                  </w:r>
                </w:p>
              </w:tc>
              <w:tc>
                <w:tcPr>
                  <w:tcW w:w="539" w:type="pct"/>
                  <w:shd w:val="clear" w:color="auto" w:fill="auto"/>
                  <w:vAlign w:val="center"/>
                </w:tcPr>
                <w:p w14:paraId="4803631A">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新建</w:t>
                  </w:r>
                </w:p>
              </w:tc>
            </w:tr>
            <w:tr w14:paraId="22C05D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7" w:type="pct"/>
                  <w:vMerge w:val="continue"/>
                  <w:vAlign w:val="center"/>
                </w:tcPr>
                <w:p w14:paraId="1729A9C5">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673" w:type="pct"/>
                  <w:shd w:val="clear" w:color="auto" w:fill="auto"/>
                  <w:vAlign w:val="center"/>
                </w:tcPr>
                <w:p w14:paraId="1335DD10">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危废贮存点</w:t>
                  </w:r>
                </w:p>
              </w:tc>
              <w:tc>
                <w:tcPr>
                  <w:tcW w:w="3219" w:type="pct"/>
                  <w:shd w:val="clear" w:color="auto" w:fill="auto"/>
                  <w:vAlign w:val="center"/>
                </w:tcPr>
                <w:p w14:paraId="4F1B2781">
                  <w:pPr>
                    <w:keepNext w:val="0"/>
                    <w:keepLines w:val="0"/>
                    <w:suppressLineNumbers w:val="0"/>
                    <w:adjustRightInd w:val="0"/>
                    <w:snapToGrid w:val="0"/>
                    <w:spacing w:before="0" w:beforeAutospacing="0" w:after="0" w:afterAutospacing="0"/>
                    <w:ind w:left="0" w:leftChars="0" w:right="0" w:rightChars="0"/>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位于厂区东南侧，钢架结构，建筑高度5m，</w:t>
                  </w:r>
                  <w:r>
                    <w:rPr>
                      <w:rFonts w:hint="eastAsia"/>
                      <w:color w:val="auto"/>
                      <w:lang w:val="en-US" w:eastAsia="zh-CN"/>
                    </w:rPr>
                    <w:t>建筑面积10m</w:t>
                  </w:r>
                  <w:r>
                    <w:rPr>
                      <w:rFonts w:hint="eastAsia"/>
                      <w:color w:val="auto"/>
                      <w:vertAlign w:val="superscript"/>
                      <w:lang w:val="en-US" w:eastAsia="zh-CN"/>
                    </w:rPr>
                    <w:t>2</w:t>
                  </w:r>
                  <w:r>
                    <w:rPr>
                      <w:rFonts w:hint="eastAsia"/>
                      <w:color w:val="auto"/>
                      <w:lang w:val="en-US" w:eastAsia="zh-CN"/>
                    </w:rPr>
                    <w:t>，用于贮存废机油，最大贮存量0.5t，可满足本项目1年危险废物贮存需求，本项目危废贮存点</w:t>
                  </w:r>
                  <w:r>
                    <w:rPr>
                      <w:rFonts w:ascii="Times New Roman" w:hAnsi="Times New Roman" w:eastAsia="宋体" w:cs="Times New Roman"/>
                      <w:color w:val="auto"/>
                    </w:rPr>
                    <w:t>严格按照</w:t>
                  </w:r>
                  <w:r>
                    <w:rPr>
                      <w:rFonts w:hint="eastAsia" w:ascii="Times New Roman" w:hAnsi="Times New Roman" w:eastAsia="宋体" w:cs="Times New Roman"/>
                      <w:color w:val="auto"/>
                    </w:rPr>
                    <w:t>《危险废物贮存污染控制标准》（GB18597-2023）</w:t>
                  </w:r>
                  <w:r>
                    <w:rPr>
                      <w:rFonts w:ascii="Times New Roman" w:hAnsi="Times New Roman" w:eastAsia="宋体" w:cs="Times New Roman"/>
                      <w:color w:val="auto"/>
                    </w:rPr>
                    <w:t>的要求进行建设，采用</w:t>
                  </w:r>
                  <w:r>
                    <w:rPr>
                      <w:rFonts w:hint="eastAsia" w:cs="Times New Roman"/>
                      <w:color w:val="auto"/>
                      <w:lang w:val="en-US" w:eastAsia="zh-CN"/>
                    </w:rPr>
                    <w:t>重点</w:t>
                  </w:r>
                  <w:r>
                    <w:rPr>
                      <w:rFonts w:ascii="Times New Roman" w:hAnsi="Times New Roman" w:eastAsia="宋体" w:cs="Times New Roman"/>
                      <w:color w:val="auto"/>
                    </w:rPr>
                    <w:t>防渗，地面与裙脚采用坚固防渗的材料建造，防风、防晒、防雨；基础</w:t>
                  </w:r>
                  <w:r>
                    <w:rPr>
                      <w:rFonts w:hint="eastAsia" w:ascii="Times New Roman" w:hAnsi="Times New Roman" w:eastAsia="宋体" w:cs="Times New Roman"/>
                      <w:color w:val="auto"/>
                    </w:rPr>
                    <w:t>敷设</w:t>
                  </w:r>
                  <w:r>
                    <w:rPr>
                      <w:rFonts w:ascii="Times New Roman" w:hAnsi="Times New Roman" w:eastAsia="宋体" w:cs="Times New Roman"/>
                      <w:color w:val="auto"/>
                    </w:rPr>
                    <w:t>至少2mm厚的高密度聚乙烯防水层，上部敷设10cm厚水泥层，渗透系数应≤1×10</w:t>
                  </w:r>
                  <w:r>
                    <w:rPr>
                      <w:rFonts w:ascii="Times New Roman" w:hAnsi="Times New Roman" w:eastAsia="宋体" w:cs="Times New Roman"/>
                      <w:color w:val="auto"/>
                      <w:vertAlign w:val="superscript"/>
                    </w:rPr>
                    <w:t>-10</w:t>
                  </w:r>
                  <w:r>
                    <w:rPr>
                      <w:rFonts w:ascii="Times New Roman" w:hAnsi="Times New Roman" w:eastAsia="宋体" w:cs="Times New Roman"/>
                      <w:color w:val="auto"/>
                    </w:rPr>
                    <w:t>cm/s，防渗等级需满足《危险废物贮存污染控制标准》（GB18597-2023）的要求</w:t>
                  </w:r>
                  <w:r>
                    <w:rPr>
                      <w:rFonts w:hint="eastAsia" w:ascii="Times New Roman" w:hAnsi="Times New Roman" w:cs="Times New Roman"/>
                      <w:color w:val="auto"/>
                      <w:lang w:eastAsia="zh-CN"/>
                    </w:rPr>
                    <w:t>。</w:t>
                  </w:r>
                </w:p>
              </w:tc>
              <w:tc>
                <w:tcPr>
                  <w:tcW w:w="539" w:type="pct"/>
                  <w:shd w:val="clear" w:color="auto" w:fill="auto"/>
                  <w:vAlign w:val="center"/>
                </w:tcPr>
                <w:p w14:paraId="4307BDC4">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新建</w:t>
                  </w:r>
                </w:p>
              </w:tc>
            </w:tr>
            <w:tr w14:paraId="6E30B7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7" w:type="pct"/>
                  <w:vMerge w:val="restart"/>
                  <w:vAlign w:val="center"/>
                </w:tcPr>
                <w:p w14:paraId="6CEDEB07">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辅助</w:t>
                  </w:r>
                </w:p>
                <w:p w14:paraId="29943137">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工程</w:t>
                  </w:r>
                </w:p>
              </w:tc>
              <w:tc>
                <w:tcPr>
                  <w:tcW w:w="673" w:type="pct"/>
                  <w:shd w:val="clear" w:color="auto" w:fill="auto"/>
                  <w:vAlign w:val="center"/>
                </w:tcPr>
                <w:p w14:paraId="2639888D">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办公室</w:t>
                  </w:r>
                </w:p>
              </w:tc>
              <w:tc>
                <w:tcPr>
                  <w:tcW w:w="3219" w:type="pct"/>
                  <w:shd w:val="clear" w:color="auto" w:fill="auto"/>
                  <w:vAlign w:val="center"/>
                </w:tcPr>
                <w:p w14:paraId="687F8AFE">
                  <w:pPr>
                    <w:keepNext w:val="0"/>
                    <w:keepLines w:val="0"/>
                    <w:suppressLineNumbers w:val="0"/>
                    <w:adjustRightInd w:val="0"/>
                    <w:snapToGrid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位于厂区中部，门式钢架结构，建筑高度3m，建筑面积462m</w:t>
                  </w:r>
                  <w:r>
                    <w:rPr>
                      <w:rFonts w:hint="eastAsia" w:cs="Times New Roman"/>
                      <w:color w:val="auto"/>
                      <w:kern w:val="2"/>
                      <w:sz w:val="21"/>
                      <w:szCs w:val="21"/>
                      <w:highlight w:val="none"/>
                      <w:vertAlign w:val="superscript"/>
                      <w:lang w:val="en-US" w:eastAsia="zh-CN" w:bidi="ar-SA"/>
                    </w:rPr>
                    <w:t>2</w:t>
                  </w:r>
                  <w:r>
                    <w:rPr>
                      <w:rFonts w:hint="eastAsia" w:cs="Times New Roman"/>
                      <w:color w:val="auto"/>
                      <w:kern w:val="2"/>
                      <w:sz w:val="21"/>
                      <w:szCs w:val="21"/>
                      <w:highlight w:val="none"/>
                      <w:lang w:val="en-US" w:eastAsia="zh-CN" w:bidi="ar-SA"/>
                    </w:rPr>
                    <w:t>，用于车间员工办公。</w:t>
                  </w:r>
                </w:p>
              </w:tc>
              <w:tc>
                <w:tcPr>
                  <w:tcW w:w="539" w:type="pct"/>
                  <w:shd w:val="clear" w:color="auto" w:fill="auto"/>
                  <w:vAlign w:val="center"/>
                </w:tcPr>
                <w:p w14:paraId="067162A8">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已建成</w:t>
                  </w:r>
                </w:p>
              </w:tc>
            </w:tr>
            <w:tr w14:paraId="6A0B81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7" w:type="pct"/>
                  <w:vMerge w:val="continue"/>
                  <w:vAlign w:val="center"/>
                </w:tcPr>
                <w:p w14:paraId="4A960AD7">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673" w:type="pct"/>
                  <w:shd w:val="clear" w:color="auto" w:fill="auto"/>
                  <w:vAlign w:val="center"/>
                </w:tcPr>
                <w:p w14:paraId="206884EB">
                  <w:pPr>
                    <w:pStyle w:val="104"/>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水房</w:t>
                  </w:r>
                </w:p>
              </w:tc>
              <w:tc>
                <w:tcPr>
                  <w:tcW w:w="3219" w:type="pct"/>
                  <w:shd w:val="clear" w:color="auto" w:fill="auto"/>
                  <w:vAlign w:val="center"/>
                </w:tcPr>
                <w:p w14:paraId="65D21AED">
                  <w:pPr>
                    <w:pStyle w:val="104"/>
                    <w:keepNext w:val="0"/>
                    <w:keepLines w:val="0"/>
                    <w:suppressLineNumbers w:val="0"/>
                    <w:spacing w:before="0" w:beforeAutospacing="0" w:after="0" w:afterAutospacing="0"/>
                    <w:ind w:left="0" w:leftChars="0" w:right="0" w:rightChars="0"/>
                    <w:jc w:val="both"/>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位于厂区西北侧</w:t>
                  </w:r>
                  <w:r>
                    <w:rPr>
                      <w:rFonts w:hint="eastAsia"/>
                      <w:color w:val="auto"/>
                      <w:szCs w:val="21"/>
                      <w:highlight w:val="none"/>
                      <w:lang w:val="en-US" w:eastAsia="zh-CN"/>
                    </w:rPr>
                    <w:t>，</w:t>
                  </w:r>
                  <w:r>
                    <w:rPr>
                      <w:rFonts w:hint="eastAsia" w:cs="Times New Roman"/>
                      <w:color w:val="auto"/>
                      <w:kern w:val="2"/>
                      <w:sz w:val="21"/>
                      <w:szCs w:val="21"/>
                      <w:highlight w:val="none"/>
                      <w:lang w:val="en-US" w:eastAsia="zh-CN" w:bidi="ar-SA"/>
                    </w:rPr>
                    <w:t>门式钢架结构，建筑高度5.4m，建筑面积60m</w:t>
                  </w:r>
                  <w:r>
                    <w:rPr>
                      <w:rFonts w:hint="eastAsia" w:cs="Times New Roman"/>
                      <w:color w:val="auto"/>
                      <w:kern w:val="2"/>
                      <w:sz w:val="21"/>
                      <w:szCs w:val="21"/>
                      <w:highlight w:val="none"/>
                      <w:vertAlign w:val="superscript"/>
                      <w:lang w:val="en-US" w:eastAsia="zh-CN" w:bidi="ar-SA"/>
                    </w:rPr>
                    <w:t>2</w:t>
                  </w:r>
                  <w:r>
                    <w:rPr>
                      <w:rFonts w:hint="eastAsia" w:cs="Times New Roman"/>
                      <w:color w:val="auto"/>
                      <w:kern w:val="2"/>
                      <w:sz w:val="21"/>
                      <w:szCs w:val="21"/>
                      <w:highlight w:val="none"/>
                      <w:lang w:val="en-US" w:eastAsia="zh-CN" w:bidi="ar-SA"/>
                    </w:rPr>
                    <w:t>，用于车间生产用水软化水的制备，制备工艺为离子交换软化工艺。</w:t>
                  </w:r>
                </w:p>
              </w:tc>
              <w:tc>
                <w:tcPr>
                  <w:tcW w:w="539" w:type="pct"/>
                  <w:shd w:val="clear" w:color="auto" w:fill="auto"/>
                  <w:vAlign w:val="center"/>
                </w:tcPr>
                <w:p w14:paraId="3CADB583">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已建成</w:t>
                  </w:r>
                </w:p>
              </w:tc>
            </w:tr>
            <w:tr w14:paraId="7F4608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7" w:type="pct"/>
                  <w:vMerge w:val="continue"/>
                  <w:vAlign w:val="center"/>
                </w:tcPr>
                <w:p w14:paraId="6E6C2A30">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673" w:type="pct"/>
                  <w:shd w:val="clear" w:color="auto" w:fill="auto"/>
                  <w:vAlign w:val="center"/>
                </w:tcPr>
                <w:p w14:paraId="5EA847ED">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锅炉房</w:t>
                  </w:r>
                </w:p>
              </w:tc>
              <w:tc>
                <w:tcPr>
                  <w:tcW w:w="3219" w:type="pct"/>
                  <w:shd w:val="clear" w:color="auto" w:fill="auto"/>
                  <w:vAlign w:val="center"/>
                </w:tcPr>
                <w:p w14:paraId="7101E675">
                  <w:pPr>
                    <w:keepNext w:val="0"/>
                    <w:keepLines w:val="0"/>
                    <w:suppressLineNumbers w:val="0"/>
                    <w:adjustRightInd w:val="0"/>
                    <w:snapToGrid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位于厂区西北侧</w:t>
                  </w:r>
                  <w:r>
                    <w:rPr>
                      <w:rFonts w:hint="eastAsia"/>
                      <w:color w:val="auto"/>
                      <w:szCs w:val="21"/>
                      <w:highlight w:val="none"/>
                      <w:lang w:val="en-US" w:eastAsia="zh-CN"/>
                    </w:rPr>
                    <w:t>，</w:t>
                  </w:r>
                  <w:r>
                    <w:rPr>
                      <w:rFonts w:hint="eastAsia" w:cs="Times New Roman"/>
                      <w:color w:val="auto"/>
                      <w:kern w:val="2"/>
                      <w:sz w:val="21"/>
                      <w:szCs w:val="21"/>
                      <w:highlight w:val="none"/>
                      <w:lang w:val="en-US" w:eastAsia="zh-CN" w:bidi="ar-SA"/>
                    </w:rPr>
                    <w:t>门式钢架结构，建筑高度5.4m，建筑面积139m</w:t>
                  </w:r>
                  <w:r>
                    <w:rPr>
                      <w:rFonts w:hint="eastAsia" w:cs="Times New Roman"/>
                      <w:color w:val="auto"/>
                      <w:kern w:val="2"/>
                      <w:sz w:val="21"/>
                      <w:szCs w:val="21"/>
                      <w:highlight w:val="none"/>
                      <w:vertAlign w:val="superscript"/>
                      <w:lang w:val="en-US" w:eastAsia="zh-CN" w:bidi="ar-SA"/>
                    </w:rPr>
                    <w:t>2</w:t>
                  </w:r>
                  <w:r>
                    <w:rPr>
                      <w:rFonts w:hint="eastAsia" w:cs="Times New Roman"/>
                      <w:color w:val="auto"/>
                      <w:kern w:val="2"/>
                      <w:sz w:val="21"/>
                      <w:szCs w:val="21"/>
                      <w:highlight w:val="none"/>
                      <w:lang w:val="en-US" w:eastAsia="zh-CN" w:bidi="ar-SA"/>
                    </w:rPr>
                    <w:t>，用于车间生产提供蒸汽，内设1台4t/h燃生物质蒸汽锅炉。</w:t>
                  </w:r>
                </w:p>
              </w:tc>
              <w:tc>
                <w:tcPr>
                  <w:tcW w:w="539" w:type="pct"/>
                  <w:shd w:val="clear" w:color="auto" w:fill="auto"/>
                  <w:vAlign w:val="center"/>
                </w:tcPr>
                <w:p w14:paraId="4DBF8B36">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已建成</w:t>
                  </w:r>
                </w:p>
              </w:tc>
            </w:tr>
            <w:tr w14:paraId="193EAA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67" w:type="pct"/>
                  <w:vMerge w:val="restart"/>
                  <w:vAlign w:val="center"/>
                </w:tcPr>
                <w:p w14:paraId="2645A21B">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公用</w:t>
                  </w:r>
                </w:p>
                <w:p w14:paraId="20E47743">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工程</w:t>
                  </w:r>
                </w:p>
              </w:tc>
              <w:tc>
                <w:tcPr>
                  <w:tcW w:w="673" w:type="pct"/>
                  <w:vAlign w:val="center"/>
                </w:tcPr>
                <w:p w14:paraId="7C3405FC">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供水</w:t>
                  </w:r>
                </w:p>
              </w:tc>
              <w:tc>
                <w:tcPr>
                  <w:tcW w:w="3219" w:type="pct"/>
                  <w:vAlign w:val="center"/>
                </w:tcPr>
                <w:p w14:paraId="25E471F1">
                  <w:pPr>
                    <w:keepNext w:val="0"/>
                    <w:keepLines w:val="0"/>
                    <w:suppressLineNumbers w:val="0"/>
                    <w:adjustRightInd w:val="0"/>
                    <w:snapToGrid w:val="0"/>
                    <w:spacing w:before="0" w:beforeAutospacing="0" w:after="0" w:afterAutospacing="0"/>
                    <w:ind w:left="0" w:right="0"/>
                    <w:rPr>
                      <w:rFonts w:hint="default" w:eastAsia="宋体"/>
                      <w:color w:val="auto"/>
                      <w:szCs w:val="21"/>
                      <w:highlight w:val="none"/>
                      <w:lang w:val="en-US" w:eastAsia="zh-CN"/>
                    </w:rPr>
                  </w:pPr>
                  <w:r>
                    <w:rPr>
                      <w:rFonts w:hint="default" w:eastAsia="宋体"/>
                      <w:color w:val="auto"/>
                      <w:szCs w:val="21"/>
                      <w:highlight w:val="none"/>
                    </w:rPr>
                    <w:t>本项目建设完成后生产用水</w:t>
                  </w:r>
                  <w:r>
                    <w:rPr>
                      <w:rFonts w:hint="eastAsia" w:eastAsia="宋体"/>
                      <w:color w:val="auto"/>
                      <w:szCs w:val="21"/>
                      <w:highlight w:val="none"/>
                    </w:rPr>
                    <w:t>、</w:t>
                  </w:r>
                  <w:r>
                    <w:rPr>
                      <w:rFonts w:hint="default" w:eastAsia="宋体"/>
                      <w:color w:val="auto"/>
                      <w:szCs w:val="21"/>
                      <w:highlight w:val="none"/>
                    </w:rPr>
                    <w:t>项目职工生活用水由</w:t>
                  </w:r>
                  <w:r>
                    <w:rPr>
                      <w:rFonts w:hint="eastAsia"/>
                      <w:color w:val="auto"/>
                      <w:szCs w:val="21"/>
                      <w:highlight w:val="none"/>
                      <w:lang w:val="en-US" w:eastAsia="zh-CN"/>
                    </w:rPr>
                    <w:t>自建深水井提供。本项目总用水量4411.991t/a。</w:t>
                  </w:r>
                </w:p>
              </w:tc>
              <w:tc>
                <w:tcPr>
                  <w:tcW w:w="539" w:type="pct"/>
                  <w:vAlign w:val="center"/>
                </w:tcPr>
                <w:p w14:paraId="5229B766">
                  <w:pPr>
                    <w:keepNext w:val="0"/>
                    <w:keepLines w:val="0"/>
                    <w:suppressLineNumbers w:val="0"/>
                    <w:adjustRightInd w:val="0"/>
                    <w:snapToGrid w:val="0"/>
                    <w:spacing w:before="0" w:beforeAutospacing="0" w:after="0" w:afterAutospacing="0"/>
                    <w:ind w:left="0" w:right="0"/>
                    <w:jc w:val="center"/>
                    <w:rPr>
                      <w:rFonts w:hint="eastAsia" w:eastAsia="宋体"/>
                      <w:color w:val="auto"/>
                      <w:szCs w:val="21"/>
                      <w:highlight w:val="none"/>
                      <w:lang w:val="en-US" w:eastAsia="zh-CN"/>
                    </w:rPr>
                  </w:pPr>
                  <w:r>
                    <w:rPr>
                      <w:rFonts w:hint="eastAsia" w:cs="Times New Roman"/>
                      <w:color w:val="auto"/>
                      <w:kern w:val="2"/>
                      <w:sz w:val="21"/>
                      <w:szCs w:val="21"/>
                      <w:highlight w:val="none"/>
                      <w:lang w:val="en-US" w:eastAsia="zh-CN" w:bidi="ar-SA"/>
                    </w:rPr>
                    <w:t>/</w:t>
                  </w:r>
                </w:p>
              </w:tc>
            </w:tr>
            <w:tr w14:paraId="5A9FAD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7" w:type="pct"/>
                  <w:vMerge w:val="continue"/>
                  <w:vAlign w:val="center"/>
                </w:tcPr>
                <w:p w14:paraId="752F88D2">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673" w:type="pct"/>
                  <w:vAlign w:val="center"/>
                </w:tcPr>
                <w:p w14:paraId="220D25F3">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排水</w:t>
                  </w:r>
                </w:p>
              </w:tc>
              <w:tc>
                <w:tcPr>
                  <w:tcW w:w="3219" w:type="pct"/>
                  <w:vAlign w:val="center"/>
                </w:tcPr>
                <w:p w14:paraId="4677F472">
                  <w:pPr>
                    <w:keepNext w:val="0"/>
                    <w:keepLines w:val="0"/>
                    <w:suppressLineNumbers w:val="0"/>
                    <w:adjustRightInd w:val="0"/>
                    <w:snapToGrid w:val="0"/>
                    <w:spacing w:before="0" w:beforeAutospacing="0" w:after="0" w:afterAutospacing="0"/>
                    <w:ind w:left="0" w:right="0"/>
                    <w:rPr>
                      <w:rFonts w:hint="default" w:eastAsia="宋体"/>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本项目厂区综合废水排入市政管网，经双鸭山市污水处理厂处理达标后排放。本项目总排水量为3174.393t/a。</w:t>
                  </w:r>
                </w:p>
              </w:tc>
              <w:tc>
                <w:tcPr>
                  <w:tcW w:w="539" w:type="pct"/>
                  <w:vAlign w:val="center"/>
                </w:tcPr>
                <w:p w14:paraId="02CE93FE">
                  <w:pPr>
                    <w:keepNext w:val="0"/>
                    <w:keepLines w:val="0"/>
                    <w:suppressLineNumbers w:val="0"/>
                    <w:adjustRightInd w:val="0"/>
                    <w:snapToGrid w:val="0"/>
                    <w:spacing w:before="0" w:beforeAutospacing="0" w:after="0" w:afterAutospacing="0"/>
                    <w:ind w:left="0" w:right="0"/>
                    <w:jc w:val="center"/>
                    <w:rPr>
                      <w:rFonts w:hint="eastAsia" w:eastAsia="宋体"/>
                      <w:color w:val="auto"/>
                      <w:szCs w:val="21"/>
                      <w:highlight w:val="none"/>
                      <w:lang w:eastAsia="zh-CN"/>
                    </w:rPr>
                  </w:pPr>
                  <w:r>
                    <w:rPr>
                      <w:rFonts w:hint="eastAsia" w:cs="Times New Roman"/>
                      <w:color w:val="auto"/>
                      <w:kern w:val="2"/>
                      <w:sz w:val="21"/>
                      <w:szCs w:val="21"/>
                      <w:highlight w:val="none"/>
                      <w:lang w:val="en-US" w:eastAsia="zh-CN" w:bidi="ar-SA"/>
                    </w:rPr>
                    <w:t>/</w:t>
                  </w:r>
                </w:p>
              </w:tc>
            </w:tr>
            <w:tr w14:paraId="0166BC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7" w:type="pct"/>
                  <w:vMerge w:val="continue"/>
                  <w:vAlign w:val="center"/>
                </w:tcPr>
                <w:p w14:paraId="64B30393">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673" w:type="pct"/>
                  <w:vAlign w:val="center"/>
                </w:tcPr>
                <w:p w14:paraId="5643F340">
                  <w:pPr>
                    <w:keepNext w:val="0"/>
                    <w:keepLines w:val="0"/>
                    <w:suppressLineNumbers w:val="0"/>
                    <w:adjustRightInd w:val="0"/>
                    <w:snapToGrid w:val="0"/>
                    <w:spacing w:before="0" w:beforeAutospacing="0" w:after="0" w:afterAutospacing="0"/>
                    <w:ind w:left="0" w:right="0"/>
                    <w:jc w:val="center"/>
                    <w:rPr>
                      <w:rFonts w:hint="eastAsia" w:eastAsia="宋体"/>
                      <w:color w:val="auto"/>
                      <w:szCs w:val="21"/>
                      <w:highlight w:val="none"/>
                      <w:lang w:eastAsia="zh-CN"/>
                    </w:rPr>
                  </w:pPr>
                  <w:r>
                    <w:rPr>
                      <w:rFonts w:hint="default" w:eastAsia="宋体"/>
                      <w:color w:val="auto"/>
                      <w:szCs w:val="21"/>
                      <w:highlight w:val="none"/>
                    </w:rPr>
                    <w:t>供</w:t>
                  </w:r>
                  <w:r>
                    <w:rPr>
                      <w:rFonts w:hint="eastAsia"/>
                      <w:color w:val="auto"/>
                      <w:szCs w:val="21"/>
                      <w:highlight w:val="none"/>
                      <w:lang w:val="en-US" w:eastAsia="zh-CN"/>
                    </w:rPr>
                    <w:t>热</w:t>
                  </w:r>
                </w:p>
              </w:tc>
              <w:tc>
                <w:tcPr>
                  <w:tcW w:w="3219" w:type="pct"/>
                  <w:vAlign w:val="center"/>
                </w:tcPr>
                <w:p w14:paraId="4B8ED714">
                  <w:pPr>
                    <w:keepNext w:val="0"/>
                    <w:keepLines w:val="0"/>
                    <w:suppressLineNumbers w:val="0"/>
                    <w:adjustRightInd w:val="0"/>
                    <w:snapToGrid w:val="0"/>
                    <w:spacing w:before="0" w:beforeAutospacing="0" w:after="0" w:afterAutospacing="0"/>
                    <w:ind w:left="0" w:right="0"/>
                    <w:rPr>
                      <w:rFonts w:hint="default" w:eastAsia="宋体"/>
                      <w:color w:val="auto"/>
                      <w:szCs w:val="21"/>
                      <w:highlight w:val="none"/>
                      <w:lang w:val="en-US" w:eastAsia="zh-CN"/>
                    </w:rPr>
                  </w:pPr>
                  <w:r>
                    <w:rPr>
                      <w:rFonts w:hint="eastAsia" w:cs="Times New Roman"/>
                      <w:color w:val="auto"/>
                      <w:szCs w:val="21"/>
                      <w:highlight w:val="none"/>
                      <w:lang w:val="en-US" w:eastAsia="zh-CN"/>
                    </w:rPr>
                    <w:t>本项目冬季不生产，生产供热由1台4t/h燃生物质蒸汽锅炉提供。</w:t>
                  </w:r>
                </w:p>
              </w:tc>
              <w:tc>
                <w:tcPr>
                  <w:tcW w:w="539" w:type="pct"/>
                  <w:vAlign w:val="center"/>
                </w:tcPr>
                <w:p w14:paraId="2D12F130">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lang w:val="en-US"/>
                    </w:rPr>
                  </w:pPr>
                  <w:r>
                    <w:rPr>
                      <w:rFonts w:hint="eastAsia" w:cs="Times New Roman"/>
                      <w:color w:val="auto"/>
                      <w:kern w:val="2"/>
                      <w:sz w:val="21"/>
                      <w:szCs w:val="21"/>
                      <w:highlight w:val="none"/>
                      <w:lang w:val="en-US" w:eastAsia="zh-CN" w:bidi="ar-SA"/>
                    </w:rPr>
                    <w:t>/</w:t>
                  </w:r>
                </w:p>
              </w:tc>
            </w:tr>
            <w:tr w14:paraId="304E2A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7" w:type="pct"/>
                  <w:vMerge w:val="continue"/>
                  <w:vAlign w:val="center"/>
                </w:tcPr>
                <w:p w14:paraId="0316EAF8">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673" w:type="pct"/>
                  <w:vAlign w:val="center"/>
                </w:tcPr>
                <w:p w14:paraId="1EA51F57">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供电</w:t>
                  </w:r>
                </w:p>
              </w:tc>
              <w:tc>
                <w:tcPr>
                  <w:tcW w:w="3219" w:type="pct"/>
                  <w:vAlign w:val="center"/>
                </w:tcPr>
                <w:p w14:paraId="4162AA25">
                  <w:pPr>
                    <w:keepNext w:val="0"/>
                    <w:keepLines w:val="0"/>
                    <w:suppressLineNumbers w:val="0"/>
                    <w:adjustRightInd w:val="0"/>
                    <w:snapToGrid w:val="0"/>
                    <w:spacing w:before="0" w:beforeAutospacing="0" w:after="0" w:afterAutospacing="0"/>
                    <w:ind w:left="0" w:right="0"/>
                    <w:rPr>
                      <w:rFonts w:hint="default" w:eastAsia="宋体"/>
                      <w:color w:val="auto"/>
                      <w:szCs w:val="21"/>
                      <w:highlight w:val="none"/>
                    </w:rPr>
                  </w:pPr>
                  <w:r>
                    <w:rPr>
                      <w:rFonts w:hint="default" w:ascii="Times New Roman" w:hAnsi="Times New Roman" w:eastAsia="宋体" w:cs="Times New Roman"/>
                      <w:color w:val="auto"/>
                      <w:szCs w:val="21"/>
                      <w:highlight w:val="none"/>
                      <w:lang w:val="en-US" w:eastAsia="zh-CN"/>
                    </w:rPr>
                    <w:t>项目用电由</w:t>
                  </w:r>
                  <w:r>
                    <w:rPr>
                      <w:rFonts w:hint="eastAsia" w:ascii="Times New Roman" w:hAnsi="Times New Roman" w:eastAsia="宋体" w:cs="Times New Roman"/>
                      <w:color w:val="auto"/>
                      <w:szCs w:val="21"/>
                      <w:highlight w:val="none"/>
                      <w:lang w:val="en-US" w:eastAsia="zh-CN"/>
                    </w:rPr>
                    <w:t>当地供电局提供</w:t>
                  </w:r>
                  <w:r>
                    <w:rPr>
                      <w:rFonts w:hint="eastAsia" w:cs="Times New Roman"/>
                      <w:color w:val="auto"/>
                      <w:szCs w:val="21"/>
                      <w:highlight w:val="none"/>
                      <w:lang w:val="en-US" w:eastAsia="zh-CN"/>
                    </w:rPr>
                    <w:t>。</w:t>
                  </w:r>
                </w:p>
              </w:tc>
              <w:tc>
                <w:tcPr>
                  <w:tcW w:w="539" w:type="pct"/>
                  <w:vAlign w:val="center"/>
                </w:tcPr>
                <w:p w14:paraId="6301ADA5">
                  <w:pPr>
                    <w:keepNext w:val="0"/>
                    <w:keepLines w:val="0"/>
                    <w:suppressLineNumbers w:val="0"/>
                    <w:adjustRightInd w:val="0"/>
                    <w:snapToGrid w:val="0"/>
                    <w:spacing w:before="0" w:beforeAutospacing="0" w:after="0" w:afterAutospacing="0"/>
                    <w:ind w:left="0" w:right="0"/>
                    <w:jc w:val="center"/>
                    <w:rPr>
                      <w:rFonts w:hint="eastAsia" w:eastAsia="宋体"/>
                      <w:color w:val="auto"/>
                      <w:szCs w:val="21"/>
                      <w:highlight w:val="none"/>
                      <w:lang w:val="en-US" w:eastAsia="zh-CN"/>
                    </w:rPr>
                  </w:pPr>
                  <w:r>
                    <w:rPr>
                      <w:rFonts w:hint="eastAsia" w:cs="Times New Roman"/>
                      <w:color w:val="auto"/>
                      <w:kern w:val="2"/>
                      <w:sz w:val="21"/>
                      <w:szCs w:val="21"/>
                      <w:highlight w:val="none"/>
                      <w:lang w:val="en-US" w:eastAsia="zh-CN" w:bidi="ar-SA"/>
                    </w:rPr>
                    <w:t>/</w:t>
                  </w:r>
                </w:p>
              </w:tc>
            </w:tr>
            <w:tr w14:paraId="4C8F17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67" w:type="pct"/>
                  <w:vMerge w:val="restart"/>
                  <w:vAlign w:val="center"/>
                </w:tcPr>
                <w:p w14:paraId="26D002B2">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环保</w:t>
                  </w:r>
                </w:p>
                <w:p w14:paraId="6AEA7D1D">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工程</w:t>
                  </w:r>
                </w:p>
              </w:tc>
              <w:tc>
                <w:tcPr>
                  <w:tcW w:w="673" w:type="pct"/>
                  <w:vAlign w:val="center"/>
                </w:tcPr>
                <w:p w14:paraId="57895691">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废气防治</w:t>
                  </w:r>
                </w:p>
                <w:p w14:paraId="56D43AA8">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措施</w:t>
                  </w:r>
                </w:p>
              </w:tc>
              <w:tc>
                <w:tcPr>
                  <w:tcW w:w="3219" w:type="pct"/>
                  <w:vAlign w:val="center"/>
                </w:tcPr>
                <w:p w14:paraId="527C65BB">
                  <w:pPr>
                    <w:keepNext w:val="0"/>
                    <w:keepLines w:val="0"/>
                    <w:suppressLineNumbers w:val="0"/>
                    <w:adjustRightInd w:val="0"/>
                    <w:snapToGrid w:val="0"/>
                    <w:spacing w:before="0" w:beforeAutospacing="0" w:after="0" w:afterAutospacing="0"/>
                    <w:ind w:left="0" w:right="0"/>
                    <w:rPr>
                      <w:rFonts w:hint="eastAsia" w:ascii="Times New Roman" w:hAnsi="Times New Roman" w:eastAsia="宋体" w:cs="Times New Roman"/>
                      <w:color w:val="auto"/>
                      <w:szCs w:val="21"/>
                      <w:highlight w:val="none"/>
                      <w:lang w:val="en-US" w:eastAsia="zh-CN"/>
                    </w:rPr>
                  </w:pPr>
                  <w:r>
                    <w:rPr>
                      <w:rFonts w:hint="default"/>
                      <w:color w:val="auto"/>
                      <w:lang w:eastAsia="zh-CN"/>
                    </w:rPr>
                    <w:t>本项目</w:t>
                  </w:r>
                  <w:r>
                    <w:rPr>
                      <w:rFonts w:hint="eastAsia"/>
                      <w:color w:val="auto"/>
                      <w:lang w:val="en-US" w:eastAsia="zh-CN"/>
                    </w:rPr>
                    <w:t>灰渣库</w:t>
                  </w:r>
                  <w:r>
                    <w:rPr>
                      <w:rFonts w:hint="default"/>
                      <w:color w:val="auto"/>
                      <w:lang w:eastAsia="zh-CN"/>
                    </w:rPr>
                    <w:t>内</w:t>
                  </w:r>
                  <w:r>
                    <w:rPr>
                      <w:rFonts w:hint="eastAsia"/>
                      <w:color w:val="auto"/>
                      <w:lang w:val="en-US" w:eastAsia="zh-CN"/>
                    </w:rPr>
                    <w:t>分区存放</w:t>
                  </w:r>
                  <w:r>
                    <w:rPr>
                      <w:rFonts w:hint="default"/>
                      <w:color w:val="auto"/>
                      <w:lang w:eastAsia="zh-CN"/>
                    </w:rPr>
                    <w:t>热风炉渣、布袋除尘器，</w:t>
                  </w:r>
                  <w:r>
                    <w:rPr>
                      <w:rFonts w:hint="eastAsia"/>
                      <w:color w:val="auto"/>
                      <w:lang w:val="en-US" w:eastAsia="zh-CN"/>
                    </w:rPr>
                    <w:t>灰渣库</w:t>
                  </w:r>
                  <w:r>
                    <w:rPr>
                      <w:rFonts w:hint="default"/>
                      <w:color w:val="auto"/>
                      <w:lang w:eastAsia="zh-CN"/>
                    </w:rPr>
                    <w:t>封闭并且定期洒水降尘，储存过程中无粉尘外逸至大气环境。</w:t>
                  </w:r>
                </w:p>
                <w:p w14:paraId="136A4260">
                  <w:pPr>
                    <w:keepNext w:val="0"/>
                    <w:keepLines w:val="0"/>
                    <w:suppressLineNumbers w:val="0"/>
                    <w:adjustRightInd w:val="0"/>
                    <w:snapToGrid w:val="0"/>
                    <w:spacing w:before="0" w:beforeAutospacing="0" w:after="0" w:afterAutospacing="0"/>
                    <w:ind w:left="0" w:right="0"/>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本项目4t/h燃生物质蒸汽锅</w:t>
                  </w:r>
                  <w:r>
                    <w:rPr>
                      <w:rFonts w:hint="default" w:ascii="Times New Roman" w:hAnsi="Times New Roman" w:eastAsia="宋体" w:cs="Times New Roman"/>
                      <w:color w:val="auto"/>
                      <w:szCs w:val="21"/>
                      <w:highlight w:val="none"/>
                      <w:lang w:val="en-US" w:eastAsia="zh-CN"/>
                    </w:rPr>
                    <w:t>炉</w:t>
                  </w:r>
                  <w:r>
                    <w:rPr>
                      <w:rFonts w:hint="eastAsia" w:ascii="Times New Roman" w:hAnsi="Times New Roman" w:eastAsia="宋体" w:cs="Times New Roman"/>
                      <w:color w:val="auto"/>
                      <w:szCs w:val="21"/>
                      <w:highlight w:val="none"/>
                      <w:lang w:val="en-US" w:eastAsia="zh-CN"/>
                    </w:rPr>
                    <w:t>废气采用</w:t>
                  </w:r>
                  <w:r>
                    <w:rPr>
                      <w:rFonts w:hint="eastAsia" w:cs="Times New Roman"/>
                      <w:color w:val="auto"/>
                      <w:szCs w:val="21"/>
                      <w:highlight w:val="none"/>
                      <w:lang w:val="en-US" w:eastAsia="zh-CN"/>
                    </w:rPr>
                    <w:t>旋风除尘+</w:t>
                  </w:r>
                  <w:r>
                    <w:rPr>
                      <w:rFonts w:hint="eastAsia" w:ascii="Times New Roman" w:hAnsi="Times New Roman" w:eastAsia="宋体" w:cs="Times New Roman"/>
                      <w:color w:val="auto"/>
                      <w:szCs w:val="21"/>
                      <w:highlight w:val="none"/>
                      <w:lang w:val="en-US" w:eastAsia="zh-CN"/>
                    </w:rPr>
                    <w:t>布袋除尘器处理，处理后废气经35m高烟囱（DA001）排放。</w:t>
                  </w:r>
                </w:p>
              </w:tc>
              <w:tc>
                <w:tcPr>
                  <w:tcW w:w="539" w:type="pct"/>
                  <w:vAlign w:val="center"/>
                </w:tcPr>
                <w:p w14:paraId="1696B63E">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eastAsia" w:cs="Times New Roman"/>
                      <w:color w:val="auto"/>
                      <w:kern w:val="2"/>
                      <w:sz w:val="21"/>
                      <w:szCs w:val="21"/>
                      <w:highlight w:val="none"/>
                      <w:lang w:val="en-US" w:eastAsia="zh-CN" w:bidi="ar-SA"/>
                    </w:rPr>
                    <w:t>/</w:t>
                  </w:r>
                </w:p>
              </w:tc>
            </w:tr>
            <w:tr w14:paraId="67F49A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67" w:type="pct"/>
                  <w:vMerge w:val="continue"/>
                  <w:vAlign w:val="center"/>
                </w:tcPr>
                <w:p w14:paraId="2F24B998">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673" w:type="pct"/>
                  <w:vAlign w:val="center"/>
                </w:tcPr>
                <w:p w14:paraId="59AC89A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废水防治</w:t>
                  </w:r>
                </w:p>
                <w:p w14:paraId="611CF95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措施</w:t>
                  </w:r>
                </w:p>
              </w:tc>
              <w:tc>
                <w:tcPr>
                  <w:tcW w:w="3219" w:type="pct"/>
                  <w:vAlign w:val="center"/>
                </w:tcPr>
                <w:p w14:paraId="5169F728">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本项目厂区综合废水排入市政管网，经双鸭山市污水处理厂处理达标后排放。</w:t>
                  </w:r>
                </w:p>
              </w:tc>
              <w:tc>
                <w:tcPr>
                  <w:tcW w:w="539" w:type="pct"/>
                  <w:vAlign w:val="center"/>
                </w:tcPr>
                <w:p w14:paraId="1BA2023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cs="Times New Roman"/>
                      <w:color w:val="auto"/>
                      <w:kern w:val="2"/>
                      <w:sz w:val="21"/>
                      <w:szCs w:val="21"/>
                      <w:highlight w:val="none"/>
                      <w:lang w:val="en-US" w:eastAsia="zh-CN" w:bidi="ar-SA"/>
                    </w:rPr>
                    <w:t>/</w:t>
                  </w:r>
                </w:p>
              </w:tc>
            </w:tr>
            <w:tr w14:paraId="21038E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7" w:type="pct"/>
                  <w:vMerge w:val="continue"/>
                  <w:vAlign w:val="center"/>
                </w:tcPr>
                <w:p w14:paraId="7F4DB015">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673" w:type="pct"/>
                  <w:vAlign w:val="center"/>
                </w:tcPr>
                <w:p w14:paraId="35E08623">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噪声防治</w:t>
                  </w:r>
                </w:p>
                <w:p w14:paraId="4651F5C1">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措施</w:t>
                  </w:r>
                </w:p>
              </w:tc>
              <w:tc>
                <w:tcPr>
                  <w:tcW w:w="3219" w:type="pct"/>
                  <w:vAlign w:val="center"/>
                </w:tcPr>
                <w:p w14:paraId="18185647">
                  <w:pPr>
                    <w:keepNext w:val="0"/>
                    <w:keepLines w:val="0"/>
                    <w:suppressLineNumbers w:val="0"/>
                    <w:adjustRightInd w:val="0"/>
                    <w:snapToGrid w:val="0"/>
                    <w:spacing w:before="0" w:beforeAutospacing="0" w:after="0" w:afterAutospacing="0"/>
                    <w:ind w:left="0" w:right="0"/>
                    <w:rPr>
                      <w:rFonts w:hint="eastAsia" w:eastAsia="宋体"/>
                      <w:color w:val="auto"/>
                      <w:szCs w:val="21"/>
                      <w:highlight w:val="none"/>
                      <w:lang w:eastAsia="zh-CN"/>
                    </w:rPr>
                  </w:pPr>
                  <w:r>
                    <w:rPr>
                      <w:rFonts w:hint="default" w:eastAsia="宋体"/>
                      <w:color w:val="auto"/>
                      <w:szCs w:val="21"/>
                      <w:highlight w:val="none"/>
                    </w:rPr>
                    <w:t>本项目建成后，选用低噪声设备，通过减振、隔声、降噪、加强管理和设备合理布局等措施</w:t>
                  </w:r>
                  <w:r>
                    <w:rPr>
                      <w:rFonts w:hint="eastAsia"/>
                      <w:color w:val="auto"/>
                      <w:szCs w:val="21"/>
                      <w:highlight w:val="none"/>
                      <w:lang w:eastAsia="zh-CN"/>
                    </w:rPr>
                    <w:t>。</w:t>
                  </w:r>
                </w:p>
              </w:tc>
              <w:tc>
                <w:tcPr>
                  <w:tcW w:w="539" w:type="pct"/>
                  <w:vAlign w:val="center"/>
                </w:tcPr>
                <w:p w14:paraId="3EB16DD7">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eastAsia" w:cs="Times New Roman"/>
                      <w:color w:val="auto"/>
                      <w:kern w:val="2"/>
                      <w:sz w:val="21"/>
                      <w:szCs w:val="21"/>
                      <w:highlight w:val="none"/>
                      <w:lang w:val="en-US" w:eastAsia="zh-CN" w:bidi="ar-SA"/>
                    </w:rPr>
                    <w:t>/</w:t>
                  </w:r>
                </w:p>
              </w:tc>
            </w:tr>
            <w:tr w14:paraId="4FF8D0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7" w:type="pct"/>
                  <w:vMerge w:val="continue"/>
                  <w:vAlign w:val="center"/>
                </w:tcPr>
                <w:p w14:paraId="7AFDCA53">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673" w:type="pct"/>
                  <w:vAlign w:val="center"/>
                </w:tcPr>
                <w:p w14:paraId="3586CA7F">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固体废物</w:t>
                  </w:r>
                </w:p>
                <w:p w14:paraId="69D83D1C">
                  <w:pPr>
                    <w:keepNext w:val="0"/>
                    <w:keepLines w:val="0"/>
                    <w:suppressLineNumbers w:val="0"/>
                    <w:adjustRightInd w:val="0"/>
                    <w:snapToGrid w:val="0"/>
                    <w:spacing w:before="0" w:beforeAutospacing="0" w:after="0" w:afterAutospacing="0"/>
                    <w:ind w:left="0" w:right="0"/>
                    <w:rPr>
                      <w:rFonts w:hint="default" w:eastAsia="宋体"/>
                      <w:color w:val="auto"/>
                      <w:szCs w:val="21"/>
                      <w:highlight w:val="none"/>
                    </w:rPr>
                  </w:pPr>
                  <w:r>
                    <w:rPr>
                      <w:rFonts w:hint="default" w:ascii="Times New Roman" w:hAnsi="Times New Roman" w:eastAsia="宋体" w:cs="Times New Roman"/>
                      <w:color w:val="auto"/>
                      <w:szCs w:val="21"/>
                      <w:highlight w:val="none"/>
                    </w:rPr>
                    <w:t>防治措施</w:t>
                  </w:r>
                </w:p>
              </w:tc>
              <w:tc>
                <w:tcPr>
                  <w:tcW w:w="3219" w:type="pct"/>
                  <w:vAlign w:val="center"/>
                </w:tcPr>
                <w:p w14:paraId="5E403C9D">
                  <w:pPr>
                    <w:keepNext w:val="0"/>
                    <w:keepLines w:val="0"/>
                    <w:suppressLineNumbers w:val="0"/>
                    <w:adjustRightInd w:val="0"/>
                    <w:snapToGrid w:val="0"/>
                    <w:spacing w:before="0" w:beforeAutospacing="0" w:after="0" w:afterAutospacing="0"/>
                    <w:ind w:left="0" w:right="0"/>
                    <w:rPr>
                      <w:rFonts w:hint="default" w:eastAsia="宋体"/>
                      <w:color w:val="auto"/>
                      <w:szCs w:val="21"/>
                      <w:highlight w:val="none"/>
                    </w:rPr>
                  </w:pPr>
                  <w:r>
                    <w:rPr>
                      <w:rFonts w:hint="eastAsia" w:cs="Times New Roman" w:eastAsiaTheme="minorEastAsia"/>
                      <w:color w:val="auto"/>
                      <w:kern w:val="0"/>
                      <w:szCs w:val="21"/>
                      <w:lang w:val="en-US" w:eastAsia="zh-CN"/>
                    </w:rPr>
                    <w:t>工艺废料、不合格产品</w:t>
                  </w:r>
                  <w:r>
                    <w:rPr>
                      <w:rFonts w:hint="default" w:ascii="Times New Roman" w:hAnsi="Times New Roman" w:cs="Times New Roman" w:eastAsiaTheme="minorEastAsia"/>
                      <w:color w:val="auto"/>
                      <w:kern w:val="0"/>
                      <w:szCs w:val="21"/>
                      <w:lang w:eastAsia="zh-CN"/>
                    </w:rPr>
                    <w:t>集中收集后</w:t>
                  </w:r>
                  <w:r>
                    <w:rPr>
                      <w:rFonts w:hint="eastAsia" w:cs="Times New Roman"/>
                      <w:color w:val="auto"/>
                      <w:highlight w:val="none"/>
                      <w:lang w:val="en-US" w:eastAsia="zh-CN"/>
                    </w:rPr>
                    <w:t>外售至饲料加工公司；</w:t>
                  </w:r>
                  <w:r>
                    <w:rPr>
                      <w:rFonts w:hint="eastAsia" w:ascii="Times New Roman" w:hAnsi="Times New Roman" w:cs="Times New Roman" w:eastAsiaTheme="minorEastAsia"/>
                      <w:color w:val="auto"/>
                      <w:kern w:val="0"/>
                      <w:szCs w:val="21"/>
                      <w:lang w:eastAsia="zh-CN"/>
                    </w:rPr>
                    <w:t>锅炉除尘灰及锅炉灰渣</w:t>
                  </w:r>
                  <w:r>
                    <w:rPr>
                      <w:rFonts w:hint="eastAsia" w:ascii="Times New Roman" w:hAnsi="Times New Roman" w:eastAsia="宋体" w:cs="Times New Roman"/>
                      <w:color w:val="auto"/>
                      <w:highlight w:val="none"/>
                      <w:lang w:eastAsia="zh-CN"/>
                    </w:rPr>
                    <w:t>定期外售至肥料生产企业</w:t>
                  </w:r>
                  <w:r>
                    <w:rPr>
                      <w:rFonts w:hint="eastAsia" w:cs="Times New Roman" w:eastAsiaTheme="minorEastAsia"/>
                      <w:color w:val="auto"/>
                      <w:szCs w:val="21"/>
                      <w:lang w:eastAsia="zh-CN"/>
                    </w:rPr>
                    <w:t>；</w:t>
                  </w:r>
                  <w:r>
                    <w:rPr>
                      <w:rFonts w:hint="eastAsia" w:ascii="Times New Roman" w:hAnsi="Times New Roman" w:cs="Times New Roman" w:eastAsiaTheme="minorEastAsia"/>
                      <w:color w:val="auto"/>
                      <w:kern w:val="0"/>
                      <w:szCs w:val="21"/>
                      <w:lang w:eastAsia="zh-CN"/>
                    </w:rPr>
                    <w:t>废布袋由</w:t>
                  </w:r>
                  <w:r>
                    <w:rPr>
                      <w:rFonts w:hint="eastAsia" w:ascii="Times New Roman" w:hAnsi="Times New Roman" w:eastAsia="宋体" w:cs="Times New Roman"/>
                      <w:color w:val="auto"/>
                      <w:highlight w:val="none"/>
                      <w:lang w:val="en-US" w:eastAsia="zh-CN"/>
                    </w:rPr>
                    <w:t>除尘器厂家检修后直接带走</w:t>
                  </w:r>
                  <w:r>
                    <w:rPr>
                      <w:rFonts w:hint="eastAsia" w:cs="Times New Roman"/>
                      <w:color w:val="auto"/>
                      <w:highlight w:val="none"/>
                      <w:lang w:val="en-US" w:eastAsia="zh-CN"/>
                    </w:rPr>
                    <w:t>；</w:t>
                  </w:r>
                  <w:r>
                    <w:rPr>
                      <w:rFonts w:hint="eastAsia" w:ascii="Times New Roman" w:hAnsi="Times New Roman" w:cs="Times New Roman" w:eastAsiaTheme="minorEastAsia"/>
                      <w:color w:val="auto"/>
                      <w:kern w:val="0"/>
                      <w:szCs w:val="21"/>
                      <w:lang w:eastAsia="zh-CN"/>
                    </w:rPr>
                    <w:t>废离子交换树脂</w:t>
                  </w:r>
                  <w:r>
                    <w:rPr>
                      <w:rFonts w:hint="default" w:ascii="Times New Roman" w:hAnsi="Times New Roman" w:eastAsia="宋体" w:cs="Times New Roman"/>
                      <w:color w:val="auto"/>
                      <w:highlight w:val="none"/>
                      <w:lang w:val="en-US" w:eastAsia="zh-CN"/>
                    </w:rPr>
                    <w:t>由厂家上门更换，更换后立即外运，不在</w:t>
                  </w:r>
                  <w:r>
                    <w:rPr>
                      <w:rFonts w:hint="eastAsia" w:cs="Times New Roman"/>
                      <w:color w:val="auto"/>
                      <w:highlight w:val="none"/>
                      <w:lang w:val="en-US" w:eastAsia="zh-CN"/>
                    </w:rPr>
                    <w:t>水</w:t>
                  </w:r>
                  <w:r>
                    <w:rPr>
                      <w:rFonts w:hint="default" w:ascii="Times New Roman" w:hAnsi="Times New Roman" w:eastAsia="宋体" w:cs="Times New Roman"/>
                      <w:color w:val="auto"/>
                      <w:highlight w:val="none"/>
                      <w:lang w:val="en-US" w:eastAsia="zh-CN"/>
                    </w:rPr>
                    <w:t>房内存放，由厂家回收再生利用</w:t>
                  </w:r>
                  <w:r>
                    <w:rPr>
                      <w:rFonts w:hint="eastAsia" w:cs="Times New Roman"/>
                      <w:color w:val="auto"/>
                      <w:highlight w:val="none"/>
                      <w:lang w:val="en-US" w:eastAsia="zh-CN"/>
                    </w:rPr>
                    <w:t>；</w:t>
                  </w:r>
                  <w:r>
                    <w:rPr>
                      <w:rFonts w:hint="eastAsia" w:ascii="Times New Roman" w:hAnsi="Times New Roman" w:cs="Times New Roman" w:eastAsiaTheme="minorEastAsia"/>
                      <w:color w:val="auto"/>
                      <w:kern w:val="0"/>
                      <w:szCs w:val="21"/>
                      <w:lang w:eastAsia="zh-CN"/>
                    </w:rPr>
                    <w:t>生活垃圾</w:t>
                  </w:r>
                  <w:r>
                    <w:rPr>
                      <w:rFonts w:hint="default" w:ascii="Times New Roman" w:hAnsi="Times New Roman" w:cs="Times New Roman" w:eastAsiaTheme="minorEastAsia"/>
                      <w:color w:val="auto"/>
                      <w:kern w:val="0"/>
                      <w:szCs w:val="21"/>
                      <w:lang w:eastAsia="zh-CN"/>
                    </w:rPr>
                    <w:t>集中收集后交由市政处理</w:t>
                  </w:r>
                  <w:r>
                    <w:rPr>
                      <w:rFonts w:hint="eastAsia" w:cs="Times New Roman" w:eastAsiaTheme="minorEastAsia"/>
                      <w:color w:val="auto"/>
                      <w:kern w:val="0"/>
                      <w:szCs w:val="21"/>
                      <w:lang w:eastAsia="zh-CN"/>
                    </w:rPr>
                    <w:t>；</w:t>
                  </w:r>
                  <w:r>
                    <w:rPr>
                      <w:rFonts w:hint="eastAsia" w:cs="Times New Roman" w:eastAsiaTheme="minorEastAsia"/>
                      <w:color w:val="auto"/>
                      <w:kern w:val="0"/>
                      <w:szCs w:val="21"/>
                      <w:lang w:val="en-US" w:eastAsia="zh-CN"/>
                    </w:rPr>
                    <w:t>废机油集中收集暂存至危废贮存点，定期委托有资质公司处理</w:t>
                  </w:r>
                  <w:r>
                    <w:rPr>
                      <w:rFonts w:hint="eastAsia" w:cs="Times New Roman" w:eastAsiaTheme="minorEastAsia"/>
                      <w:color w:val="auto"/>
                      <w:kern w:val="0"/>
                      <w:szCs w:val="21"/>
                      <w:lang w:eastAsia="zh-CN"/>
                    </w:rPr>
                    <w:t>。</w:t>
                  </w:r>
                </w:p>
              </w:tc>
              <w:tc>
                <w:tcPr>
                  <w:tcW w:w="539" w:type="pct"/>
                  <w:vAlign w:val="center"/>
                </w:tcPr>
                <w:p w14:paraId="457AE5F9">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eastAsia" w:cs="Times New Roman"/>
                      <w:color w:val="auto"/>
                      <w:kern w:val="2"/>
                      <w:sz w:val="21"/>
                      <w:szCs w:val="21"/>
                      <w:highlight w:val="none"/>
                      <w:lang w:val="en-US" w:eastAsia="zh-CN" w:bidi="ar-SA"/>
                    </w:rPr>
                    <w:t>/</w:t>
                  </w:r>
                </w:p>
              </w:tc>
            </w:tr>
            <w:tr w14:paraId="0871B1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7" w:type="pct"/>
                  <w:vAlign w:val="center"/>
                </w:tcPr>
                <w:p w14:paraId="5231065E">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依托工程</w:t>
                  </w:r>
                </w:p>
              </w:tc>
              <w:tc>
                <w:tcPr>
                  <w:tcW w:w="673" w:type="pct"/>
                  <w:vAlign w:val="center"/>
                </w:tcPr>
                <w:p w14:paraId="2ACBC9EB">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双鸭山市污水处理厂</w:t>
                  </w:r>
                </w:p>
              </w:tc>
              <w:tc>
                <w:tcPr>
                  <w:tcW w:w="3219" w:type="pct"/>
                  <w:vAlign w:val="center"/>
                </w:tcPr>
                <w:p w14:paraId="2B1CDE6B">
                  <w:pPr>
                    <w:keepNext w:val="0"/>
                    <w:keepLines w:val="0"/>
                    <w:suppressLineNumbers w:val="0"/>
                    <w:adjustRightInd w:val="0"/>
                    <w:snapToGrid w:val="0"/>
                    <w:spacing w:before="0" w:beforeAutospacing="0" w:after="0" w:afterAutospacing="0"/>
                    <w:ind w:left="0" w:right="0"/>
                    <w:rPr>
                      <w:rFonts w:hint="eastAsia" w:cs="Times New Roman" w:eastAsiaTheme="minorEastAsia"/>
                      <w:color w:val="auto"/>
                      <w:kern w:val="0"/>
                      <w:szCs w:val="21"/>
                      <w:lang w:val="en-US" w:eastAsia="zh-CN"/>
                    </w:rPr>
                  </w:pPr>
                  <w:r>
                    <w:rPr>
                      <w:rFonts w:hint="eastAsia" w:cs="Times New Roman" w:eastAsiaTheme="minorEastAsia"/>
                      <w:color w:val="auto"/>
                      <w:kern w:val="0"/>
                      <w:szCs w:val="21"/>
                      <w:lang w:val="en-US" w:eastAsia="zh-CN"/>
                    </w:rPr>
                    <w:t>双鸭山市污水处理厂污水处理规模为10万吨/日，处理工艺为A</w:t>
                  </w:r>
                  <w:r>
                    <w:rPr>
                      <w:rFonts w:hint="eastAsia" w:cs="Times New Roman" w:eastAsiaTheme="minorEastAsia"/>
                      <w:color w:val="auto"/>
                      <w:kern w:val="0"/>
                      <w:szCs w:val="21"/>
                      <w:vertAlign w:val="superscript"/>
                      <w:lang w:val="en-US" w:eastAsia="zh-CN"/>
                    </w:rPr>
                    <w:t>2</w:t>
                  </w:r>
                  <w:r>
                    <w:rPr>
                      <w:rFonts w:hint="eastAsia" w:cs="Times New Roman" w:eastAsiaTheme="minorEastAsia"/>
                      <w:color w:val="auto"/>
                      <w:kern w:val="0"/>
                      <w:szCs w:val="21"/>
                      <w:lang w:val="en-US" w:eastAsia="zh-CN"/>
                    </w:rPr>
                    <w:t>/O工艺，出水水质达到《城镇污水处理厂污染物排放标准》中一级A标准。根据2024年排污许可年度执行报告双鸭山市污水处理厂出水稳定达标排放。双鸭山市污水处理厂收水区域为双鸭山市尖山区、岭东区、集贤县福利镇，本项目位于黑龙江省双鸭山市尖山区安邦乡公立村，属于尖山区，在收水范围内，因此依托可行。</w:t>
                  </w:r>
                </w:p>
              </w:tc>
              <w:tc>
                <w:tcPr>
                  <w:tcW w:w="539" w:type="pct"/>
                  <w:vAlign w:val="center"/>
                </w:tcPr>
                <w:p w14:paraId="2CBDD655">
                  <w:pPr>
                    <w:keepNext w:val="0"/>
                    <w:keepLines w:val="0"/>
                    <w:suppressLineNumbers w:val="0"/>
                    <w:adjustRightInd w:val="0"/>
                    <w:snapToGrid w:val="0"/>
                    <w:spacing w:before="0" w:beforeAutospacing="0" w:after="0" w:afterAutospacing="0"/>
                    <w:ind w:left="0" w:right="0"/>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r>
          </w:tbl>
          <w:p w14:paraId="5CFEAA3E">
            <w:pPr>
              <w:keepNext w:val="0"/>
              <w:keepLines w:val="0"/>
              <w:suppressLineNumbers w:val="0"/>
              <w:adjustRightInd w:val="0"/>
              <w:snapToGrid w:val="0"/>
              <w:spacing w:before="0" w:beforeAutospacing="0" w:after="0" w:afterAutospacing="0" w:line="360" w:lineRule="auto"/>
              <w:ind w:left="0" w:right="0" w:firstLine="482" w:firstLineChars="200"/>
              <w:rPr>
                <w:rFonts w:hint="default" w:eastAsia="宋体"/>
                <w:b/>
                <w:color w:val="auto"/>
                <w:sz w:val="24"/>
                <w:highlight w:val="none"/>
              </w:rPr>
            </w:pPr>
            <w:r>
              <w:rPr>
                <w:rFonts w:hint="eastAsia"/>
                <w:b/>
                <w:color w:val="auto"/>
                <w:sz w:val="24"/>
                <w:highlight w:val="none"/>
                <w:lang w:val="en-US" w:eastAsia="zh-CN"/>
              </w:rPr>
              <w:t>3</w:t>
            </w:r>
            <w:r>
              <w:rPr>
                <w:rFonts w:hint="default" w:eastAsia="宋体"/>
                <w:b/>
                <w:color w:val="auto"/>
                <w:sz w:val="24"/>
                <w:highlight w:val="none"/>
              </w:rPr>
              <w:t>、主要原辅材料</w:t>
            </w:r>
          </w:p>
          <w:p w14:paraId="4D19A7A4">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宋体"/>
                <w:b/>
                <w:color w:val="auto"/>
                <w:sz w:val="24"/>
                <w:highlight w:val="none"/>
              </w:rPr>
            </w:pPr>
            <w:r>
              <w:rPr>
                <w:rFonts w:hint="default" w:eastAsia="宋体"/>
                <w:color w:val="auto"/>
                <w:sz w:val="24"/>
                <w:highlight w:val="none"/>
              </w:rPr>
              <w:t>本项目主要原辅材料</w:t>
            </w:r>
            <w:r>
              <w:rPr>
                <w:rFonts w:hint="eastAsia" w:eastAsia="宋体"/>
                <w:color w:val="auto"/>
                <w:sz w:val="24"/>
                <w:highlight w:val="none"/>
                <w:lang w:eastAsia="zh-CN"/>
              </w:rPr>
              <w:t>有：</w:t>
            </w:r>
            <w:r>
              <w:rPr>
                <w:rFonts w:hint="eastAsia"/>
                <w:color w:val="auto"/>
                <w:sz w:val="24"/>
                <w:highlight w:val="none"/>
                <w:lang w:val="en-US" w:eastAsia="zh-CN"/>
              </w:rPr>
              <w:t>糯玉米、</w:t>
            </w:r>
            <w:r>
              <w:rPr>
                <w:rFonts w:hint="eastAsia"/>
                <w:color w:val="auto"/>
                <w:sz w:val="24"/>
                <w:highlight w:val="none"/>
                <w:lang w:eastAsia="zh-CN"/>
              </w:rPr>
              <w:t>包材、</w:t>
            </w:r>
            <w:r>
              <w:rPr>
                <w:rFonts w:hint="eastAsia"/>
                <w:color w:val="auto"/>
                <w:sz w:val="24"/>
                <w:highlight w:val="none"/>
                <w:lang w:val="en-US" w:eastAsia="zh-CN"/>
              </w:rPr>
              <w:t>水</w:t>
            </w:r>
            <w:r>
              <w:rPr>
                <w:rFonts w:hint="eastAsia" w:eastAsia="宋体"/>
                <w:color w:val="auto"/>
                <w:sz w:val="24"/>
                <w:highlight w:val="none"/>
                <w:lang w:eastAsia="zh-CN"/>
              </w:rPr>
              <w:t>等，消耗量详见</w:t>
            </w:r>
            <w:r>
              <w:rPr>
                <w:rFonts w:hint="default" w:eastAsia="宋体"/>
                <w:color w:val="auto"/>
                <w:sz w:val="24"/>
                <w:highlight w:val="none"/>
              </w:rPr>
              <w:t>一览表2-2</w:t>
            </w:r>
            <w:r>
              <w:rPr>
                <w:rFonts w:hint="default" w:eastAsia="宋体"/>
                <w:snapToGrid w:val="0"/>
                <w:color w:val="auto"/>
                <w:kern w:val="0"/>
                <w:sz w:val="24"/>
                <w:highlight w:val="none"/>
              </w:rPr>
              <w:t>。</w:t>
            </w:r>
          </w:p>
          <w:p w14:paraId="599F95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表2-2</w:t>
            </w:r>
            <w:r>
              <w:rPr>
                <w:rFonts w:hint="eastAsia" w:ascii="Times New Roman" w:hAnsi="Times New Roman" w:eastAsia="宋体" w:cs="Times New Roman"/>
                <w:b/>
                <w:color w:val="auto"/>
                <w:sz w:val="21"/>
                <w:szCs w:val="21"/>
                <w:highlight w:val="none"/>
                <w:lang w:val="en-US" w:eastAsia="zh-CN"/>
              </w:rPr>
              <w:t xml:space="preserve">  </w:t>
            </w:r>
            <w:r>
              <w:rPr>
                <w:rFonts w:hint="default" w:ascii="Times New Roman" w:hAnsi="Times New Roman" w:eastAsia="宋体" w:cs="Times New Roman"/>
                <w:b/>
                <w:color w:val="auto"/>
                <w:sz w:val="21"/>
                <w:szCs w:val="21"/>
                <w:highlight w:val="none"/>
              </w:rPr>
              <w:t>主要原辅材料一览表</w:t>
            </w:r>
          </w:p>
          <w:tbl>
            <w:tblPr>
              <w:tblStyle w:val="32"/>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30" w:type="dxa"/>
                <w:bottom w:w="0" w:type="dxa"/>
                <w:right w:w="30" w:type="dxa"/>
              </w:tblCellMar>
            </w:tblPr>
            <w:tblGrid>
              <w:gridCol w:w="667"/>
              <w:gridCol w:w="1068"/>
              <w:gridCol w:w="2747"/>
              <w:gridCol w:w="1721"/>
              <w:gridCol w:w="1094"/>
              <w:gridCol w:w="889"/>
            </w:tblGrid>
            <w:tr w14:paraId="3A5927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30" w:type="dxa"/>
                  <w:bottom w:w="0" w:type="dxa"/>
                  <w:right w:w="30" w:type="dxa"/>
                </w:tblCellMar>
              </w:tblPrEx>
              <w:trPr>
                <w:cantSplit/>
                <w:trHeight w:val="326" w:hRule="atLeast"/>
                <w:jc w:val="center"/>
              </w:trPr>
              <w:tc>
                <w:tcPr>
                  <w:tcW w:w="407" w:type="pct"/>
                  <w:vAlign w:val="center"/>
                </w:tcPr>
                <w:p w14:paraId="142D7BFA">
                  <w:pPr>
                    <w:keepNext w:val="0"/>
                    <w:keepLines w:val="0"/>
                    <w:suppressLineNumbers w:val="0"/>
                    <w:adjustRightInd w:val="0"/>
                    <w:snapToGrid w:val="0"/>
                    <w:spacing w:before="0" w:beforeAutospacing="0" w:after="0" w:afterAutospacing="0"/>
                    <w:ind w:left="0" w:right="0"/>
                    <w:jc w:val="center"/>
                    <w:rPr>
                      <w:rFonts w:hint="default" w:eastAsia="宋体"/>
                      <w:bCs/>
                      <w:snapToGrid w:val="0"/>
                      <w:color w:val="auto"/>
                      <w:szCs w:val="21"/>
                      <w:highlight w:val="none"/>
                    </w:rPr>
                  </w:pPr>
                  <w:r>
                    <w:rPr>
                      <w:rFonts w:hint="default" w:eastAsia="宋体"/>
                      <w:bCs/>
                      <w:snapToGrid w:val="0"/>
                      <w:color w:val="auto"/>
                      <w:szCs w:val="21"/>
                      <w:highlight w:val="none"/>
                    </w:rPr>
                    <w:t>序号</w:t>
                  </w:r>
                </w:p>
              </w:tc>
              <w:tc>
                <w:tcPr>
                  <w:tcW w:w="652" w:type="pct"/>
                  <w:vAlign w:val="center"/>
                </w:tcPr>
                <w:p w14:paraId="7A6C61DE">
                  <w:pPr>
                    <w:keepNext w:val="0"/>
                    <w:keepLines w:val="0"/>
                    <w:suppressLineNumbers w:val="0"/>
                    <w:spacing w:before="0" w:beforeAutospacing="0" w:after="0" w:afterAutospacing="0"/>
                    <w:ind w:left="0" w:right="0"/>
                    <w:jc w:val="center"/>
                    <w:rPr>
                      <w:rFonts w:hint="default" w:eastAsia="宋体"/>
                      <w:bCs/>
                      <w:color w:val="auto"/>
                      <w:szCs w:val="21"/>
                      <w:highlight w:val="none"/>
                    </w:rPr>
                  </w:pPr>
                  <w:r>
                    <w:rPr>
                      <w:rFonts w:hint="default" w:eastAsia="宋体"/>
                      <w:bCs/>
                      <w:color w:val="auto"/>
                      <w:szCs w:val="21"/>
                      <w:highlight w:val="none"/>
                    </w:rPr>
                    <w:t>名称</w:t>
                  </w:r>
                </w:p>
              </w:tc>
              <w:tc>
                <w:tcPr>
                  <w:tcW w:w="1677" w:type="pct"/>
                  <w:vAlign w:val="center"/>
                </w:tcPr>
                <w:p w14:paraId="2C68701E">
                  <w:pPr>
                    <w:keepNext w:val="0"/>
                    <w:keepLines w:val="0"/>
                    <w:suppressLineNumbers w:val="0"/>
                    <w:spacing w:before="0" w:beforeAutospacing="0" w:after="0" w:afterAutospacing="0"/>
                    <w:ind w:left="0" w:right="0"/>
                    <w:jc w:val="center"/>
                    <w:rPr>
                      <w:rFonts w:hint="eastAsia" w:eastAsia="宋体"/>
                      <w:bCs/>
                      <w:color w:val="auto"/>
                      <w:szCs w:val="21"/>
                      <w:highlight w:val="none"/>
                      <w:lang w:eastAsia="zh-CN"/>
                    </w:rPr>
                  </w:pPr>
                  <w:r>
                    <w:rPr>
                      <w:rFonts w:hint="eastAsia"/>
                      <w:bCs/>
                      <w:color w:val="auto"/>
                      <w:szCs w:val="21"/>
                      <w:highlight w:val="none"/>
                      <w:lang w:eastAsia="zh-CN"/>
                    </w:rPr>
                    <w:t>主要成分、规格</w:t>
                  </w:r>
                </w:p>
              </w:tc>
              <w:tc>
                <w:tcPr>
                  <w:tcW w:w="1051" w:type="pct"/>
                  <w:vAlign w:val="center"/>
                </w:tcPr>
                <w:p w14:paraId="56496BF4">
                  <w:pPr>
                    <w:keepNext w:val="0"/>
                    <w:keepLines w:val="0"/>
                    <w:suppressLineNumbers w:val="0"/>
                    <w:spacing w:before="0" w:beforeAutospacing="0" w:after="0" w:afterAutospacing="0"/>
                    <w:ind w:left="0" w:right="0"/>
                    <w:jc w:val="center"/>
                    <w:rPr>
                      <w:rFonts w:hint="eastAsia" w:eastAsia="宋体"/>
                      <w:bCs/>
                      <w:color w:val="auto"/>
                      <w:szCs w:val="21"/>
                      <w:highlight w:val="none"/>
                      <w:lang w:eastAsia="zh-CN"/>
                    </w:rPr>
                  </w:pPr>
                  <w:r>
                    <w:rPr>
                      <w:rFonts w:hint="default" w:eastAsia="宋体"/>
                      <w:bCs/>
                      <w:color w:val="auto"/>
                      <w:szCs w:val="21"/>
                      <w:highlight w:val="none"/>
                    </w:rPr>
                    <w:t>年用量</w:t>
                  </w:r>
                  <w:r>
                    <w:rPr>
                      <w:rFonts w:hint="eastAsia"/>
                      <w:bCs/>
                      <w:color w:val="auto"/>
                      <w:szCs w:val="21"/>
                      <w:highlight w:val="none"/>
                      <w:lang w:eastAsia="zh-CN"/>
                    </w:rPr>
                    <w:t>（</w:t>
                  </w:r>
                  <w:r>
                    <w:rPr>
                      <w:rFonts w:hint="eastAsia"/>
                      <w:bCs/>
                      <w:color w:val="auto"/>
                      <w:szCs w:val="21"/>
                      <w:highlight w:val="none"/>
                      <w:lang w:val="en-US" w:eastAsia="zh-CN"/>
                    </w:rPr>
                    <w:t>t/a</w:t>
                  </w:r>
                  <w:r>
                    <w:rPr>
                      <w:rFonts w:hint="eastAsia"/>
                      <w:bCs/>
                      <w:color w:val="auto"/>
                      <w:szCs w:val="21"/>
                      <w:highlight w:val="none"/>
                      <w:lang w:eastAsia="zh-CN"/>
                    </w:rPr>
                    <w:t>）</w:t>
                  </w:r>
                </w:p>
              </w:tc>
              <w:tc>
                <w:tcPr>
                  <w:tcW w:w="668" w:type="pct"/>
                  <w:vAlign w:val="center"/>
                </w:tcPr>
                <w:p w14:paraId="60F4CD94">
                  <w:pPr>
                    <w:keepNext w:val="0"/>
                    <w:keepLines w:val="0"/>
                    <w:suppressLineNumbers w:val="0"/>
                    <w:spacing w:before="0" w:beforeAutospacing="0" w:after="0" w:afterAutospacing="0"/>
                    <w:ind w:left="0" w:right="0"/>
                    <w:jc w:val="center"/>
                    <w:rPr>
                      <w:rFonts w:hint="eastAsia"/>
                      <w:bCs/>
                      <w:color w:val="auto"/>
                      <w:szCs w:val="21"/>
                      <w:highlight w:val="none"/>
                      <w:lang w:val="en-US" w:eastAsia="zh-CN"/>
                    </w:rPr>
                  </w:pPr>
                  <w:r>
                    <w:rPr>
                      <w:rFonts w:hint="eastAsia"/>
                      <w:bCs/>
                      <w:color w:val="auto"/>
                      <w:szCs w:val="21"/>
                      <w:highlight w:val="none"/>
                      <w:lang w:val="en-US" w:eastAsia="zh-CN"/>
                    </w:rPr>
                    <w:t>最大储量（t/a）</w:t>
                  </w:r>
                </w:p>
              </w:tc>
              <w:tc>
                <w:tcPr>
                  <w:tcW w:w="543" w:type="pct"/>
                  <w:vAlign w:val="center"/>
                </w:tcPr>
                <w:p w14:paraId="7DC1E562">
                  <w:pPr>
                    <w:keepNext w:val="0"/>
                    <w:keepLines w:val="0"/>
                    <w:suppressLineNumbers w:val="0"/>
                    <w:spacing w:before="0" w:beforeAutospacing="0" w:after="0" w:afterAutospacing="0"/>
                    <w:ind w:left="0" w:right="0"/>
                    <w:jc w:val="center"/>
                    <w:rPr>
                      <w:rFonts w:hint="eastAsia" w:eastAsia="宋体"/>
                      <w:bCs/>
                      <w:color w:val="auto"/>
                      <w:szCs w:val="21"/>
                      <w:highlight w:val="none"/>
                      <w:lang w:val="en-US" w:eastAsia="zh-CN"/>
                    </w:rPr>
                  </w:pPr>
                  <w:r>
                    <w:rPr>
                      <w:rFonts w:hint="eastAsia"/>
                      <w:bCs/>
                      <w:color w:val="auto"/>
                      <w:szCs w:val="21"/>
                      <w:highlight w:val="none"/>
                      <w:lang w:val="en-US" w:eastAsia="zh-CN"/>
                    </w:rPr>
                    <w:t>备注</w:t>
                  </w:r>
                </w:p>
              </w:tc>
            </w:tr>
            <w:tr w14:paraId="70C5BBD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30" w:type="dxa"/>
                  <w:bottom w:w="0" w:type="dxa"/>
                  <w:right w:w="30" w:type="dxa"/>
                </w:tblCellMar>
              </w:tblPrEx>
              <w:trPr>
                <w:cantSplit/>
                <w:trHeight w:val="290" w:hRule="atLeast"/>
                <w:jc w:val="center"/>
              </w:trPr>
              <w:tc>
                <w:tcPr>
                  <w:tcW w:w="407" w:type="pct"/>
                  <w:vAlign w:val="center"/>
                </w:tcPr>
                <w:p w14:paraId="6E2A6951">
                  <w:pPr>
                    <w:keepNext w:val="0"/>
                    <w:keepLines w:val="0"/>
                    <w:suppressLineNumbers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1</w:t>
                  </w:r>
                </w:p>
              </w:tc>
              <w:tc>
                <w:tcPr>
                  <w:tcW w:w="652" w:type="pct"/>
                  <w:vAlign w:val="center"/>
                </w:tcPr>
                <w:p w14:paraId="6629707D">
                  <w:pPr>
                    <w:keepNext w:val="0"/>
                    <w:keepLines w:val="0"/>
                    <w:suppressLineNumbers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糯玉米</w:t>
                  </w:r>
                </w:p>
              </w:tc>
              <w:tc>
                <w:tcPr>
                  <w:tcW w:w="1677" w:type="pct"/>
                  <w:vAlign w:val="center"/>
                </w:tcPr>
                <w:p w14:paraId="7798695B">
                  <w:pPr>
                    <w:keepNext w:val="0"/>
                    <w:keepLines w:val="0"/>
                    <w:suppressLineNumbers w:val="0"/>
                    <w:spacing w:before="0" w:beforeAutospacing="0" w:after="0" w:afterAutospacing="0"/>
                    <w:ind w:left="0" w:right="0"/>
                    <w:jc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1051" w:type="pct"/>
                  <w:vAlign w:val="center"/>
                </w:tcPr>
                <w:p w14:paraId="0E9B9ECD">
                  <w:pPr>
                    <w:keepNext w:val="0"/>
                    <w:keepLines w:val="0"/>
                    <w:suppressLineNumbers w:val="0"/>
                    <w:spacing w:before="0" w:beforeAutospacing="0" w:after="0" w:afterAutospacing="0"/>
                    <w:ind w:left="0" w:right="0"/>
                    <w:jc w:val="center"/>
                    <w:rPr>
                      <w:rFonts w:hint="default" w:eastAsia="宋体"/>
                      <w:color w:val="auto"/>
                      <w:highlight w:val="none"/>
                      <w:lang w:val="en-US" w:eastAsia="zh-CN"/>
                    </w:rPr>
                  </w:pPr>
                  <w:r>
                    <w:rPr>
                      <w:rFonts w:hint="eastAsia"/>
                      <w:color w:val="auto"/>
                      <w:highlight w:val="none"/>
                      <w:lang w:val="en-US" w:eastAsia="zh-CN"/>
                    </w:rPr>
                    <w:t>1250</w:t>
                  </w:r>
                </w:p>
              </w:tc>
              <w:tc>
                <w:tcPr>
                  <w:tcW w:w="668" w:type="pct"/>
                  <w:vAlign w:val="center"/>
                </w:tcPr>
                <w:p w14:paraId="1A14B37E">
                  <w:pPr>
                    <w:keepNext w:val="0"/>
                    <w:keepLines w:val="0"/>
                    <w:suppressLineNumbers w:val="0"/>
                    <w:spacing w:before="0" w:beforeAutospacing="0" w:after="0" w:afterAutospacing="0"/>
                    <w:ind w:left="0" w:right="0"/>
                    <w:jc w:val="center"/>
                    <w:rPr>
                      <w:rFonts w:hint="default"/>
                      <w:color w:val="auto"/>
                      <w:highlight w:val="none"/>
                      <w:lang w:val="en-US" w:eastAsia="zh-CN"/>
                    </w:rPr>
                  </w:pPr>
                  <w:r>
                    <w:rPr>
                      <w:rFonts w:hint="eastAsia"/>
                      <w:color w:val="auto"/>
                      <w:highlight w:val="none"/>
                      <w:lang w:val="en-US" w:eastAsia="zh-CN"/>
                    </w:rPr>
                    <w:t>本项目糯玉米不储存</w:t>
                  </w:r>
                </w:p>
              </w:tc>
              <w:tc>
                <w:tcPr>
                  <w:tcW w:w="543" w:type="pct"/>
                  <w:vAlign w:val="center"/>
                </w:tcPr>
                <w:p w14:paraId="7605B0F5">
                  <w:pPr>
                    <w:keepNext w:val="0"/>
                    <w:keepLines w:val="0"/>
                    <w:suppressLineNumbers w:val="0"/>
                    <w:spacing w:before="0" w:beforeAutospacing="0" w:after="0" w:afterAutospacing="0"/>
                    <w:ind w:left="0" w:right="0"/>
                    <w:jc w:val="center"/>
                    <w:rPr>
                      <w:rFonts w:hint="default" w:eastAsia="宋体"/>
                      <w:color w:val="auto"/>
                      <w:highlight w:val="none"/>
                      <w:lang w:val="en-US" w:eastAsia="zh-CN"/>
                    </w:rPr>
                  </w:pPr>
                  <w:r>
                    <w:rPr>
                      <w:rFonts w:hint="eastAsia"/>
                      <w:color w:val="auto"/>
                      <w:highlight w:val="none"/>
                      <w:lang w:val="en-US" w:eastAsia="zh-CN"/>
                    </w:rPr>
                    <w:t>原料</w:t>
                  </w:r>
                </w:p>
              </w:tc>
            </w:tr>
            <w:tr w14:paraId="1BE99E7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30" w:type="dxa"/>
                  <w:bottom w:w="0" w:type="dxa"/>
                  <w:right w:w="30" w:type="dxa"/>
                </w:tblCellMar>
              </w:tblPrEx>
              <w:trPr>
                <w:cantSplit/>
                <w:trHeight w:val="290" w:hRule="atLeast"/>
                <w:jc w:val="center"/>
              </w:trPr>
              <w:tc>
                <w:tcPr>
                  <w:tcW w:w="407" w:type="pct"/>
                  <w:vAlign w:val="center"/>
                </w:tcPr>
                <w:p w14:paraId="52580C23">
                  <w:pPr>
                    <w:keepNext w:val="0"/>
                    <w:keepLines w:val="0"/>
                    <w:suppressLineNumbers w:val="0"/>
                    <w:spacing w:before="0" w:beforeAutospacing="0" w:after="0" w:afterAutospacing="0"/>
                    <w:ind w:left="0" w:right="0"/>
                    <w:jc w:val="center"/>
                    <w:rPr>
                      <w:rFonts w:hint="eastAsia" w:eastAsia="宋体"/>
                      <w:color w:val="auto"/>
                      <w:szCs w:val="21"/>
                      <w:highlight w:val="none"/>
                      <w:lang w:val="en-US" w:eastAsia="zh-CN"/>
                    </w:rPr>
                  </w:pPr>
                  <w:r>
                    <w:rPr>
                      <w:rFonts w:hint="eastAsia" w:eastAsia="宋体"/>
                      <w:color w:val="auto"/>
                      <w:szCs w:val="21"/>
                      <w:highlight w:val="none"/>
                      <w:lang w:val="en-US" w:eastAsia="zh-CN"/>
                    </w:rPr>
                    <w:t>2</w:t>
                  </w:r>
                </w:p>
              </w:tc>
              <w:tc>
                <w:tcPr>
                  <w:tcW w:w="652" w:type="pct"/>
                  <w:vAlign w:val="center"/>
                </w:tcPr>
                <w:p w14:paraId="2A959555">
                  <w:pPr>
                    <w:keepNext w:val="0"/>
                    <w:keepLines w:val="0"/>
                    <w:suppressLineNumbers w:val="0"/>
                    <w:spacing w:before="0" w:beforeAutospacing="0" w:after="0" w:afterAutospacing="0"/>
                    <w:ind w:left="0" w:right="0"/>
                    <w:jc w:val="center"/>
                    <w:rPr>
                      <w:rFonts w:hint="default" w:eastAsia="宋体"/>
                      <w:color w:val="auto"/>
                      <w:highlight w:val="none"/>
                      <w:lang w:val="en-US" w:eastAsia="zh-CN"/>
                    </w:rPr>
                  </w:pPr>
                  <w:r>
                    <w:rPr>
                      <w:rFonts w:hint="eastAsia"/>
                      <w:color w:val="auto"/>
                      <w:highlight w:val="none"/>
                      <w:lang w:val="en-US" w:eastAsia="zh-CN"/>
                    </w:rPr>
                    <w:t>水</w:t>
                  </w:r>
                </w:p>
              </w:tc>
              <w:tc>
                <w:tcPr>
                  <w:tcW w:w="1677" w:type="pct"/>
                  <w:vAlign w:val="center"/>
                </w:tcPr>
                <w:p w14:paraId="42AF6ADA">
                  <w:pPr>
                    <w:keepNext w:val="0"/>
                    <w:keepLines w:val="0"/>
                    <w:suppressLineNumbers w:val="0"/>
                    <w:spacing w:before="0" w:beforeAutospacing="0" w:after="0" w:afterAutospacing="0"/>
                    <w:ind w:left="0" w:right="0"/>
                    <w:jc w:val="center"/>
                    <w:rPr>
                      <w:rFonts w:hint="eastAsia" w:eastAsia="宋体"/>
                      <w:color w:val="auto"/>
                      <w:szCs w:val="21"/>
                      <w:highlight w:val="none"/>
                      <w:lang w:eastAsia="zh-CN"/>
                    </w:rPr>
                  </w:pPr>
                  <w:r>
                    <w:rPr>
                      <w:rFonts w:hint="eastAsia"/>
                      <w:color w:val="auto"/>
                      <w:szCs w:val="21"/>
                      <w:lang w:val="en-US" w:eastAsia="zh-CN"/>
                    </w:rPr>
                    <w:t>地下水</w:t>
                  </w:r>
                </w:p>
              </w:tc>
              <w:tc>
                <w:tcPr>
                  <w:tcW w:w="1051" w:type="pct"/>
                  <w:vAlign w:val="center"/>
                </w:tcPr>
                <w:p w14:paraId="4CA22FDD">
                  <w:pPr>
                    <w:keepNext w:val="0"/>
                    <w:keepLines w:val="0"/>
                    <w:suppressLineNumbers w:val="0"/>
                    <w:spacing w:before="0" w:beforeAutospacing="0" w:after="0" w:afterAutospacing="0"/>
                    <w:ind w:left="0" w:right="0"/>
                    <w:jc w:val="center"/>
                    <w:rPr>
                      <w:rFonts w:hint="default" w:eastAsia="宋体"/>
                      <w:color w:val="auto"/>
                      <w:szCs w:val="21"/>
                      <w:highlight w:val="none"/>
                      <w:lang w:val="en-US" w:eastAsia="zh-CN"/>
                    </w:rPr>
                  </w:pPr>
                  <w:r>
                    <w:rPr>
                      <w:rFonts w:hint="eastAsia" w:ascii="Times New Roman" w:hAnsi="Times New Roman" w:eastAsia="宋体" w:cs="Times New Roman"/>
                      <w:color w:val="auto"/>
                      <w:highlight w:val="none"/>
                      <w:lang w:val="en-US" w:eastAsia="zh-CN"/>
                    </w:rPr>
                    <w:t>524.605</w:t>
                  </w:r>
                </w:p>
              </w:tc>
              <w:tc>
                <w:tcPr>
                  <w:tcW w:w="668" w:type="pct"/>
                  <w:vAlign w:val="center"/>
                </w:tcPr>
                <w:p w14:paraId="00F2A638">
                  <w:pPr>
                    <w:keepNext w:val="0"/>
                    <w:keepLines w:val="0"/>
                    <w:suppressLineNumbers w:val="0"/>
                    <w:spacing w:before="0" w:beforeAutospacing="0" w:after="0" w:afterAutospacing="0"/>
                    <w:ind w:left="0" w:right="0"/>
                    <w:jc w:val="center"/>
                    <w:rPr>
                      <w:rFonts w:hint="default"/>
                      <w:color w:val="auto"/>
                      <w:highlight w:val="none"/>
                      <w:lang w:val="en-US" w:eastAsia="zh-CN"/>
                    </w:rPr>
                  </w:pPr>
                  <w:r>
                    <w:rPr>
                      <w:rFonts w:hint="eastAsia"/>
                      <w:color w:val="auto"/>
                      <w:highlight w:val="none"/>
                      <w:lang w:val="en-US" w:eastAsia="zh-CN"/>
                    </w:rPr>
                    <w:t>/</w:t>
                  </w:r>
                </w:p>
              </w:tc>
              <w:tc>
                <w:tcPr>
                  <w:tcW w:w="543" w:type="pct"/>
                  <w:vAlign w:val="center"/>
                </w:tcPr>
                <w:p w14:paraId="02CAE928">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生产</w:t>
                  </w:r>
                </w:p>
                <w:p w14:paraId="02E51945">
                  <w:pPr>
                    <w:keepNext w:val="0"/>
                    <w:keepLines w:val="0"/>
                    <w:suppressLineNumbers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lang w:val="en-US" w:eastAsia="zh-CN"/>
                    </w:rPr>
                    <w:t>蒸汽</w:t>
                  </w:r>
                </w:p>
              </w:tc>
            </w:tr>
            <w:tr w14:paraId="32C2E0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30" w:type="dxa"/>
                  <w:bottom w:w="0" w:type="dxa"/>
                  <w:right w:w="30" w:type="dxa"/>
                </w:tblCellMar>
              </w:tblPrEx>
              <w:trPr>
                <w:cantSplit/>
                <w:trHeight w:val="369" w:hRule="atLeast"/>
                <w:jc w:val="center"/>
              </w:trPr>
              <w:tc>
                <w:tcPr>
                  <w:tcW w:w="407" w:type="pct"/>
                  <w:vAlign w:val="center"/>
                </w:tcPr>
                <w:p w14:paraId="715136C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3</w:t>
                  </w:r>
                </w:p>
              </w:tc>
              <w:tc>
                <w:tcPr>
                  <w:tcW w:w="652" w:type="pct"/>
                  <w:vAlign w:val="center"/>
                </w:tcPr>
                <w:p w14:paraId="521B2087">
                  <w:pPr>
                    <w:jc w:val="center"/>
                    <w:rPr>
                      <w:rFonts w:hint="default" w:ascii="Times New Roman" w:hAnsi="Times New Roman" w:eastAsia="宋体" w:cs="宋体"/>
                      <w:color w:val="auto"/>
                      <w:kern w:val="2"/>
                      <w:sz w:val="21"/>
                      <w:szCs w:val="21"/>
                      <w:lang w:val="en-US" w:eastAsia="zh-CN" w:bidi="ar-SA"/>
                    </w:rPr>
                  </w:pPr>
                  <w:r>
                    <w:rPr>
                      <w:rFonts w:hint="eastAsia" w:cs="宋体"/>
                      <w:color w:val="auto"/>
                      <w:szCs w:val="21"/>
                    </w:rPr>
                    <w:t>包材</w:t>
                  </w:r>
                </w:p>
              </w:tc>
              <w:tc>
                <w:tcPr>
                  <w:tcW w:w="1677" w:type="pct"/>
                  <w:vAlign w:val="center"/>
                </w:tcPr>
                <w:p w14:paraId="5E1B75EC">
                  <w:pPr>
                    <w:jc w:val="center"/>
                    <w:rPr>
                      <w:rFonts w:hint="default"/>
                      <w:color w:val="auto"/>
                      <w:szCs w:val="21"/>
                      <w:highlight w:val="none"/>
                      <w:lang w:val="en-US" w:eastAsia="zh-CN"/>
                    </w:rPr>
                  </w:pPr>
                  <w:r>
                    <w:rPr>
                      <w:rFonts w:hint="eastAsia" w:cs="宋体"/>
                      <w:color w:val="auto"/>
                      <w:spacing w:val="-9"/>
                      <w:position w:val="2"/>
                      <w:szCs w:val="21"/>
                    </w:rPr>
                    <w:t>纸箱，</w:t>
                  </w:r>
                  <w:r>
                    <w:rPr>
                      <w:rFonts w:hint="eastAsia" w:cs="宋体"/>
                      <w:color w:val="auto"/>
                      <w:spacing w:val="-9"/>
                      <w:position w:val="2"/>
                      <w:szCs w:val="21"/>
                      <w:lang w:val="en-US" w:eastAsia="zh-CN"/>
                    </w:rPr>
                    <w:t>塑封袋</w:t>
                  </w:r>
                  <w:r>
                    <w:rPr>
                      <w:rFonts w:hint="eastAsia" w:cs="宋体"/>
                      <w:color w:val="auto"/>
                      <w:spacing w:val="-9"/>
                      <w:position w:val="2"/>
                      <w:szCs w:val="21"/>
                    </w:rPr>
                    <w:t>等</w:t>
                  </w:r>
                </w:p>
              </w:tc>
              <w:tc>
                <w:tcPr>
                  <w:tcW w:w="1051" w:type="pct"/>
                  <w:vAlign w:val="center"/>
                </w:tcPr>
                <w:p w14:paraId="7CBB0988">
                  <w:pPr>
                    <w:widowControl/>
                    <w:adjustRightInd w:val="0"/>
                    <w:snapToGrid w:val="0"/>
                    <w:spacing w:line="240" w:lineRule="exact"/>
                    <w:jc w:val="center"/>
                    <w:rPr>
                      <w:rFonts w:hint="default" w:ascii="Times New Roman" w:hAnsi="Times New Roman" w:eastAsia="宋体" w:cs="宋体"/>
                      <w:color w:val="auto"/>
                      <w:kern w:val="0"/>
                      <w:sz w:val="21"/>
                      <w:szCs w:val="21"/>
                      <w:lang w:val="en-US" w:eastAsia="zh-CN" w:bidi="ar-SA"/>
                    </w:rPr>
                  </w:pPr>
                  <w:r>
                    <w:rPr>
                      <w:rFonts w:hint="eastAsia" w:cs="宋体"/>
                      <w:color w:val="auto"/>
                      <w:kern w:val="0"/>
                      <w:szCs w:val="21"/>
                      <w:lang w:val="en-US" w:eastAsia="zh-CN"/>
                    </w:rPr>
                    <w:t>112</w:t>
                  </w:r>
                </w:p>
              </w:tc>
              <w:tc>
                <w:tcPr>
                  <w:tcW w:w="668" w:type="pct"/>
                  <w:vAlign w:val="center"/>
                </w:tcPr>
                <w:p w14:paraId="3BB8CF89">
                  <w:pPr>
                    <w:jc w:val="center"/>
                    <w:rPr>
                      <w:rFonts w:hint="default" w:ascii="Times New Roman" w:hAnsi="Times New Roman" w:eastAsia="宋体" w:cs="宋体"/>
                      <w:color w:val="auto"/>
                      <w:kern w:val="2"/>
                      <w:sz w:val="21"/>
                      <w:szCs w:val="21"/>
                      <w:lang w:val="en-US" w:eastAsia="zh-CN" w:bidi="ar-SA"/>
                    </w:rPr>
                  </w:pPr>
                  <w:r>
                    <w:rPr>
                      <w:rFonts w:hint="eastAsia" w:cs="宋体"/>
                      <w:color w:val="auto"/>
                      <w:kern w:val="2"/>
                      <w:sz w:val="21"/>
                      <w:szCs w:val="21"/>
                      <w:lang w:val="en-US" w:eastAsia="zh-CN" w:bidi="ar-SA"/>
                    </w:rPr>
                    <w:t>37</w:t>
                  </w:r>
                </w:p>
              </w:tc>
              <w:tc>
                <w:tcPr>
                  <w:tcW w:w="543" w:type="pct"/>
                  <w:vAlign w:val="center"/>
                </w:tcPr>
                <w:p w14:paraId="06081AC5">
                  <w:pPr>
                    <w:keepNext w:val="0"/>
                    <w:keepLines w:val="0"/>
                    <w:suppressLineNumbers w:val="0"/>
                    <w:spacing w:before="0" w:beforeAutospacing="0" w:after="0" w:afterAutospacing="0"/>
                    <w:ind w:left="0" w:right="0" w:firstLine="0" w:firstLineChars="0"/>
                    <w:jc w:val="center"/>
                    <w:rPr>
                      <w:rFonts w:hint="eastAsia" w:ascii="Times New Roman" w:hAnsi="Times New Roman" w:cs="Times New Roman"/>
                      <w:color w:val="auto"/>
                      <w:highlight w:val="none"/>
                      <w:lang w:val="en-US" w:eastAsia="zh-CN"/>
                    </w:rPr>
                  </w:pPr>
                  <w:r>
                    <w:rPr>
                      <w:rFonts w:hint="eastAsia" w:cs="宋体"/>
                      <w:color w:val="auto"/>
                      <w:spacing w:val="-9"/>
                      <w:position w:val="2"/>
                      <w:szCs w:val="21"/>
                      <w:lang w:val="en-US" w:eastAsia="zh-CN"/>
                    </w:rPr>
                    <w:t>包装</w:t>
                  </w:r>
                </w:p>
              </w:tc>
            </w:tr>
            <w:tr w14:paraId="0AED9C5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30" w:type="dxa"/>
                  <w:bottom w:w="0" w:type="dxa"/>
                  <w:right w:w="30" w:type="dxa"/>
                </w:tblCellMar>
              </w:tblPrEx>
              <w:trPr>
                <w:cantSplit/>
                <w:trHeight w:val="369" w:hRule="atLeast"/>
                <w:jc w:val="center"/>
              </w:trPr>
              <w:tc>
                <w:tcPr>
                  <w:tcW w:w="407" w:type="pct"/>
                  <w:vAlign w:val="center"/>
                </w:tcPr>
                <w:p w14:paraId="248A1E15">
                  <w:pPr>
                    <w:keepNext w:val="0"/>
                    <w:keepLines w:val="0"/>
                    <w:suppressLineNumbers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4</w:t>
                  </w:r>
                </w:p>
              </w:tc>
              <w:tc>
                <w:tcPr>
                  <w:tcW w:w="652" w:type="pct"/>
                  <w:vAlign w:val="center"/>
                </w:tcPr>
                <w:p w14:paraId="66038961">
                  <w:pPr>
                    <w:jc w:val="center"/>
                    <w:rPr>
                      <w:rFonts w:hint="eastAsia" w:ascii="Times New Roman" w:hAnsi="Times New Roman" w:eastAsia="宋体" w:cs="宋体"/>
                      <w:color w:val="auto"/>
                      <w:kern w:val="2"/>
                      <w:sz w:val="21"/>
                      <w:szCs w:val="21"/>
                      <w:lang w:val="en-US" w:eastAsia="zh-CN" w:bidi="ar-SA"/>
                    </w:rPr>
                  </w:pPr>
                  <w:r>
                    <w:rPr>
                      <w:rFonts w:hint="eastAsia"/>
                      <w:color w:val="auto"/>
                      <w:szCs w:val="21"/>
                      <w:highlight w:val="none"/>
                      <w:lang w:val="en-US" w:eastAsia="zh-CN"/>
                    </w:rPr>
                    <w:t>制冷剂R404A</w:t>
                  </w:r>
                </w:p>
              </w:tc>
              <w:tc>
                <w:tcPr>
                  <w:tcW w:w="1677" w:type="pct"/>
                  <w:vAlign w:val="center"/>
                </w:tcPr>
                <w:p w14:paraId="2A85FE14">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051" w:type="pct"/>
                  <w:vAlign w:val="center"/>
                </w:tcPr>
                <w:p w14:paraId="071B2522">
                  <w:pPr>
                    <w:widowControl/>
                    <w:adjustRightInd w:val="0"/>
                    <w:snapToGrid w:val="0"/>
                    <w:spacing w:line="240" w:lineRule="exact"/>
                    <w:jc w:val="center"/>
                    <w:rPr>
                      <w:rFonts w:hint="default" w:ascii="Times New Roman" w:hAnsi="Times New Roman" w:eastAsia="宋体" w:cs="宋体"/>
                      <w:color w:val="auto"/>
                      <w:kern w:val="0"/>
                      <w:sz w:val="21"/>
                      <w:szCs w:val="21"/>
                      <w:lang w:val="en-US" w:eastAsia="zh-CN" w:bidi="ar-SA"/>
                    </w:rPr>
                  </w:pPr>
                  <w:r>
                    <w:rPr>
                      <w:rFonts w:hint="eastAsia" w:cs="宋体"/>
                      <w:color w:val="auto"/>
                      <w:kern w:val="0"/>
                      <w:szCs w:val="21"/>
                      <w:lang w:val="en-US" w:eastAsia="zh-CN"/>
                    </w:rPr>
                    <w:t>6</w:t>
                  </w:r>
                </w:p>
              </w:tc>
              <w:tc>
                <w:tcPr>
                  <w:tcW w:w="668" w:type="pct"/>
                  <w:vAlign w:val="center"/>
                </w:tcPr>
                <w:p w14:paraId="0715D1C7">
                  <w:pPr>
                    <w:jc w:val="center"/>
                    <w:rPr>
                      <w:rFonts w:hint="default" w:ascii="Times New Roman" w:hAnsi="Times New Roman" w:eastAsia="宋体" w:cs="宋体"/>
                      <w:color w:val="auto"/>
                      <w:kern w:val="2"/>
                      <w:sz w:val="21"/>
                      <w:szCs w:val="21"/>
                      <w:lang w:val="en-US" w:eastAsia="zh-CN" w:bidi="ar-SA"/>
                    </w:rPr>
                  </w:pPr>
                  <w:r>
                    <w:rPr>
                      <w:rFonts w:hint="eastAsia" w:cs="宋体"/>
                      <w:color w:val="auto"/>
                      <w:kern w:val="2"/>
                      <w:sz w:val="21"/>
                      <w:szCs w:val="21"/>
                      <w:lang w:val="en-US" w:eastAsia="zh-CN" w:bidi="ar-SA"/>
                    </w:rPr>
                    <w:t>2</w:t>
                  </w:r>
                </w:p>
              </w:tc>
              <w:tc>
                <w:tcPr>
                  <w:tcW w:w="543" w:type="pct"/>
                  <w:vAlign w:val="center"/>
                </w:tcPr>
                <w:p w14:paraId="19A1F6BE">
                  <w:pPr>
                    <w:keepNext w:val="0"/>
                    <w:keepLines w:val="0"/>
                    <w:suppressLineNumbers w:val="0"/>
                    <w:spacing w:before="0" w:beforeAutospacing="0" w:after="0" w:afterAutospacing="0"/>
                    <w:ind w:left="0" w:leftChars="0" w:right="0" w:rightChars="0" w:firstLine="0" w:firstLineChars="0"/>
                    <w:jc w:val="center"/>
                    <w:rPr>
                      <w:rFonts w:hint="eastAsia" w:ascii="Times New Roman" w:hAnsi="Times New Roman" w:eastAsia="宋体" w:cs="Times New Roman"/>
                      <w:color w:val="auto"/>
                      <w:kern w:val="2"/>
                      <w:sz w:val="21"/>
                      <w:szCs w:val="24"/>
                      <w:highlight w:val="none"/>
                      <w:lang w:val="en-US" w:eastAsia="zh-CN" w:bidi="ar-SA"/>
                    </w:rPr>
                  </w:pPr>
                  <w:r>
                    <w:rPr>
                      <w:rFonts w:hint="eastAsia" w:cs="宋体"/>
                      <w:color w:val="auto"/>
                      <w:spacing w:val="-9"/>
                      <w:kern w:val="2"/>
                      <w:position w:val="2"/>
                      <w:sz w:val="21"/>
                      <w:szCs w:val="21"/>
                      <w:lang w:val="en-US" w:eastAsia="zh-CN" w:bidi="ar-SA"/>
                    </w:rPr>
                    <w:t>制冷</w:t>
                  </w:r>
                </w:p>
              </w:tc>
            </w:tr>
            <w:tr w14:paraId="2DD087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30" w:type="dxa"/>
                  <w:bottom w:w="0" w:type="dxa"/>
                  <w:right w:w="30" w:type="dxa"/>
                </w:tblCellMar>
              </w:tblPrEx>
              <w:trPr>
                <w:cantSplit/>
                <w:trHeight w:val="369" w:hRule="atLeast"/>
                <w:jc w:val="center"/>
              </w:trPr>
              <w:tc>
                <w:tcPr>
                  <w:tcW w:w="407" w:type="pct"/>
                  <w:vAlign w:val="center"/>
                </w:tcPr>
                <w:p w14:paraId="240AF5A9">
                  <w:pPr>
                    <w:keepNext w:val="0"/>
                    <w:keepLines w:val="0"/>
                    <w:suppressLineNumbers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5</w:t>
                  </w:r>
                </w:p>
              </w:tc>
              <w:tc>
                <w:tcPr>
                  <w:tcW w:w="652" w:type="pct"/>
                  <w:vAlign w:val="center"/>
                </w:tcPr>
                <w:p w14:paraId="26774CEC">
                  <w:pPr>
                    <w:jc w:val="center"/>
                    <w:rPr>
                      <w:rFonts w:hint="default" w:eastAsia="宋体" w:cs="宋体"/>
                      <w:color w:val="auto"/>
                      <w:szCs w:val="21"/>
                      <w:lang w:val="en-US" w:eastAsia="zh-CN"/>
                    </w:rPr>
                  </w:pPr>
                  <w:r>
                    <w:rPr>
                      <w:rFonts w:hint="eastAsia" w:cs="宋体"/>
                      <w:color w:val="auto"/>
                      <w:szCs w:val="21"/>
                      <w:lang w:val="en-US" w:eastAsia="zh-CN"/>
                    </w:rPr>
                    <w:t>离子交换树脂</w:t>
                  </w:r>
                </w:p>
              </w:tc>
              <w:tc>
                <w:tcPr>
                  <w:tcW w:w="1677" w:type="pct"/>
                  <w:vAlign w:val="center"/>
                </w:tcPr>
                <w:p w14:paraId="700D5EE7">
                  <w:pPr>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051" w:type="pct"/>
                  <w:vAlign w:val="center"/>
                </w:tcPr>
                <w:p w14:paraId="559CBD26">
                  <w:pPr>
                    <w:widowControl/>
                    <w:adjustRightInd w:val="0"/>
                    <w:snapToGrid w:val="0"/>
                    <w:spacing w:line="240" w:lineRule="exact"/>
                    <w:jc w:val="center"/>
                    <w:rPr>
                      <w:rFonts w:hint="default" w:cs="宋体"/>
                      <w:color w:val="auto"/>
                      <w:kern w:val="0"/>
                      <w:szCs w:val="21"/>
                      <w:lang w:val="en-US" w:eastAsia="zh-CN"/>
                    </w:rPr>
                  </w:pPr>
                  <w:r>
                    <w:rPr>
                      <w:rFonts w:hint="eastAsia" w:cs="宋体"/>
                      <w:color w:val="auto"/>
                      <w:kern w:val="0"/>
                      <w:szCs w:val="21"/>
                      <w:lang w:val="en-US" w:eastAsia="zh-CN"/>
                    </w:rPr>
                    <w:t>0.5</w:t>
                  </w:r>
                </w:p>
              </w:tc>
              <w:tc>
                <w:tcPr>
                  <w:tcW w:w="668" w:type="pct"/>
                  <w:vAlign w:val="center"/>
                </w:tcPr>
                <w:p w14:paraId="0BF7F4C2">
                  <w:pPr>
                    <w:jc w:val="center"/>
                    <w:rPr>
                      <w:rFonts w:hint="default" w:cs="宋体"/>
                      <w:color w:val="auto"/>
                      <w:kern w:val="2"/>
                      <w:sz w:val="21"/>
                      <w:szCs w:val="21"/>
                      <w:lang w:val="en-US" w:eastAsia="zh-CN" w:bidi="ar-SA"/>
                    </w:rPr>
                  </w:pPr>
                  <w:r>
                    <w:rPr>
                      <w:rFonts w:hint="eastAsia" w:cs="宋体"/>
                      <w:color w:val="auto"/>
                      <w:kern w:val="2"/>
                      <w:sz w:val="21"/>
                      <w:szCs w:val="21"/>
                      <w:lang w:val="en-US" w:eastAsia="zh-CN" w:bidi="ar-SA"/>
                    </w:rPr>
                    <w:t>0.2</w:t>
                  </w:r>
                </w:p>
              </w:tc>
              <w:tc>
                <w:tcPr>
                  <w:tcW w:w="543" w:type="pct"/>
                  <w:vAlign w:val="center"/>
                </w:tcPr>
                <w:p w14:paraId="70DC8813">
                  <w:pPr>
                    <w:keepNext w:val="0"/>
                    <w:keepLines w:val="0"/>
                    <w:suppressLineNumbers w:val="0"/>
                    <w:spacing w:before="0" w:beforeAutospacing="0" w:after="0" w:afterAutospacing="0"/>
                    <w:ind w:left="0" w:leftChars="0" w:right="0" w:rightChars="0" w:firstLine="0" w:firstLineChars="0"/>
                    <w:jc w:val="center"/>
                    <w:rPr>
                      <w:rFonts w:hint="default" w:cs="宋体"/>
                      <w:color w:val="auto"/>
                      <w:spacing w:val="-9"/>
                      <w:kern w:val="2"/>
                      <w:position w:val="2"/>
                      <w:sz w:val="21"/>
                      <w:szCs w:val="21"/>
                      <w:lang w:val="en-US" w:eastAsia="zh-CN" w:bidi="ar-SA"/>
                    </w:rPr>
                  </w:pPr>
                  <w:r>
                    <w:rPr>
                      <w:rFonts w:hint="eastAsia" w:cs="宋体"/>
                      <w:color w:val="auto"/>
                      <w:spacing w:val="-9"/>
                      <w:kern w:val="2"/>
                      <w:position w:val="2"/>
                      <w:sz w:val="21"/>
                      <w:szCs w:val="21"/>
                      <w:lang w:val="en-US" w:eastAsia="zh-CN" w:bidi="ar-SA"/>
                    </w:rPr>
                    <w:t>软化水制备</w:t>
                  </w:r>
                </w:p>
              </w:tc>
            </w:tr>
            <w:tr w14:paraId="32B7319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30" w:type="dxa"/>
                  <w:bottom w:w="0" w:type="dxa"/>
                  <w:right w:w="30" w:type="dxa"/>
                </w:tblCellMar>
              </w:tblPrEx>
              <w:trPr>
                <w:cantSplit/>
                <w:trHeight w:val="369" w:hRule="atLeast"/>
                <w:jc w:val="center"/>
              </w:trPr>
              <w:tc>
                <w:tcPr>
                  <w:tcW w:w="407" w:type="pct"/>
                  <w:vAlign w:val="center"/>
                </w:tcPr>
                <w:p w14:paraId="66CE5B67">
                  <w:pPr>
                    <w:keepNext w:val="0"/>
                    <w:keepLines w:val="0"/>
                    <w:suppressLineNumbers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6</w:t>
                  </w:r>
                </w:p>
              </w:tc>
              <w:tc>
                <w:tcPr>
                  <w:tcW w:w="652" w:type="pct"/>
                  <w:vAlign w:val="center"/>
                </w:tcPr>
                <w:p w14:paraId="6B27CDFF">
                  <w:pPr>
                    <w:jc w:val="center"/>
                    <w:rPr>
                      <w:rFonts w:hint="default" w:cs="宋体"/>
                      <w:color w:val="auto"/>
                      <w:szCs w:val="21"/>
                      <w:lang w:val="en-US" w:eastAsia="zh-CN"/>
                    </w:rPr>
                  </w:pPr>
                  <w:r>
                    <w:rPr>
                      <w:rFonts w:hint="eastAsia" w:cs="宋体"/>
                      <w:color w:val="auto"/>
                      <w:szCs w:val="21"/>
                      <w:lang w:val="en-US" w:eastAsia="zh-CN"/>
                    </w:rPr>
                    <w:t>机油</w:t>
                  </w:r>
                </w:p>
              </w:tc>
              <w:tc>
                <w:tcPr>
                  <w:tcW w:w="1677" w:type="pct"/>
                  <w:vAlign w:val="center"/>
                </w:tcPr>
                <w:p w14:paraId="7CB72290">
                  <w:pPr>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051" w:type="pct"/>
                  <w:vAlign w:val="center"/>
                </w:tcPr>
                <w:p w14:paraId="063EE413">
                  <w:pPr>
                    <w:widowControl/>
                    <w:adjustRightInd w:val="0"/>
                    <w:snapToGrid w:val="0"/>
                    <w:spacing w:line="240" w:lineRule="exact"/>
                    <w:jc w:val="center"/>
                    <w:rPr>
                      <w:rFonts w:hint="default" w:cs="宋体"/>
                      <w:color w:val="auto"/>
                      <w:kern w:val="0"/>
                      <w:szCs w:val="21"/>
                      <w:lang w:val="en-US" w:eastAsia="zh-CN"/>
                    </w:rPr>
                  </w:pPr>
                  <w:r>
                    <w:rPr>
                      <w:rFonts w:hint="eastAsia" w:cs="宋体"/>
                      <w:color w:val="auto"/>
                      <w:kern w:val="0"/>
                      <w:szCs w:val="21"/>
                      <w:lang w:val="en-US" w:eastAsia="zh-CN"/>
                    </w:rPr>
                    <w:t>0.1</w:t>
                  </w:r>
                </w:p>
              </w:tc>
              <w:tc>
                <w:tcPr>
                  <w:tcW w:w="668" w:type="pct"/>
                  <w:vAlign w:val="center"/>
                </w:tcPr>
                <w:p w14:paraId="0478CF06">
                  <w:pPr>
                    <w:jc w:val="center"/>
                    <w:rPr>
                      <w:rFonts w:hint="default" w:cs="宋体"/>
                      <w:color w:val="auto"/>
                      <w:kern w:val="2"/>
                      <w:sz w:val="21"/>
                      <w:szCs w:val="21"/>
                      <w:lang w:val="en-US" w:eastAsia="zh-CN" w:bidi="ar-SA"/>
                    </w:rPr>
                  </w:pPr>
                  <w:r>
                    <w:rPr>
                      <w:rFonts w:hint="eastAsia" w:cs="宋体"/>
                      <w:color w:val="auto"/>
                      <w:kern w:val="2"/>
                      <w:sz w:val="21"/>
                      <w:szCs w:val="21"/>
                      <w:lang w:val="en-US" w:eastAsia="zh-CN" w:bidi="ar-SA"/>
                    </w:rPr>
                    <w:t>/</w:t>
                  </w:r>
                </w:p>
              </w:tc>
              <w:tc>
                <w:tcPr>
                  <w:tcW w:w="543" w:type="pct"/>
                  <w:vAlign w:val="center"/>
                </w:tcPr>
                <w:p w14:paraId="6C1AFC65">
                  <w:pPr>
                    <w:keepNext w:val="0"/>
                    <w:keepLines w:val="0"/>
                    <w:suppressLineNumbers w:val="0"/>
                    <w:spacing w:before="0" w:beforeAutospacing="0" w:after="0" w:afterAutospacing="0"/>
                    <w:ind w:left="0" w:leftChars="0" w:right="0" w:rightChars="0" w:firstLine="0" w:firstLineChars="0"/>
                    <w:jc w:val="center"/>
                    <w:rPr>
                      <w:rFonts w:hint="default" w:cs="宋体"/>
                      <w:color w:val="auto"/>
                      <w:spacing w:val="-9"/>
                      <w:kern w:val="2"/>
                      <w:position w:val="2"/>
                      <w:sz w:val="21"/>
                      <w:szCs w:val="21"/>
                      <w:lang w:val="en-US" w:eastAsia="zh-CN" w:bidi="ar-SA"/>
                    </w:rPr>
                  </w:pPr>
                  <w:r>
                    <w:rPr>
                      <w:rFonts w:hint="eastAsia" w:cs="宋体"/>
                      <w:color w:val="auto"/>
                      <w:spacing w:val="-9"/>
                      <w:kern w:val="2"/>
                      <w:position w:val="2"/>
                      <w:sz w:val="21"/>
                      <w:szCs w:val="21"/>
                      <w:lang w:val="en-US" w:eastAsia="zh-CN" w:bidi="ar-SA"/>
                    </w:rPr>
                    <w:t>设备维修和保养</w:t>
                  </w:r>
                </w:p>
              </w:tc>
            </w:tr>
          </w:tbl>
          <w:p w14:paraId="388D86EA">
            <w:pPr>
              <w:keepNext w:val="0"/>
              <w:keepLines w:val="0"/>
              <w:suppressLineNumbers w:val="0"/>
              <w:adjustRightInd w:val="0"/>
              <w:snapToGrid w:val="0"/>
              <w:spacing w:before="0" w:beforeAutospacing="0" w:after="0" w:afterAutospacing="0" w:line="360" w:lineRule="auto"/>
              <w:ind w:left="0" w:right="0" w:firstLine="482" w:firstLineChars="200"/>
              <w:rPr>
                <w:rFonts w:hint="default" w:eastAsia="宋体"/>
                <w:color w:val="auto"/>
                <w:sz w:val="24"/>
                <w:highlight w:val="none"/>
              </w:rPr>
            </w:pPr>
            <w:r>
              <w:rPr>
                <w:rFonts w:hint="eastAsia"/>
                <w:b/>
                <w:color w:val="auto"/>
                <w:sz w:val="24"/>
                <w:highlight w:val="none"/>
                <w:lang w:val="en-US" w:eastAsia="zh-CN"/>
              </w:rPr>
              <w:t>4</w:t>
            </w:r>
            <w:r>
              <w:rPr>
                <w:rFonts w:hint="default" w:eastAsia="宋体"/>
                <w:b/>
                <w:color w:val="auto"/>
                <w:sz w:val="24"/>
                <w:highlight w:val="none"/>
              </w:rPr>
              <w:t>、主要产品方案</w:t>
            </w:r>
          </w:p>
          <w:p w14:paraId="7656EC4F">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宋体"/>
                <w:color w:val="auto"/>
                <w:sz w:val="24"/>
                <w:highlight w:val="none"/>
              </w:rPr>
            </w:pPr>
            <w:r>
              <w:rPr>
                <w:rFonts w:hint="eastAsia" w:eastAsia="宋体"/>
                <w:color w:val="auto"/>
                <w:sz w:val="24"/>
                <w:highlight w:val="none"/>
                <w:lang w:eastAsia="zh-CN"/>
              </w:rPr>
              <w:t>本项目</w:t>
            </w:r>
            <w:r>
              <w:rPr>
                <w:rFonts w:hint="default" w:eastAsia="宋体"/>
                <w:color w:val="auto"/>
                <w:sz w:val="24"/>
                <w:highlight w:val="none"/>
              </w:rPr>
              <w:t>主要</w:t>
            </w:r>
            <w:r>
              <w:rPr>
                <w:rFonts w:hint="eastAsia"/>
                <w:color w:val="auto"/>
                <w:sz w:val="24"/>
                <w:highlight w:val="none"/>
                <w:lang w:eastAsia="zh-CN"/>
              </w:rPr>
              <w:t>产品有：</w:t>
            </w:r>
            <w:r>
              <w:rPr>
                <w:rFonts w:hint="eastAsia"/>
                <w:color w:val="auto"/>
                <w:sz w:val="24"/>
                <w:highlight w:val="none"/>
                <w:lang w:val="en-US" w:eastAsia="zh-CN"/>
              </w:rPr>
              <w:t>真空玉米</w:t>
            </w:r>
            <w:r>
              <w:rPr>
                <w:rFonts w:hint="eastAsia" w:eastAsia="宋体"/>
                <w:color w:val="auto"/>
                <w:sz w:val="24"/>
                <w:highlight w:val="none"/>
                <w:lang w:eastAsia="zh-CN"/>
              </w:rPr>
              <w:t>，项目建成后</w:t>
            </w:r>
            <w:r>
              <w:rPr>
                <w:rFonts w:hint="eastAsia"/>
                <w:color w:val="auto"/>
                <w:sz w:val="24"/>
                <w:highlight w:val="none"/>
                <w:lang w:eastAsia="zh-CN"/>
              </w:rPr>
              <w:t>年</w:t>
            </w:r>
            <w:r>
              <w:rPr>
                <w:rFonts w:hint="eastAsia" w:eastAsia="宋体"/>
                <w:color w:val="auto"/>
                <w:sz w:val="24"/>
                <w:highlight w:val="none"/>
                <w:lang w:eastAsia="zh-CN"/>
              </w:rPr>
              <w:t>生产</w:t>
            </w:r>
            <w:r>
              <w:rPr>
                <w:rFonts w:hint="eastAsia"/>
                <w:color w:val="auto"/>
                <w:sz w:val="24"/>
                <w:highlight w:val="none"/>
                <w:lang w:val="en-US" w:eastAsia="zh-CN"/>
              </w:rPr>
              <w:t>真空玉米1200吨</w:t>
            </w:r>
            <w:r>
              <w:rPr>
                <w:rFonts w:hint="eastAsia" w:eastAsia="宋体"/>
                <w:color w:val="auto"/>
                <w:sz w:val="24"/>
                <w:highlight w:val="none"/>
                <w:lang w:val="en-US" w:eastAsia="zh-CN"/>
              </w:rPr>
              <w:t>，主要产品</w:t>
            </w:r>
            <w:r>
              <w:rPr>
                <w:rFonts w:hint="default" w:eastAsia="宋体"/>
                <w:color w:val="auto"/>
                <w:sz w:val="24"/>
                <w:highlight w:val="none"/>
              </w:rPr>
              <w:t>见表2-</w:t>
            </w:r>
            <w:r>
              <w:rPr>
                <w:rFonts w:hint="eastAsia"/>
                <w:color w:val="auto"/>
                <w:sz w:val="24"/>
                <w:highlight w:val="none"/>
                <w:lang w:val="en-US" w:eastAsia="zh-CN"/>
              </w:rPr>
              <w:t>3，物料平衡见表2-4</w:t>
            </w:r>
            <w:r>
              <w:rPr>
                <w:rFonts w:hint="default" w:eastAsia="宋体"/>
                <w:color w:val="auto"/>
                <w:sz w:val="24"/>
                <w:highlight w:val="none"/>
              </w:rPr>
              <w:t>。</w:t>
            </w:r>
          </w:p>
          <w:p w14:paraId="62E0DC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表2-</w:t>
            </w:r>
            <w:r>
              <w:rPr>
                <w:rFonts w:hint="eastAsia" w:ascii="Times New Roman" w:hAnsi="Times New Roman" w:eastAsia="宋体" w:cs="Times New Roman"/>
                <w:b/>
                <w:color w:val="auto"/>
                <w:sz w:val="21"/>
                <w:szCs w:val="21"/>
                <w:highlight w:val="none"/>
                <w:lang w:val="en-US" w:eastAsia="zh-CN"/>
              </w:rPr>
              <w:t xml:space="preserve">3  </w:t>
            </w:r>
            <w:r>
              <w:rPr>
                <w:rFonts w:hint="default" w:ascii="Times New Roman" w:hAnsi="Times New Roman" w:eastAsia="宋体" w:cs="Times New Roman"/>
                <w:b/>
                <w:color w:val="auto"/>
                <w:sz w:val="21"/>
                <w:szCs w:val="21"/>
                <w:highlight w:val="none"/>
                <w:lang w:val="en-US" w:eastAsia="zh-CN"/>
              </w:rPr>
              <w:t>主要产品方案表</w:t>
            </w:r>
          </w:p>
          <w:tbl>
            <w:tblPr>
              <w:tblStyle w:val="32"/>
              <w:tblW w:w="498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30"/>
              <w:gridCol w:w="3974"/>
              <w:gridCol w:w="3254"/>
            </w:tblGrid>
            <w:tr w14:paraId="3F2A5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70" w:type="pct"/>
                  <w:tcBorders>
                    <w:top w:val="single" w:color="auto" w:sz="12" w:space="0"/>
                    <w:left w:val="nil"/>
                    <w:bottom w:val="single" w:color="auto" w:sz="4" w:space="0"/>
                    <w:right w:val="single" w:color="auto" w:sz="4" w:space="0"/>
                  </w:tcBorders>
                  <w:vAlign w:val="center"/>
                </w:tcPr>
                <w:p w14:paraId="18C024D9">
                  <w:pPr>
                    <w:jc w:val="center"/>
                    <w:rPr>
                      <w:rFonts w:hint="default" w:cs="宋体"/>
                      <w:color w:val="auto"/>
                      <w:szCs w:val="21"/>
                    </w:rPr>
                  </w:pPr>
                  <w:r>
                    <w:rPr>
                      <w:rFonts w:hint="default" w:cs="宋体"/>
                      <w:color w:val="auto"/>
                      <w:szCs w:val="21"/>
                    </w:rPr>
                    <w:t>序号</w:t>
                  </w:r>
                </w:p>
              </w:tc>
              <w:tc>
                <w:tcPr>
                  <w:tcW w:w="2435" w:type="pct"/>
                  <w:tcBorders>
                    <w:top w:val="single" w:color="auto" w:sz="12" w:space="0"/>
                    <w:left w:val="single" w:color="auto" w:sz="4" w:space="0"/>
                    <w:bottom w:val="single" w:color="auto" w:sz="4" w:space="0"/>
                    <w:right w:val="single" w:color="auto" w:sz="4" w:space="0"/>
                  </w:tcBorders>
                  <w:vAlign w:val="center"/>
                </w:tcPr>
                <w:p w14:paraId="5D5E532C">
                  <w:pPr>
                    <w:jc w:val="center"/>
                    <w:rPr>
                      <w:rFonts w:hint="default" w:cs="宋体"/>
                      <w:color w:val="auto"/>
                      <w:szCs w:val="21"/>
                    </w:rPr>
                  </w:pPr>
                  <w:r>
                    <w:rPr>
                      <w:rFonts w:hint="default" w:cs="宋体"/>
                      <w:color w:val="auto"/>
                      <w:szCs w:val="21"/>
                    </w:rPr>
                    <w:t>产品名称</w:t>
                  </w:r>
                </w:p>
              </w:tc>
              <w:tc>
                <w:tcPr>
                  <w:tcW w:w="1993" w:type="pct"/>
                  <w:tcBorders>
                    <w:top w:val="single" w:color="auto" w:sz="12" w:space="0"/>
                    <w:left w:val="single" w:color="auto" w:sz="4" w:space="0"/>
                    <w:bottom w:val="single" w:color="auto" w:sz="4" w:space="0"/>
                    <w:right w:val="nil"/>
                  </w:tcBorders>
                  <w:vAlign w:val="center"/>
                </w:tcPr>
                <w:p w14:paraId="7EBD7622">
                  <w:pPr>
                    <w:jc w:val="center"/>
                    <w:rPr>
                      <w:rFonts w:hint="default" w:cs="宋体"/>
                      <w:color w:val="auto"/>
                      <w:szCs w:val="21"/>
                    </w:rPr>
                  </w:pPr>
                  <w:r>
                    <w:rPr>
                      <w:rFonts w:hint="default" w:cs="宋体"/>
                      <w:color w:val="auto"/>
                      <w:szCs w:val="21"/>
                    </w:rPr>
                    <w:t>年产量</w:t>
                  </w:r>
                  <w:r>
                    <w:rPr>
                      <w:rFonts w:hint="eastAsia" w:cs="宋体"/>
                      <w:color w:val="auto"/>
                      <w:szCs w:val="21"/>
                      <w:lang w:eastAsia="zh-CN"/>
                    </w:rPr>
                    <w:t>（</w:t>
                  </w:r>
                  <w:r>
                    <w:rPr>
                      <w:rFonts w:hint="eastAsia" w:cs="宋体"/>
                      <w:color w:val="auto"/>
                      <w:szCs w:val="21"/>
                      <w:lang w:val="en-US" w:eastAsia="zh-CN"/>
                    </w:rPr>
                    <w:t>t</w:t>
                  </w:r>
                  <w:r>
                    <w:rPr>
                      <w:rFonts w:hint="eastAsia" w:cs="宋体"/>
                      <w:color w:val="auto"/>
                      <w:szCs w:val="21"/>
                      <w:lang w:eastAsia="zh-CN"/>
                    </w:rPr>
                    <w:t>）</w:t>
                  </w:r>
                </w:p>
              </w:tc>
            </w:tr>
            <w:tr w14:paraId="11E14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70" w:type="pct"/>
                  <w:tcBorders>
                    <w:top w:val="single" w:color="auto" w:sz="4" w:space="0"/>
                    <w:left w:val="nil"/>
                    <w:bottom w:val="single" w:color="auto" w:sz="4" w:space="0"/>
                    <w:right w:val="single" w:color="auto" w:sz="4" w:space="0"/>
                  </w:tcBorders>
                  <w:vAlign w:val="center"/>
                </w:tcPr>
                <w:p w14:paraId="23B93D12">
                  <w:pPr>
                    <w:jc w:val="center"/>
                    <w:rPr>
                      <w:rFonts w:hint="default" w:cs="宋体"/>
                      <w:color w:val="auto"/>
                      <w:szCs w:val="21"/>
                    </w:rPr>
                  </w:pPr>
                  <w:r>
                    <w:rPr>
                      <w:rFonts w:hint="default" w:cs="宋体"/>
                      <w:color w:val="auto"/>
                      <w:szCs w:val="21"/>
                    </w:rPr>
                    <w:t>1</w:t>
                  </w:r>
                </w:p>
              </w:tc>
              <w:tc>
                <w:tcPr>
                  <w:tcW w:w="2435" w:type="pct"/>
                  <w:tcBorders>
                    <w:top w:val="single" w:color="auto" w:sz="4" w:space="0"/>
                    <w:left w:val="single" w:color="auto" w:sz="4" w:space="0"/>
                    <w:bottom w:val="single" w:color="auto" w:sz="4" w:space="0"/>
                    <w:right w:val="single" w:color="auto" w:sz="4" w:space="0"/>
                  </w:tcBorders>
                  <w:vAlign w:val="center"/>
                </w:tcPr>
                <w:p w14:paraId="17DAEC6D">
                  <w:pPr>
                    <w:jc w:val="center"/>
                    <w:rPr>
                      <w:rFonts w:hint="eastAsia" w:cs="宋体"/>
                      <w:color w:val="auto"/>
                      <w:szCs w:val="21"/>
                      <w:lang w:eastAsia="zh-CN"/>
                    </w:rPr>
                  </w:pPr>
                  <w:r>
                    <w:rPr>
                      <w:rFonts w:hint="eastAsia"/>
                      <w:color w:val="auto"/>
                      <w:sz w:val="24"/>
                      <w:highlight w:val="none"/>
                      <w:lang w:val="en-US" w:eastAsia="zh-CN"/>
                    </w:rPr>
                    <w:t>真空玉米</w:t>
                  </w:r>
                </w:p>
              </w:tc>
              <w:tc>
                <w:tcPr>
                  <w:tcW w:w="1993" w:type="pct"/>
                  <w:tcBorders>
                    <w:top w:val="single" w:color="auto" w:sz="4" w:space="0"/>
                    <w:left w:val="single" w:color="auto" w:sz="4" w:space="0"/>
                    <w:bottom w:val="single" w:color="auto" w:sz="4" w:space="0"/>
                    <w:right w:val="nil"/>
                  </w:tcBorders>
                  <w:vAlign w:val="center"/>
                </w:tcPr>
                <w:p w14:paraId="3F3F9E93">
                  <w:pPr>
                    <w:jc w:val="center"/>
                    <w:rPr>
                      <w:rFonts w:hint="default" w:cs="宋体"/>
                      <w:color w:val="auto"/>
                      <w:szCs w:val="21"/>
                      <w:lang w:val="en-US" w:eastAsia="zh-CN"/>
                    </w:rPr>
                  </w:pPr>
                  <w:r>
                    <w:rPr>
                      <w:rFonts w:hint="eastAsia" w:cs="宋体"/>
                      <w:color w:val="auto"/>
                      <w:szCs w:val="21"/>
                      <w:lang w:val="en-US" w:eastAsia="zh-CN"/>
                    </w:rPr>
                    <w:t>1200</w:t>
                  </w:r>
                </w:p>
              </w:tc>
            </w:tr>
          </w:tbl>
          <w:p w14:paraId="2B5A845A">
            <w:pPr>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b/>
                <w:color w:val="auto"/>
                <w:sz w:val="21"/>
                <w:szCs w:val="21"/>
                <w:highlight w:val="none"/>
                <w:lang w:val="en-US" w:eastAsia="zh-CN"/>
              </w:rPr>
              <w:t>表2-</w:t>
            </w:r>
            <w:r>
              <w:rPr>
                <w:rFonts w:hint="eastAsia" w:ascii="Times New Roman" w:hAnsi="Times New Roman" w:eastAsia="宋体" w:cs="Times New Roman"/>
                <w:b/>
                <w:color w:val="auto"/>
                <w:sz w:val="21"/>
                <w:szCs w:val="21"/>
                <w:highlight w:val="none"/>
                <w:lang w:val="en-US" w:eastAsia="zh-CN"/>
              </w:rPr>
              <w:t>4  物料平衡情况一览表</w:t>
            </w:r>
          </w:p>
          <w:tbl>
            <w:tblPr>
              <w:tblStyle w:val="3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47"/>
              <w:gridCol w:w="2047"/>
              <w:gridCol w:w="2047"/>
              <w:gridCol w:w="2049"/>
            </w:tblGrid>
            <w:tr w14:paraId="33D72D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45A63EE7">
                  <w:pPr>
                    <w:pStyle w:val="1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highlight w:val="none"/>
                      <w:vertAlign w:val="baseline"/>
                      <w:lang w:eastAsia="zh-CN"/>
                    </w:rPr>
                  </w:pPr>
                  <w:r>
                    <w:rPr>
                      <w:rFonts w:hint="eastAsia" w:cs="Times New Roman"/>
                      <w:color w:val="auto"/>
                      <w:sz w:val="24"/>
                      <w:highlight w:val="none"/>
                      <w:vertAlign w:val="baseline"/>
                      <w:lang w:eastAsia="zh-CN"/>
                    </w:rPr>
                    <w:t>原料</w:t>
                  </w:r>
                </w:p>
              </w:tc>
              <w:tc>
                <w:tcPr>
                  <w:tcW w:w="1249" w:type="pct"/>
                  <w:tcBorders>
                    <w:tl2br w:val="nil"/>
                    <w:tr2bl w:val="nil"/>
                  </w:tcBorders>
                  <w:vAlign w:val="center"/>
                </w:tcPr>
                <w:p w14:paraId="258BE652">
                  <w:pPr>
                    <w:pStyle w:val="1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highlight w:val="none"/>
                      <w:vertAlign w:val="baseline"/>
                      <w:lang w:eastAsia="zh-CN"/>
                    </w:rPr>
                  </w:pPr>
                  <w:r>
                    <w:rPr>
                      <w:rFonts w:hint="eastAsia" w:cs="Times New Roman"/>
                      <w:color w:val="auto"/>
                      <w:sz w:val="24"/>
                      <w:highlight w:val="none"/>
                      <w:vertAlign w:val="baseline"/>
                      <w:lang w:eastAsia="zh-CN"/>
                    </w:rPr>
                    <w:t>年用量（</w:t>
                  </w:r>
                  <w:r>
                    <w:rPr>
                      <w:rFonts w:hint="eastAsia" w:cs="Times New Roman"/>
                      <w:color w:val="auto"/>
                      <w:sz w:val="24"/>
                      <w:highlight w:val="none"/>
                      <w:vertAlign w:val="baseline"/>
                      <w:lang w:val="en-US" w:eastAsia="zh-CN"/>
                    </w:rPr>
                    <w:t>t</w:t>
                  </w:r>
                  <w:r>
                    <w:rPr>
                      <w:rFonts w:hint="eastAsia" w:cs="Times New Roman"/>
                      <w:color w:val="auto"/>
                      <w:sz w:val="24"/>
                      <w:highlight w:val="none"/>
                      <w:vertAlign w:val="baseline"/>
                      <w:lang w:eastAsia="zh-CN"/>
                    </w:rPr>
                    <w:t>）</w:t>
                  </w:r>
                </w:p>
              </w:tc>
              <w:tc>
                <w:tcPr>
                  <w:tcW w:w="1249" w:type="pct"/>
                  <w:tcBorders>
                    <w:tl2br w:val="nil"/>
                    <w:tr2bl w:val="nil"/>
                  </w:tcBorders>
                  <w:vAlign w:val="center"/>
                </w:tcPr>
                <w:p w14:paraId="08E97C0D">
                  <w:pPr>
                    <w:pStyle w:val="1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highlight w:val="none"/>
                      <w:vertAlign w:val="baseline"/>
                      <w:lang w:eastAsia="zh-CN"/>
                    </w:rPr>
                  </w:pPr>
                  <w:r>
                    <w:rPr>
                      <w:rFonts w:hint="eastAsia" w:cs="Times New Roman"/>
                      <w:color w:val="auto"/>
                      <w:sz w:val="24"/>
                      <w:highlight w:val="none"/>
                      <w:vertAlign w:val="baseline"/>
                      <w:lang w:eastAsia="zh-CN"/>
                    </w:rPr>
                    <w:t>产品</w:t>
                  </w:r>
                </w:p>
              </w:tc>
              <w:tc>
                <w:tcPr>
                  <w:tcW w:w="1250" w:type="pct"/>
                  <w:tcBorders>
                    <w:tl2br w:val="nil"/>
                    <w:tr2bl w:val="nil"/>
                  </w:tcBorders>
                  <w:vAlign w:val="center"/>
                </w:tcPr>
                <w:p w14:paraId="648FDEEB">
                  <w:pPr>
                    <w:pStyle w:val="1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highlight w:val="none"/>
                      <w:vertAlign w:val="baseline"/>
                      <w:lang w:eastAsia="zh-CN"/>
                    </w:rPr>
                  </w:pPr>
                  <w:r>
                    <w:rPr>
                      <w:rFonts w:hint="eastAsia" w:cs="Times New Roman"/>
                      <w:color w:val="auto"/>
                      <w:sz w:val="24"/>
                      <w:highlight w:val="none"/>
                      <w:vertAlign w:val="baseline"/>
                      <w:lang w:eastAsia="zh-CN"/>
                    </w:rPr>
                    <w:t>年用量（</w:t>
                  </w:r>
                  <w:r>
                    <w:rPr>
                      <w:rFonts w:hint="eastAsia" w:cs="Times New Roman"/>
                      <w:color w:val="auto"/>
                      <w:sz w:val="24"/>
                      <w:highlight w:val="none"/>
                      <w:vertAlign w:val="baseline"/>
                      <w:lang w:val="en-US" w:eastAsia="zh-CN"/>
                    </w:rPr>
                    <w:t>t</w:t>
                  </w:r>
                  <w:r>
                    <w:rPr>
                      <w:rFonts w:hint="eastAsia" w:cs="Times New Roman"/>
                      <w:color w:val="auto"/>
                      <w:sz w:val="24"/>
                      <w:highlight w:val="none"/>
                      <w:vertAlign w:val="baseline"/>
                      <w:lang w:eastAsia="zh-CN"/>
                    </w:rPr>
                    <w:t>）</w:t>
                  </w:r>
                </w:p>
              </w:tc>
            </w:tr>
            <w:tr w14:paraId="0DDA7E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9" w:type="pct"/>
                  <w:tcBorders>
                    <w:tl2br w:val="nil"/>
                    <w:tr2bl w:val="nil"/>
                  </w:tcBorders>
                  <w:vAlign w:val="center"/>
                </w:tcPr>
                <w:p w14:paraId="661DA4F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糯玉米</w:t>
                  </w:r>
                </w:p>
              </w:tc>
              <w:tc>
                <w:tcPr>
                  <w:tcW w:w="1249" w:type="pct"/>
                  <w:tcBorders>
                    <w:tl2br w:val="nil"/>
                    <w:tr2bl w:val="nil"/>
                  </w:tcBorders>
                  <w:vAlign w:val="center"/>
                </w:tcPr>
                <w:p w14:paraId="1D9CEFAB">
                  <w:pPr>
                    <w:keepNext w:val="0"/>
                    <w:keepLines w:val="0"/>
                    <w:suppressLineNumbers w:val="0"/>
                    <w:spacing w:before="0" w:beforeAutospacing="0" w:after="0" w:afterAutospacing="0"/>
                    <w:ind w:left="0" w:leftChars="0" w:right="0" w:rightChars="0"/>
                    <w:jc w:val="center"/>
                    <w:rPr>
                      <w:rFonts w:hint="default" w:cs="宋体"/>
                      <w:color w:val="auto"/>
                      <w:kern w:val="0"/>
                      <w:szCs w:val="21"/>
                      <w:lang w:val="en-US" w:eastAsia="zh-CN"/>
                    </w:rPr>
                  </w:pPr>
                  <w:r>
                    <w:rPr>
                      <w:rFonts w:hint="eastAsia"/>
                      <w:color w:val="auto"/>
                      <w:highlight w:val="none"/>
                      <w:lang w:val="en-US" w:eastAsia="zh-CN"/>
                    </w:rPr>
                    <w:t>1250</w:t>
                  </w:r>
                </w:p>
              </w:tc>
              <w:tc>
                <w:tcPr>
                  <w:tcW w:w="1249" w:type="pct"/>
                  <w:tcBorders>
                    <w:tl2br w:val="nil"/>
                    <w:tr2bl w:val="nil"/>
                  </w:tcBorders>
                  <w:vAlign w:val="center"/>
                </w:tcPr>
                <w:p w14:paraId="55040E7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真空玉米</w:t>
                  </w:r>
                </w:p>
              </w:tc>
              <w:tc>
                <w:tcPr>
                  <w:tcW w:w="1250" w:type="pct"/>
                  <w:tcBorders>
                    <w:tl2br w:val="nil"/>
                    <w:tr2bl w:val="nil"/>
                  </w:tcBorders>
                  <w:vAlign w:val="center"/>
                </w:tcPr>
                <w:p w14:paraId="62B9758E">
                  <w:pPr>
                    <w:jc w:val="center"/>
                    <w:rPr>
                      <w:rFonts w:hint="default" w:ascii="Times New Roman" w:hAnsi="Times New Roman" w:eastAsia="宋体" w:cs="Times New Roman"/>
                      <w:color w:val="auto"/>
                      <w:sz w:val="24"/>
                      <w:highlight w:val="none"/>
                      <w:vertAlign w:val="baseline"/>
                      <w:lang w:val="en-US" w:eastAsia="zh-CN"/>
                    </w:rPr>
                  </w:pPr>
                  <w:r>
                    <w:rPr>
                      <w:rFonts w:hint="eastAsia" w:cs="Times New Roman"/>
                      <w:color w:val="auto"/>
                      <w:kern w:val="2"/>
                      <w:sz w:val="21"/>
                      <w:szCs w:val="21"/>
                      <w:highlight w:val="none"/>
                      <w:lang w:val="en-US" w:eastAsia="zh-CN" w:bidi="ar-SA"/>
                    </w:rPr>
                    <w:t>1200</w:t>
                  </w:r>
                </w:p>
              </w:tc>
            </w:tr>
            <w:tr w14:paraId="76FFF3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shd w:val="clear" w:color="auto" w:fill="auto"/>
                  <w:vAlign w:val="center"/>
                </w:tcPr>
                <w:p w14:paraId="697057E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包材</w:t>
                  </w:r>
                </w:p>
              </w:tc>
              <w:tc>
                <w:tcPr>
                  <w:tcW w:w="1249" w:type="pct"/>
                  <w:tcBorders>
                    <w:tl2br w:val="nil"/>
                    <w:tr2bl w:val="nil"/>
                  </w:tcBorders>
                  <w:shd w:val="clear" w:color="auto" w:fill="auto"/>
                  <w:vAlign w:val="center"/>
                </w:tcPr>
                <w:p w14:paraId="41F3BF2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宋体"/>
                      <w:color w:val="auto"/>
                      <w:kern w:val="0"/>
                      <w:szCs w:val="21"/>
                      <w:lang w:val="en-US" w:eastAsia="zh-CN"/>
                    </w:rPr>
                    <w:t>112</w:t>
                  </w:r>
                </w:p>
              </w:tc>
              <w:tc>
                <w:tcPr>
                  <w:tcW w:w="1249" w:type="pct"/>
                  <w:tcBorders>
                    <w:tl2br w:val="nil"/>
                    <w:tr2bl w:val="nil"/>
                  </w:tcBorders>
                  <w:shd w:val="clear" w:color="auto" w:fill="auto"/>
                  <w:vAlign w:val="center"/>
                </w:tcPr>
                <w:p w14:paraId="5D7BAA0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不合格产品</w:t>
                  </w:r>
                </w:p>
              </w:tc>
              <w:tc>
                <w:tcPr>
                  <w:tcW w:w="1250" w:type="pct"/>
                  <w:tcBorders>
                    <w:tl2br w:val="nil"/>
                    <w:tr2bl w:val="nil"/>
                  </w:tcBorders>
                  <w:shd w:val="clear" w:color="auto" w:fill="auto"/>
                  <w:vAlign w:val="center"/>
                </w:tcPr>
                <w:p w14:paraId="1F39773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12.5</w:t>
                  </w:r>
                </w:p>
              </w:tc>
            </w:tr>
            <w:tr w14:paraId="1C5EAE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shd w:val="clear" w:color="auto" w:fill="auto"/>
                  <w:vAlign w:val="center"/>
                </w:tcPr>
                <w:p w14:paraId="4BBA3AE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249" w:type="pct"/>
                  <w:tcBorders>
                    <w:tl2br w:val="nil"/>
                    <w:tr2bl w:val="nil"/>
                  </w:tcBorders>
                  <w:shd w:val="clear" w:color="auto" w:fill="auto"/>
                  <w:vAlign w:val="center"/>
                </w:tcPr>
                <w:p w14:paraId="71CE502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249" w:type="pct"/>
                  <w:tcBorders>
                    <w:tl2br w:val="nil"/>
                    <w:tr2bl w:val="nil"/>
                  </w:tcBorders>
                  <w:shd w:val="clear" w:color="auto" w:fill="auto"/>
                  <w:vAlign w:val="center"/>
                </w:tcPr>
                <w:p w14:paraId="6C4313E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工艺废料</w:t>
                  </w:r>
                </w:p>
              </w:tc>
              <w:tc>
                <w:tcPr>
                  <w:tcW w:w="1250" w:type="pct"/>
                  <w:tcBorders>
                    <w:tl2br w:val="nil"/>
                    <w:tr2bl w:val="nil"/>
                  </w:tcBorders>
                  <w:shd w:val="clear" w:color="auto" w:fill="auto"/>
                  <w:vAlign w:val="center"/>
                </w:tcPr>
                <w:p w14:paraId="034C555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148.38</w:t>
                  </w:r>
                </w:p>
              </w:tc>
            </w:tr>
            <w:tr w14:paraId="10D9F2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47" w:type="dxa"/>
                  <w:tcBorders>
                    <w:tl2br w:val="nil"/>
                    <w:tr2bl w:val="nil"/>
                  </w:tcBorders>
                  <w:shd w:val="clear" w:color="auto" w:fill="auto"/>
                  <w:vAlign w:val="center"/>
                </w:tcPr>
                <w:p w14:paraId="2E87DD6A">
                  <w:pPr>
                    <w:keepNext w:val="0"/>
                    <w:keepLines w:val="0"/>
                    <w:suppressLineNumbers w:val="0"/>
                    <w:spacing w:before="0" w:beforeAutospacing="0" w:after="0" w:afterAutospacing="0"/>
                    <w:ind w:left="0" w:leftChars="0" w:right="0" w:rightChars="0"/>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2047" w:type="dxa"/>
                  <w:tcBorders>
                    <w:tl2br w:val="nil"/>
                    <w:tr2bl w:val="nil"/>
                  </w:tcBorders>
                  <w:shd w:val="clear" w:color="auto" w:fill="auto"/>
                  <w:vAlign w:val="center"/>
                </w:tcPr>
                <w:p w14:paraId="5742491F">
                  <w:pPr>
                    <w:keepNext w:val="0"/>
                    <w:keepLines w:val="0"/>
                    <w:suppressLineNumbers w:val="0"/>
                    <w:spacing w:before="0" w:beforeAutospacing="0" w:after="0" w:afterAutospacing="0"/>
                    <w:ind w:left="0" w:leftChars="0" w:right="0" w:rightChars="0"/>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249" w:type="pct"/>
                  <w:tcBorders>
                    <w:tl2br w:val="nil"/>
                    <w:tr2bl w:val="nil"/>
                  </w:tcBorders>
                  <w:shd w:val="clear" w:color="auto" w:fill="auto"/>
                  <w:vAlign w:val="center"/>
                </w:tcPr>
                <w:p w14:paraId="407B5A47">
                  <w:pPr>
                    <w:keepNext w:val="0"/>
                    <w:keepLines w:val="0"/>
                    <w:suppressLineNumbers w:val="0"/>
                    <w:spacing w:before="0" w:beforeAutospacing="0" w:after="0" w:afterAutospacing="0"/>
                    <w:ind w:left="0" w:leftChars="0" w:right="0" w:rightChars="0"/>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包装废料</w:t>
                  </w:r>
                </w:p>
              </w:tc>
              <w:tc>
                <w:tcPr>
                  <w:tcW w:w="1250" w:type="pct"/>
                  <w:tcBorders>
                    <w:tl2br w:val="nil"/>
                    <w:tr2bl w:val="nil"/>
                  </w:tcBorders>
                  <w:shd w:val="clear" w:color="auto" w:fill="auto"/>
                  <w:vAlign w:val="center"/>
                </w:tcPr>
                <w:p w14:paraId="38F935B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1.12</w:t>
                  </w:r>
                </w:p>
              </w:tc>
            </w:tr>
            <w:tr w14:paraId="201484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2F7A446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总计</w:t>
                  </w:r>
                </w:p>
              </w:tc>
              <w:tc>
                <w:tcPr>
                  <w:tcW w:w="1249" w:type="pct"/>
                  <w:tcBorders>
                    <w:tl2br w:val="nil"/>
                    <w:tr2bl w:val="nil"/>
                  </w:tcBorders>
                  <w:vAlign w:val="center"/>
                </w:tcPr>
                <w:p w14:paraId="1D62B89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1362</w:t>
                  </w:r>
                </w:p>
              </w:tc>
              <w:tc>
                <w:tcPr>
                  <w:tcW w:w="1249" w:type="pct"/>
                  <w:tcBorders>
                    <w:tl2br w:val="nil"/>
                    <w:tr2bl w:val="nil"/>
                  </w:tcBorders>
                  <w:vAlign w:val="center"/>
                </w:tcPr>
                <w:p w14:paraId="62ACAE21">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总计</w:t>
                  </w:r>
                </w:p>
              </w:tc>
              <w:tc>
                <w:tcPr>
                  <w:tcW w:w="1250" w:type="pct"/>
                  <w:tcBorders>
                    <w:tl2br w:val="nil"/>
                    <w:tr2bl w:val="nil"/>
                  </w:tcBorders>
                  <w:vAlign w:val="center"/>
                </w:tcPr>
                <w:p w14:paraId="7E55BF2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1362</w:t>
                  </w:r>
                </w:p>
              </w:tc>
            </w:tr>
          </w:tbl>
          <w:p w14:paraId="146005E7">
            <w:pPr>
              <w:keepNext w:val="0"/>
              <w:keepLines w:val="0"/>
              <w:numPr>
                <w:ilvl w:val="0"/>
                <w:numId w:val="0"/>
              </w:numPr>
              <w:suppressLineNumbers w:val="0"/>
              <w:adjustRightInd w:val="0"/>
              <w:snapToGrid w:val="0"/>
              <w:spacing w:before="0" w:beforeAutospacing="0" w:after="0" w:afterAutospacing="0" w:line="360" w:lineRule="auto"/>
              <w:ind w:left="420" w:leftChars="200" w:right="0" w:rightChars="0"/>
              <w:rPr>
                <w:rFonts w:hint="eastAsia"/>
                <w:b/>
                <w:color w:val="auto"/>
                <w:sz w:val="24"/>
                <w:highlight w:val="none"/>
                <w:lang w:eastAsia="zh-CN"/>
              </w:rPr>
            </w:pPr>
            <w:r>
              <w:rPr>
                <w:rFonts w:hint="eastAsia"/>
                <w:b/>
                <w:color w:val="auto"/>
                <w:sz w:val="24"/>
                <w:highlight w:val="none"/>
                <w:lang w:val="en-US" w:eastAsia="zh-CN"/>
              </w:rPr>
              <w:t>5、</w:t>
            </w:r>
            <w:r>
              <w:rPr>
                <w:rFonts w:hint="eastAsia"/>
                <w:b/>
                <w:color w:val="auto"/>
                <w:sz w:val="24"/>
                <w:highlight w:val="none"/>
                <w:lang w:eastAsia="zh-CN"/>
              </w:rPr>
              <w:t>能源使用情况</w:t>
            </w:r>
          </w:p>
          <w:p w14:paraId="3616EA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lang w:val="en-US" w:eastAsia="zh-CN"/>
              </w:rPr>
            </w:pPr>
          </w:p>
          <w:p w14:paraId="5C8BB2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表2-</w:t>
            </w:r>
            <w:r>
              <w:rPr>
                <w:rFonts w:hint="eastAsia" w:cs="Times New Roman"/>
                <w:b/>
                <w:color w:val="auto"/>
                <w:sz w:val="21"/>
                <w:szCs w:val="21"/>
                <w:highlight w:val="none"/>
                <w:lang w:val="en-US" w:eastAsia="zh-CN"/>
              </w:rPr>
              <w:t>5</w:t>
            </w:r>
            <w:r>
              <w:rPr>
                <w:rFonts w:hint="eastAsia" w:ascii="Times New Roman" w:hAnsi="Times New Roman" w:eastAsia="宋体" w:cs="Times New Roman"/>
                <w:b/>
                <w:color w:val="auto"/>
                <w:sz w:val="21"/>
                <w:szCs w:val="21"/>
                <w:highlight w:val="none"/>
                <w:lang w:val="en-US" w:eastAsia="zh-CN"/>
              </w:rPr>
              <w:t xml:space="preserve">  能源</w:t>
            </w:r>
            <w:r>
              <w:rPr>
                <w:rFonts w:hint="default" w:ascii="Times New Roman" w:hAnsi="Times New Roman" w:eastAsia="宋体" w:cs="Times New Roman"/>
                <w:b/>
                <w:color w:val="auto"/>
                <w:sz w:val="21"/>
                <w:szCs w:val="21"/>
                <w:highlight w:val="none"/>
                <w:lang w:val="en-US" w:eastAsia="zh-CN"/>
              </w:rPr>
              <w:t>一览表</w:t>
            </w:r>
          </w:p>
          <w:tbl>
            <w:tblPr>
              <w:tblStyle w:val="3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29"/>
              <w:gridCol w:w="2730"/>
              <w:gridCol w:w="2731"/>
            </w:tblGrid>
            <w:tr w14:paraId="283DDE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14:paraId="657F8F1E">
                  <w:pPr>
                    <w:pStyle w:val="3"/>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18"/>
                      <w:highlight w:val="none"/>
                      <w:vertAlign w:val="baseline"/>
                      <w:lang w:eastAsia="zh-CN"/>
                    </w:rPr>
                  </w:pPr>
                  <w:r>
                    <w:rPr>
                      <w:rFonts w:hint="default" w:ascii="Times New Roman" w:hAnsi="Times New Roman" w:cs="Times New Roman"/>
                      <w:color w:val="auto"/>
                      <w:sz w:val="21"/>
                      <w:szCs w:val="18"/>
                      <w:highlight w:val="none"/>
                      <w:vertAlign w:val="baseline"/>
                      <w:lang w:eastAsia="zh-CN"/>
                    </w:rPr>
                    <w:t>名称</w:t>
                  </w:r>
                </w:p>
              </w:tc>
              <w:tc>
                <w:tcPr>
                  <w:tcW w:w="1666" w:type="pct"/>
                  <w:tcBorders>
                    <w:tl2br w:val="nil"/>
                    <w:tr2bl w:val="nil"/>
                  </w:tcBorders>
                  <w:vAlign w:val="center"/>
                </w:tcPr>
                <w:p w14:paraId="7B7D5E22">
                  <w:pPr>
                    <w:pStyle w:val="3"/>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18"/>
                      <w:highlight w:val="none"/>
                      <w:vertAlign w:val="baseline"/>
                      <w:lang w:eastAsia="zh-CN"/>
                    </w:rPr>
                  </w:pPr>
                  <w:r>
                    <w:rPr>
                      <w:rFonts w:hint="default" w:ascii="Times New Roman" w:hAnsi="Times New Roman" w:cs="Times New Roman"/>
                      <w:color w:val="auto"/>
                      <w:sz w:val="21"/>
                      <w:szCs w:val="18"/>
                      <w:highlight w:val="none"/>
                      <w:vertAlign w:val="baseline"/>
                      <w:lang w:eastAsia="zh-CN"/>
                    </w:rPr>
                    <w:t>单位</w:t>
                  </w:r>
                </w:p>
              </w:tc>
              <w:tc>
                <w:tcPr>
                  <w:tcW w:w="1667" w:type="pct"/>
                  <w:tcBorders>
                    <w:tl2br w:val="nil"/>
                    <w:tr2bl w:val="nil"/>
                  </w:tcBorders>
                  <w:vAlign w:val="center"/>
                </w:tcPr>
                <w:p w14:paraId="74C63E58">
                  <w:pPr>
                    <w:pStyle w:val="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18"/>
                      <w:highlight w:val="none"/>
                      <w:vertAlign w:val="baseline"/>
                      <w:lang w:val="en-US" w:eastAsia="zh-CN"/>
                    </w:rPr>
                  </w:pPr>
                  <w:r>
                    <w:rPr>
                      <w:rFonts w:hint="default" w:ascii="Times New Roman" w:hAnsi="Times New Roman" w:eastAsia="宋体" w:cs="Times New Roman"/>
                      <w:color w:val="auto"/>
                      <w:sz w:val="21"/>
                      <w:szCs w:val="18"/>
                      <w:highlight w:val="none"/>
                      <w:vertAlign w:val="baseline"/>
                      <w:lang w:val="en-US" w:eastAsia="zh-CN"/>
                    </w:rPr>
                    <w:t>用量</w:t>
                  </w:r>
                </w:p>
              </w:tc>
            </w:tr>
            <w:tr w14:paraId="34279B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14:paraId="002DA87B">
                  <w:pPr>
                    <w:pStyle w:val="3"/>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18"/>
                      <w:highlight w:val="none"/>
                      <w:vertAlign w:val="baseline"/>
                      <w:lang w:eastAsia="zh-CN"/>
                    </w:rPr>
                  </w:pPr>
                  <w:r>
                    <w:rPr>
                      <w:rFonts w:hint="default" w:ascii="Times New Roman" w:hAnsi="Times New Roman" w:cs="Times New Roman"/>
                      <w:color w:val="auto"/>
                      <w:sz w:val="21"/>
                      <w:szCs w:val="18"/>
                      <w:highlight w:val="none"/>
                      <w:vertAlign w:val="baseline"/>
                      <w:lang w:eastAsia="zh-CN"/>
                    </w:rPr>
                    <w:t>生物质成型燃料</w:t>
                  </w:r>
                </w:p>
              </w:tc>
              <w:tc>
                <w:tcPr>
                  <w:tcW w:w="1666" w:type="pct"/>
                  <w:tcBorders>
                    <w:tl2br w:val="nil"/>
                    <w:tr2bl w:val="nil"/>
                  </w:tcBorders>
                  <w:vAlign w:val="center"/>
                </w:tcPr>
                <w:p w14:paraId="34686D00">
                  <w:pPr>
                    <w:pStyle w:val="3"/>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18"/>
                      <w:highlight w:val="none"/>
                      <w:vertAlign w:val="baseline"/>
                      <w:lang w:val="en-US" w:eastAsia="zh-CN"/>
                    </w:rPr>
                  </w:pPr>
                  <w:r>
                    <w:rPr>
                      <w:rFonts w:hint="default" w:ascii="Times New Roman" w:hAnsi="Times New Roman" w:cs="Times New Roman"/>
                      <w:color w:val="auto"/>
                      <w:sz w:val="21"/>
                      <w:szCs w:val="18"/>
                      <w:highlight w:val="none"/>
                      <w:vertAlign w:val="baseline"/>
                      <w:lang w:val="en-US" w:eastAsia="zh-CN"/>
                    </w:rPr>
                    <w:t>t</w:t>
                  </w:r>
                </w:p>
              </w:tc>
              <w:tc>
                <w:tcPr>
                  <w:tcW w:w="1667" w:type="pct"/>
                  <w:tcBorders>
                    <w:tl2br w:val="nil"/>
                    <w:tr2bl w:val="nil"/>
                  </w:tcBorders>
                  <w:vAlign w:val="center"/>
                </w:tcPr>
                <w:p w14:paraId="71399F8B">
                  <w:pPr>
                    <w:pStyle w:val="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18"/>
                      <w:highlight w:val="none"/>
                      <w:vertAlign w:val="baseline"/>
                      <w:lang w:val="en-US" w:eastAsia="zh-CN"/>
                    </w:rPr>
                  </w:pPr>
                  <w:r>
                    <w:rPr>
                      <w:rFonts w:hint="eastAsia" w:ascii="Times New Roman" w:hAnsi="Times New Roman" w:cs="Times New Roman"/>
                      <w:color w:val="auto"/>
                      <w:sz w:val="21"/>
                      <w:szCs w:val="18"/>
                      <w:highlight w:val="none"/>
                      <w:vertAlign w:val="baseline"/>
                      <w:lang w:val="en-US" w:eastAsia="zh-CN"/>
                    </w:rPr>
                    <w:t>369.9</w:t>
                  </w:r>
                </w:p>
              </w:tc>
            </w:tr>
          </w:tbl>
          <w:p w14:paraId="0ADC33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表2-</w:t>
            </w:r>
            <w:r>
              <w:rPr>
                <w:rFonts w:hint="eastAsia" w:cs="Times New Roman"/>
                <w:b/>
                <w:color w:val="auto"/>
                <w:sz w:val="21"/>
                <w:szCs w:val="21"/>
                <w:highlight w:val="none"/>
                <w:lang w:val="en-US" w:eastAsia="zh-CN"/>
              </w:rPr>
              <w:t>6</w:t>
            </w:r>
            <w:r>
              <w:rPr>
                <w:rFonts w:hint="default" w:ascii="Times New Roman" w:hAnsi="Times New Roman" w:eastAsia="宋体" w:cs="Times New Roman"/>
                <w:b/>
                <w:color w:val="auto"/>
                <w:sz w:val="21"/>
                <w:szCs w:val="21"/>
                <w:highlight w:val="none"/>
                <w:lang w:val="en-US" w:eastAsia="zh-CN"/>
              </w:rPr>
              <w:t xml:space="preserve">  </w:t>
            </w:r>
            <w:r>
              <w:rPr>
                <w:rFonts w:hint="eastAsia" w:ascii="Times New Roman" w:hAnsi="Times New Roman" w:eastAsia="宋体" w:cs="Times New Roman"/>
                <w:b/>
                <w:color w:val="auto"/>
                <w:sz w:val="21"/>
                <w:szCs w:val="21"/>
                <w:highlight w:val="none"/>
                <w:lang w:val="en-US" w:eastAsia="zh-CN"/>
              </w:rPr>
              <w:t>生物质成型燃料</w:t>
            </w:r>
            <w:r>
              <w:rPr>
                <w:rFonts w:hint="default" w:ascii="Times New Roman" w:hAnsi="Times New Roman" w:eastAsia="宋体" w:cs="Times New Roman"/>
                <w:b/>
                <w:color w:val="auto"/>
                <w:sz w:val="21"/>
                <w:szCs w:val="21"/>
                <w:highlight w:val="none"/>
                <w:lang w:val="en-US" w:eastAsia="zh-CN"/>
              </w:rPr>
              <w:t>成分分析一览表</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19"/>
              <w:gridCol w:w="1346"/>
              <w:gridCol w:w="1577"/>
              <w:gridCol w:w="2251"/>
            </w:tblGrid>
            <w:tr w14:paraId="705DB4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3" w:hRule="atLeast"/>
                <w:jc w:val="center"/>
              </w:trPr>
              <w:tc>
                <w:tcPr>
                  <w:tcW w:w="1842" w:type="pct"/>
                  <w:noWrap w:val="0"/>
                  <w:vAlign w:val="center"/>
                </w:tcPr>
                <w:p w14:paraId="7DDA3779">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名称</w:t>
                  </w:r>
                </w:p>
              </w:tc>
              <w:tc>
                <w:tcPr>
                  <w:tcW w:w="821" w:type="pct"/>
                  <w:noWrap w:val="0"/>
                  <w:vAlign w:val="center"/>
                </w:tcPr>
                <w:p w14:paraId="4865DFBD">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符号</w:t>
                  </w:r>
                </w:p>
              </w:tc>
              <w:tc>
                <w:tcPr>
                  <w:tcW w:w="962" w:type="pct"/>
                  <w:noWrap w:val="0"/>
                  <w:vAlign w:val="center"/>
                </w:tcPr>
                <w:p w14:paraId="70E03EE2">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单位</w:t>
                  </w:r>
                </w:p>
              </w:tc>
              <w:tc>
                <w:tcPr>
                  <w:tcW w:w="1373" w:type="pct"/>
                  <w:noWrap w:val="0"/>
                  <w:vAlign w:val="center"/>
                </w:tcPr>
                <w:p w14:paraId="1878E038">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eastAsia" w:ascii="Times New Roman" w:hAnsi="Times New Roman" w:cs="Times New Roman"/>
                      <w:color w:val="auto"/>
                      <w:kern w:val="2"/>
                      <w:sz w:val="21"/>
                      <w:szCs w:val="21"/>
                      <w:lang w:val="zh-CN" w:eastAsia="zh-CN" w:bidi="ar-SA"/>
                    </w:rPr>
                    <w:t>生物质成型燃料</w:t>
                  </w:r>
                </w:p>
              </w:tc>
            </w:tr>
            <w:tr w14:paraId="0DEDD7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0BA3E285">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全水分</w:t>
                  </w:r>
                </w:p>
              </w:tc>
              <w:tc>
                <w:tcPr>
                  <w:tcW w:w="821" w:type="pct"/>
                  <w:noWrap w:val="0"/>
                  <w:vAlign w:val="center"/>
                </w:tcPr>
                <w:p w14:paraId="521706D8">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Mar</w:t>
                  </w:r>
                </w:p>
              </w:tc>
              <w:tc>
                <w:tcPr>
                  <w:tcW w:w="962" w:type="pct"/>
                  <w:noWrap w:val="0"/>
                  <w:vAlign w:val="center"/>
                </w:tcPr>
                <w:p w14:paraId="07770703">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w:t>
                  </w:r>
                </w:p>
              </w:tc>
              <w:tc>
                <w:tcPr>
                  <w:tcW w:w="1373" w:type="pct"/>
                  <w:noWrap w:val="0"/>
                  <w:vAlign w:val="center"/>
                </w:tcPr>
                <w:p w14:paraId="53C14C08">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37.23</w:t>
                  </w:r>
                </w:p>
              </w:tc>
            </w:tr>
            <w:tr w14:paraId="693A05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42" w:type="pct"/>
                  <w:noWrap w:val="0"/>
                  <w:vAlign w:val="center"/>
                </w:tcPr>
                <w:p w14:paraId="7BB55902">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水分</w:t>
                  </w:r>
                </w:p>
              </w:tc>
              <w:tc>
                <w:tcPr>
                  <w:tcW w:w="821" w:type="pct"/>
                  <w:noWrap w:val="0"/>
                  <w:vAlign w:val="center"/>
                </w:tcPr>
                <w:p w14:paraId="7B245078">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Mad</w:t>
                  </w:r>
                </w:p>
              </w:tc>
              <w:tc>
                <w:tcPr>
                  <w:tcW w:w="962" w:type="pct"/>
                  <w:noWrap w:val="0"/>
                  <w:vAlign w:val="center"/>
                </w:tcPr>
                <w:p w14:paraId="77BB2849">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w:t>
                  </w:r>
                </w:p>
              </w:tc>
              <w:tc>
                <w:tcPr>
                  <w:tcW w:w="1373" w:type="pct"/>
                  <w:noWrap w:val="0"/>
                  <w:vAlign w:val="center"/>
                </w:tcPr>
                <w:p w14:paraId="18769EAA">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4.36</w:t>
                  </w:r>
                </w:p>
              </w:tc>
            </w:tr>
            <w:tr w14:paraId="3DBA5E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5B44C363">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灰分</w:t>
                  </w:r>
                </w:p>
              </w:tc>
              <w:tc>
                <w:tcPr>
                  <w:tcW w:w="821" w:type="pct"/>
                  <w:noWrap w:val="0"/>
                  <w:vAlign w:val="center"/>
                </w:tcPr>
                <w:p w14:paraId="50303411">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CN" w:eastAsia="zh-CN" w:bidi="ar-SA"/>
                    </w:rPr>
                    <w:t>Aa</w:t>
                  </w:r>
                  <w:r>
                    <w:rPr>
                      <w:rFonts w:hint="eastAsia" w:ascii="Times New Roman" w:hAnsi="Times New Roman" w:cs="Times New Roman"/>
                      <w:color w:val="auto"/>
                      <w:kern w:val="2"/>
                      <w:sz w:val="21"/>
                      <w:szCs w:val="21"/>
                      <w:lang w:val="en-US" w:eastAsia="zh-CN" w:bidi="ar-SA"/>
                    </w:rPr>
                    <w:t>r</w:t>
                  </w:r>
                </w:p>
              </w:tc>
              <w:tc>
                <w:tcPr>
                  <w:tcW w:w="962" w:type="pct"/>
                  <w:noWrap w:val="0"/>
                  <w:vAlign w:val="center"/>
                </w:tcPr>
                <w:p w14:paraId="0E22A19D">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w:t>
                  </w:r>
                </w:p>
              </w:tc>
              <w:tc>
                <w:tcPr>
                  <w:tcW w:w="1373" w:type="pct"/>
                  <w:noWrap w:val="0"/>
                  <w:vAlign w:val="center"/>
                </w:tcPr>
                <w:p w14:paraId="75FA9E75">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3.06</w:t>
                  </w:r>
                </w:p>
              </w:tc>
            </w:tr>
            <w:tr w14:paraId="447556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42" w:type="pct"/>
                  <w:noWrap w:val="0"/>
                  <w:vAlign w:val="center"/>
                </w:tcPr>
                <w:p w14:paraId="674DE62F">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en-US" w:eastAsia="zh-CN" w:bidi="ar-SA"/>
                    </w:rPr>
                    <w:t>挥发分</w:t>
                  </w:r>
                </w:p>
              </w:tc>
              <w:tc>
                <w:tcPr>
                  <w:tcW w:w="821" w:type="pct"/>
                  <w:noWrap w:val="0"/>
                  <w:vAlign w:val="center"/>
                </w:tcPr>
                <w:p w14:paraId="6DC99174">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en-US" w:eastAsia="zh-CN" w:bidi="ar-SA"/>
                    </w:rPr>
                    <w:t>Vdaf</w:t>
                  </w:r>
                </w:p>
              </w:tc>
              <w:tc>
                <w:tcPr>
                  <w:tcW w:w="962" w:type="pct"/>
                  <w:noWrap w:val="0"/>
                  <w:vAlign w:val="center"/>
                </w:tcPr>
                <w:p w14:paraId="3DC4F361">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en-US" w:eastAsia="zh-CN" w:bidi="ar-SA"/>
                    </w:rPr>
                    <w:t>%</w:t>
                  </w:r>
                </w:p>
              </w:tc>
              <w:tc>
                <w:tcPr>
                  <w:tcW w:w="1373" w:type="pct"/>
                  <w:noWrap w:val="0"/>
                  <w:vAlign w:val="center"/>
                </w:tcPr>
                <w:p w14:paraId="42D859BC">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84.35</w:t>
                  </w:r>
                </w:p>
              </w:tc>
            </w:tr>
            <w:tr w14:paraId="303653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3552CBD0">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固定碳</w:t>
                  </w:r>
                </w:p>
              </w:tc>
              <w:tc>
                <w:tcPr>
                  <w:tcW w:w="821" w:type="pct"/>
                  <w:noWrap w:val="0"/>
                  <w:vAlign w:val="center"/>
                </w:tcPr>
                <w:p w14:paraId="2E7F56E6">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FCar</w:t>
                  </w:r>
                </w:p>
              </w:tc>
              <w:tc>
                <w:tcPr>
                  <w:tcW w:w="962" w:type="pct"/>
                  <w:noWrap w:val="0"/>
                  <w:vAlign w:val="center"/>
                </w:tcPr>
                <w:p w14:paraId="0E883889">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1373" w:type="pct"/>
                  <w:noWrap w:val="0"/>
                  <w:vAlign w:val="center"/>
                </w:tcPr>
                <w:p w14:paraId="502BD521">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9.35</w:t>
                  </w:r>
                </w:p>
              </w:tc>
            </w:tr>
            <w:tr w14:paraId="1A35DD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57179457">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弹筒发热量</w:t>
                  </w:r>
                </w:p>
              </w:tc>
              <w:tc>
                <w:tcPr>
                  <w:tcW w:w="821" w:type="pct"/>
                  <w:noWrap w:val="0"/>
                  <w:vAlign w:val="center"/>
                </w:tcPr>
                <w:p w14:paraId="3F913CA2">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Qb，ad</w:t>
                  </w:r>
                </w:p>
              </w:tc>
              <w:tc>
                <w:tcPr>
                  <w:tcW w:w="962" w:type="pct"/>
                  <w:noWrap w:val="0"/>
                  <w:vAlign w:val="center"/>
                </w:tcPr>
                <w:p w14:paraId="2CAF6C37">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CN" w:eastAsia="zh-CN" w:bidi="ar-SA"/>
                    </w:rPr>
                    <w:t>MJ/kg</w:t>
                  </w:r>
                </w:p>
              </w:tc>
              <w:tc>
                <w:tcPr>
                  <w:tcW w:w="1373" w:type="pct"/>
                  <w:noWrap w:val="0"/>
                  <w:vAlign w:val="center"/>
                </w:tcPr>
                <w:p w14:paraId="6E002B97">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16.92</w:t>
                  </w:r>
                </w:p>
              </w:tc>
            </w:tr>
            <w:tr w14:paraId="5A8CE1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vMerge w:val="restart"/>
                  <w:noWrap w:val="0"/>
                  <w:vAlign w:val="center"/>
                </w:tcPr>
                <w:p w14:paraId="57348CD1">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低位发热量</w:t>
                  </w:r>
                </w:p>
              </w:tc>
              <w:tc>
                <w:tcPr>
                  <w:tcW w:w="821" w:type="pct"/>
                  <w:vMerge w:val="restart"/>
                  <w:noWrap w:val="0"/>
                  <w:vAlign w:val="center"/>
                </w:tcPr>
                <w:p w14:paraId="4E5457D5">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Qnet</w:t>
                  </w:r>
                  <w:r>
                    <w:rPr>
                      <w:rFonts w:hint="eastAsia" w:ascii="Times New Roman" w:hAnsi="Times New Roman" w:cs="Times New Roman"/>
                      <w:color w:val="auto"/>
                      <w:kern w:val="2"/>
                      <w:sz w:val="21"/>
                      <w:szCs w:val="21"/>
                      <w:lang w:val="zh-CN" w:eastAsia="zh-CN" w:bidi="ar-SA"/>
                    </w:rPr>
                    <w:t>，</w:t>
                  </w:r>
                  <w:r>
                    <w:rPr>
                      <w:rFonts w:hint="default" w:ascii="Times New Roman" w:hAnsi="Times New Roman" w:eastAsia="宋体" w:cs="Times New Roman"/>
                      <w:color w:val="auto"/>
                      <w:kern w:val="2"/>
                      <w:sz w:val="21"/>
                      <w:szCs w:val="21"/>
                      <w:lang w:val="zh-CN" w:eastAsia="zh-CN" w:bidi="ar-SA"/>
                    </w:rPr>
                    <w:t>ar</w:t>
                  </w:r>
                </w:p>
              </w:tc>
              <w:tc>
                <w:tcPr>
                  <w:tcW w:w="962" w:type="pct"/>
                  <w:noWrap w:val="0"/>
                  <w:vAlign w:val="center"/>
                </w:tcPr>
                <w:p w14:paraId="3593A80C">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MJ/kg</w:t>
                  </w:r>
                </w:p>
              </w:tc>
              <w:tc>
                <w:tcPr>
                  <w:tcW w:w="1373" w:type="pct"/>
                  <w:noWrap w:val="0"/>
                  <w:vAlign w:val="center"/>
                </w:tcPr>
                <w:p w14:paraId="2F997D5B">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9.58</w:t>
                  </w:r>
                </w:p>
              </w:tc>
            </w:tr>
            <w:tr w14:paraId="34A65D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vMerge w:val="continue"/>
                  <w:noWrap w:val="0"/>
                  <w:vAlign w:val="center"/>
                </w:tcPr>
                <w:p w14:paraId="56200E7D">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p>
              </w:tc>
              <w:tc>
                <w:tcPr>
                  <w:tcW w:w="821" w:type="pct"/>
                  <w:vMerge w:val="continue"/>
                  <w:noWrap w:val="0"/>
                  <w:vAlign w:val="center"/>
                </w:tcPr>
                <w:p w14:paraId="3956C838">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p>
              </w:tc>
              <w:tc>
                <w:tcPr>
                  <w:tcW w:w="962" w:type="pct"/>
                  <w:noWrap w:val="0"/>
                  <w:vAlign w:val="center"/>
                </w:tcPr>
                <w:p w14:paraId="163801DA">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Kcal/kg</w:t>
                  </w:r>
                </w:p>
              </w:tc>
              <w:tc>
                <w:tcPr>
                  <w:tcW w:w="1373" w:type="pct"/>
                  <w:noWrap w:val="0"/>
                  <w:vAlign w:val="center"/>
                </w:tcPr>
                <w:p w14:paraId="5646E4AF">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2289.62</w:t>
                  </w:r>
                </w:p>
              </w:tc>
            </w:tr>
            <w:tr w14:paraId="2B1EA0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460A76EE">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干基高位发热量</w:t>
                  </w:r>
                </w:p>
              </w:tc>
              <w:tc>
                <w:tcPr>
                  <w:tcW w:w="821" w:type="pct"/>
                  <w:noWrap w:val="0"/>
                  <w:vAlign w:val="center"/>
                </w:tcPr>
                <w:p w14:paraId="55CF6ED0">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en-US" w:eastAsia="zh-CN" w:bidi="ar-SA"/>
                    </w:rPr>
                    <w:t>Qgr</w:t>
                  </w:r>
                  <w:r>
                    <w:rPr>
                      <w:rFonts w:hint="eastAsia" w:ascii="Times New Roman" w:hAnsi="Times New Roman"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d</w:t>
                  </w:r>
                </w:p>
              </w:tc>
              <w:tc>
                <w:tcPr>
                  <w:tcW w:w="962" w:type="pct"/>
                  <w:noWrap w:val="0"/>
                  <w:vAlign w:val="center"/>
                </w:tcPr>
                <w:p w14:paraId="0572540C">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MJ/kg</w:t>
                  </w:r>
                </w:p>
              </w:tc>
              <w:tc>
                <w:tcPr>
                  <w:tcW w:w="1373" w:type="pct"/>
                  <w:noWrap w:val="0"/>
                  <w:vAlign w:val="center"/>
                </w:tcPr>
                <w:p w14:paraId="2C035B6A">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17.66</w:t>
                  </w:r>
                </w:p>
              </w:tc>
            </w:tr>
            <w:tr w14:paraId="044C37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569B9291">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全硫</w:t>
                  </w:r>
                </w:p>
              </w:tc>
              <w:tc>
                <w:tcPr>
                  <w:tcW w:w="821" w:type="pct"/>
                  <w:noWrap w:val="0"/>
                  <w:vAlign w:val="center"/>
                </w:tcPr>
                <w:p w14:paraId="293066ED">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CN" w:eastAsia="zh-CN" w:bidi="ar-SA"/>
                    </w:rPr>
                    <w:t>St</w:t>
                  </w:r>
                  <w:r>
                    <w:rPr>
                      <w:rFonts w:hint="eastAsia" w:ascii="Times New Roman" w:hAnsi="Times New Roman" w:cs="Times New Roman"/>
                      <w:color w:val="auto"/>
                      <w:kern w:val="2"/>
                      <w:sz w:val="21"/>
                      <w:szCs w:val="21"/>
                      <w:lang w:val="zh-CN" w:eastAsia="zh-CN" w:bidi="ar-SA"/>
                    </w:rPr>
                    <w:t>，</w:t>
                  </w:r>
                  <w:r>
                    <w:rPr>
                      <w:rFonts w:hint="default" w:ascii="Times New Roman" w:hAnsi="Times New Roman" w:eastAsia="宋体" w:cs="Times New Roman"/>
                      <w:color w:val="auto"/>
                      <w:kern w:val="2"/>
                      <w:sz w:val="21"/>
                      <w:szCs w:val="21"/>
                      <w:lang w:val="zh-CN" w:eastAsia="zh-CN" w:bidi="ar-SA"/>
                    </w:rPr>
                    <w:t>a</w:t>
                  </w:r>
                  <w:r>
                    <w:rPr>
                      <w:rFonts w:hint="eastAsia" w:ascii="Times New Roman" w:hAnsi="Times New Roman" w:cs="Times New Roman"/>
                      <w:color w:val="auto"/>
                      <w:kern w:val="2"/>
                      <w:sz w:val="21"/>
                      <w:szCs w:val="21"/>
                      <w:lang w:val="en-US" w:eastAsia="zh-CN" w:bidi="ar-SA"/>
                    </w:rPr>
                    <w:t>r</w:t>
                  </w:r>
                </w:p>
              </w:tc>
              <w:tc>
                <w:tcPr>
                  <w:tcW w:w="962" w:type="pct"/>
                  <w:noWrap w:val="0"/>
                  <w:vAlign w:val="center"/>
                </w:tcPr>
                <w:p w14:paraId="16957E5D">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w:t>
                  </w:r>
                </w:p>
              </w:tc>
              <w:tc>
                <w:tcPr>
                  <w:tcW w:w="1373" w:type="pct"/>
                  <w:noWrap w:val="0"/>
                  <w:vAlign w:val="center"/>
                </w:tcPr>
                <w:p w14:paraId="21A1865C">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0.04</w:t>
                  </w:r>
                </w:p>
              </w:tc>
            </w:tr>
            <w:tr w14:paraId="431995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30CF7D2C">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eastAsia" w:ascii="Times New Roman" w:hAnsi="Times New Roman" w:cs="Times New Roman"/>
                      <w:color w:val="auto"/>
                      <w:kern w:val="2"/>
                      <w:sz w:val="21"/>
                      <w:szCs w:val="21"/>
                      <w:lang w:val="en-US" w:eastAsia="zh-CN" w:bidi="ar-SA"/>
                    </w:rPr>
                    <w:t>碳</w:t>
                  </w:r>
                </w:p>
              </w:tc>
              <w:tc>
                <w:tcPr>
                  <w:tcW w:w="821" w:type="pct"/>
                  <w:noWrap w:val="0"/>
                  <w:vAlign w:val="center"/>
                </w:tcPr>
                <w:p w14:paraId="2FAB4A78">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Car</w:t>
                  </w:r>
                </w:p>
              </w:tc>
              <w:tc>
                <w:tcPr>
                  <w:tcW w:w="962" w:type="pct"/>
                  <w:noWrap w:val="0"/>
                  <w:vAlign w:val="center"/>
                </w:tcPr>
                <w:p w14:paraId="77A7E2A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w:t>
                  </w:r>
                </w:p>
              </w:tc>
              <w:tc>
                <w:tcPr>
                  <w:tcW w:w="1373" w:type="pct"/>
                  <w:noWrap w:val="0"/>
                  <w:vAlign w:val="center"/>
                </w:tcPr>
                <w:p w14:paraId="5ED07BA1">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30.06</w:t>
                  </w:r>
                </w:p>
              </w:tc>
            </w:tr>
            <w:tr w14:paraId="4F3280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2078EF44">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氢</w:t>
                  </w:r>
                </w:p>
              </w:tc>
              <w:tc>
                <w:tcPr>
                  <w:tcW w:w="821" w:type="pct"/>
                  <w:noWrap w:val="0"/>
                  <w:vAlign w:val="center"/>
                </w:tcPr>
                <w:p w14:paraId="0B599C6D">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Har</w:t>
                  </w:r>
                </w:p>
              </w:tc>
              <w:tc>
                <w:tcPr>
                  <w:tcW w:w="962" w:type="pct"/>
                  <w:noWrap w:val="0"/>
                  <w:vAlign w:val="center"/>
                </w:tcPr>
                <w:p w14:paraId="45EF070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CN" w:eastAsia="zh-CN" w:bidi="ar-SA"/>
                    </w:rPr>
                    <w:t>%</w:t>
                  </w:r>
                </w:p>
              </w:tc>
              <w:tc>
                <w:tcPr>
                  <w:tcW w:w="1373" w:type="pct"/>
                  <w:noWrap w:val="0"/>
                  <w:vAlign w:val="center"/>
                </w:tcPr>
                <w:p w14:paraId="153F376D">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3.17</w:t>
                  </w:r>
                </w:p>
              </w:tc>
            </w:tr>
            <w:tr w14:paraId="70B41E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3B939019">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氮</w:t>
                  </w:r>
                </w:p>
              </w:tc>
              <w:tc>
                <w:tcPr>
                  <w:tcW w:w="821" w:type="pct"/>
                  <w:noWrap w:val="0"/>
                  <w:vAlign w:val="center"/>
                </w:tcPr>
                <w:p w14:paraId="30A4BCEE">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Nar</w:t>
                  </w:r>
                </w:p>
              </w:tc>
              <w:tc>
                <w:tcPr>
                  <w:tcW w:w="962" w:type="pct"/>
                  <w:noWrap w:val="0"/>
                  <w:vAlign w:val="center"/>
                </w:tcPr>
                <w:p w14:paraId="12DD29B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CN" w:eastAsia="zh-CN" w:bidi="ar-SA"/>
                    </w:rPr>
                    <w:t>%</w:t>
                  </w:r>
                </w:p>
              </w:tc>
              <w:tc>
                <w:tcPr>
                  <w:tcW w:w="1373" w:type="pct"/>
                  <w:noWrap w:val="0"/>
                  <w:vAlign w:val="center"/>
                </w:tcPr>
                <w:p w14:paraId="0FEF81FD">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0.32</w:t>
                  </w:r>
                </w:p>
              </w:tc>
            </w:tr>
            <w:tr w14:paraId="1E6E31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16031FBC">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氧</w:t>
                  </w:r>
                </w:p>
              </w:tc>
              <w:tc>
                <w:tcPr>
                  <w:tcW w:w="821" w:type="pct"/>
                  <w:noWrap w:val="0"/>
                  <w:vAlign w:val="center"/>
                </w:tcPr>
                <w:p w14:paraId="36633E77">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Oar</w:t>
                  </w:r>
                </w:p>
              </w:tc>
              <w:tc>
                <w:tcPr>
                  <w:tcW w:w="962" w:type="pct"/>
                  <w:noWrap w:val="0"/>
                  <w:vAlign w:val="center"/>
                </w:tcPr>
                <w:p w14:paraId="6EB398F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CN" w:eastAsia="zh-CN" w:bidi="ar-SA"/>
                    </w:rPr>
                    <w:t>%</w:t>
                  </w:r>
                </w:p>
              </w:tc>
              <w:tc>
                <w:tcPr>
                  <w:tcW w:w="1373" w:type="pct"/>
                  <w:noWrap w:val="0"/>
                  <w:vAlign w:val="center"/>
                </w:tcPr>
                <w:p w14:paraId="75AD7944">
                  <w:pPr>
                    <w:pStyle w:val="106"/>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26.12</w:t>
                  </w:r>
                </w:p>
              </w:tc>
            </w:tr>
          </w:tbl>
          <w:p w14:paraId="6677DFC4">
            <w:pPr>
              <w:keepNext w:val="0"/>
              <w:keepLines w:val="0"/>
              <w:suppressLineNumbers w:val="0"/>
              <w:adjustRightInd w:val="0"/>
              <w:snapToGrid w:val="0"/>
              <w:spacing w:before="0" w:beforeAutospacing="0" w:after="0" w:afterAutospacing="0" w:line="360" w:lineRule="auto"/>
              <w:ind w:left="0" w:right="0" w:firstLine="482" w:firstLineChars="200"/>
              <w:rPr>
                <w:rFonts w:hint="default" w:eastAsia="宋体"/>
                <w:b/>
                <w:color w:val="auto"/>
                <w:sz w:val="24"/>
                <w:highlight w:val="none"/>
              </w:rPr>
            </w:pPr>
            <w:r>
              <w:rPr>
                <w:rFonts w:hint="eastAsia"/>
                <w:b/>
                <w:color w:val="auto"/>
                <w:sz w:val="24"/>
                <w:highlight w:val="none"/>
                <w:lang w:val="en-US" w:eastAsia="zh-CN"/>
              </w:rPr>
              <w:t>6、</w:t>
            </w:r>
            <w:r>
              <w:rPr>
                <w:rFonts w:hint="default" w:eastAsia="宋体"/>
                <w:b/>
                <w:color w:val="auto"/>
                <w:sz w:val="24"/>
                <w:highlight w:val="none"/>
              </w:rPr>
              <w:t>主要设备</w:t>
            </w:r>
          </w:p>
          <w:p w14:paraId="65799FC9">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宋体"/>
                <w:color w:val="auto"/>
                <w:sz w:val="24"/>
                <w:highlight w:val="none"/>
              </w:rPr>
            </w:pPr>
            <w:r>
              <w:rPr>
                <w:rFonts w:hint="default" w:eastAsia="宋体"/>
                <w:color w:val="auto"/>
                <w:sz w:val="24"/>
                <w:highlight w:val="none"/>
              </w:rPr>
              <w:t>本项目主要生产设备见表2-</w:t>
            </w:r>
            <w:r>
              <w:rPr>
                <w:rFonts w:hint="eastAsia"/>
                <w:color w:val="auto"/>
                <w:sz w:val="24"/>
                <w:highlight w:val="none"/>
                <w:lang w:val="en-US" w:eastAsia="zh-CN"/>
              </w:rPr>
              <w:t>7</w:t>
            </w:r>
            <w:r>
              <w:rPr>
                <w:rFonts w:hint="default" w:eastAsia="宋体"/>
                <w:color w:val="auto"/>
                <w:sz w:val="24"/>
                <w:highlight w:val="none"/>
              </w:rPr>
              <w:t>。</w:t>
            </w:r>
          </w:p>
          <w:p w14:paraId="377766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表2-</w:t>
            </w:r>
            <w:r>
              <w:rPr>
                <w:rFonts w:hint="eastAsia" w:cs="Times New Roman"/>
                <w:b/>
                <w:color w:val="auto"/>
                <w:sz w:val="21"/>
                <w:szCs w:val="21"/>
                <w:highlight w:val="none"/>
                <w:lang w:val="en-US" w:eastAsia="zh-CN"/>
              </w:rPr>
              <w:t>7</w:t>
            </w:r>
            <w:r>
              <w:rPr>
                <w:rFonts w:hint="eastAsia" w:ascii="Times New Roman" w:hAnsi="Times New Roman" w:eastAsia="宋体" w:cs="Times New Roman"/>
                <w:b/>
                <w:color w:val="auto"/>
                <w:sz w:val="21"/>
                <w:szCs w:val="21"/>
                <w:highlight w:val="none"/>
                <w:lang w:val="en-US" w:eastAsia="zh-CN"/>
              </w:rPr>
              <w:t xml:space="preserve">  </w:t>
            </w:r>
            <w:r>
              <w:rPr>
                <w:rFonts w:hint="default" w:ascii="Times New Roman" w:hAnsi="Times New Roman" w:eastAsia="宋体" w:cs="Times New Roman"/>
                <w:b/>
                <w:color w:val="auto"/>
                <w:sz w:val="21"/>
                <w:szCs w:val="21"/>
                <w:highlight w:val="none"/>
                <w:lang w:val="en-US" w:eastAsia="zh-CN"/>
              </w:rPr>
              <w:t>主要生产设备一览表</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183"/>
              <w:gridCol w:w="2448"/>
              <w:gridCol w:w="1630"/>
              <w:gridCol w:w="1630"/>
              <w:gridCol w:w="1299"/>
            </w:tblGrid>
            <w:tr w14:paraId="52251B3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blHeader/>
                <w:jc w:val="center"/>
              </w:trPr>
              <w:tc>
                <w:tcPr>
                  <w:tcW w:w="722" w:type="pct"/>
                  <w:vAlign w:val="center"/>
                </w:tcPr>
                <w:p w14:paraId="761409D0">
                  <w:pPr>
                    <w:keepNext w:val="0"/>
                    <w:keepLines w:val="0"/>
                    <w:suppressLineNumbers w:val="0"/>
                    <w:spacing w:before="0" w:beforeAutospacing="0" w:after="0" w:afterAutospacing="0"/>
                    <w:ind w:left="0" w:right="0"/>
                    <w:jc w:val="center"/>
                    <w:rPr>
                      <w:rFonts w:hint="default" w:eastAsia="宋体"/>
                      <w:bCs/>
                      <w:color w:val="auto"/>
                      <w:szCs w:val="21"/>
                      <w:highlight w:val="none"/>
                    </w:rPr>
                  </w:pPr>
                  <w:r>
                    <w:rPr>
                      <w:rFonts w:hint="default" w:eastAsia="宋体"/>
                      <w:bCs/>
                      <w:color w:val="auto"/>
                      <w:szCs w:val="21"/>
                      <w:highlight w:val="none"/>
                    </w:rPr>
                    <w:t>序号</w:t>
                  </w:r>
                </w:p>
              </w:tc>
              <w:tc>
                <w:tcPr>
                  <w:tcW w:w="1494" w:type="pct"/>
                  <w:vAlign w:val="center"/>
                </w:tcPr>
                <w:p w14:paraId="0880746B">
                  <w:pPr>
                    <w:keepNext w:val="0"/>
                    <w:keepLines w:val="0"/>
                    <w:suppressLineNumbers w:val="0"/>
                    <w:spacing w:before="0" w:beforeAutospacing="0" w:after="0" w:afterAutospacing="0"/>
                    <w:ind w:left="0" w:right="0"/>
                    <w:jc w:val="center"/>
                    <w:rPr>
                      <w:rFonts w:hint="default" w:eastAsia="宋体"/>
                      <w:bCs/>
                      <w:color w:val="auto"/>
                      <w:szCs w:val="21"/>
                      <w:highlight w:val="none"/>
                    </w:rPr>
                  </w:pPr>
                  <w:r>
                    <w:rPr>
                      <w:rFonts w:hint="default" w:eastAsia="宋体"/>
                      <w:bCs/>
                      <w:color w:val="auto"/>
                      <w:szCs w:val="21"/>
                      <w:highlight w:val="none"/>
                    </w:rPr>
                    <w:t>名称</w:t>
                  </w:r>
                </w:p>
              </w:tc>
              <w:tc>
                <w:tcPr>
                  <w:tcW w:w="995" w:type="pct"/>
                  <w:vAlign w:val="center"/>
                </w:tcPr>
                <w:p w14:paraId="25A769F1">
                  <w:pPr>
                    <w:keepNext w:val="0"/>
                    <w:keepLines w:val="0"/>
                    <w:suppressLineNumbers w:val="0"/>
                    <w:spacing w:before="0" w:beforeAutospacing="0" w:after="0" w:afterAutospacing="0"/>
                    <w:ind w:left="0" w:right="0"/>
                    <w:jc w:val="center"/>
                    <w:rPr>
                      <w:rFonts w:hint="eastAsia" w:eastAsia="宋体"/>
                      <w:bCs/>
                      <w:color w:val="auto"/>
                      <w:szCs w:val="21"/>
                      <w:highlight w:val="none"/>
                      <w:lang w:val="en-US" w:eastAsia="zh-CN"/>
                    </w:rPr>
                  </w:pPr>
                  <w:r>
                    <w:rPr>
                      <w:rFonts w:hint="eastAsia"/>
                      <w:bCs/>
                      <w:color w:val="auto"/>
                      <w:szCs w:val="21"/>
                      <w:highlight w:val="none"/>
                      <w:lang w:val="en-US" w:eastAsia="zh-CN"/>
                    </w:rPr>
                    <w:t>型号</w:t>
                  </w:r>
                </w:p>
              </w:tc>
              <w:tc>
                <w:tcPr>
                  <w:tcW w:w="995" w:type="pct"/>
                  <w:vAlign w:val="center"/>
                </w:tcPr>
                <w:p w14:paraId="06A6F6F3">
                  <w:pPr>
                    <w:keepNext w:val="0"/>
                    <w:keepLines w:val="0"/>
                    <w:suppressLineNumbers w:val="0"/>
                    <w:spacing w:before="0" w:beforeAutospacing="0" w:after="0" w:afterAutospacing="0"/>
                    <w:ind w:left="0" w:right="0"/>
                    <w:jc w:val="center"/>
                    <w:rPr>
                      <w:rFonts w:hint="default" w:eastAsia="宋体"/>
                      <w:bCs/>
                      <w:color w:val="auto"/>
                      <w:szCs w:val="21"/>
                      <w:highlight w:val="none"/>
                    </w:rPr>
                  </w:pPr>
                  <w:r>
                    <w:rPr>
                      <w:rFonts w:hint="default" w:eastAsia="宋体"/>
                      <w:bCs/>
                      <w:color w:val="auto"/>
                      <w:szCs w:val="21"/>
                      <w:highlight w:val="none"/>
                    </w:rPr>
                    <w:t>单位</w:t>
                  </w:r>
                </w:p>
              </w:tc>
              <w:tc>
                <w:tcPr>
                  <w:tcW w:w="792" w:type="pct"/>
                  <w:vAlign w:val="center"/>
                </w:tcPr>
                <w:p w14:paraId="4FA8FF2D">
                  <w:pPr>
                    <w:keepNext w:val="0"/>
                    <w:keepLines w:val="0"/>
                    <w:suppressLineNumbers w:val="0"/>
                    <w:spacing w:before="0" w:beforeAutospacing="0" w:after="0" w:afterAutospacing="0"/>
                    <w:ind w:left="0" w:right="0"/>
                    <w:jc w:val="center"/>
                    <w:rPr>
                      <w:rFonts w:hint="default" w:eastAsia="宋体"/>
                      <w:bCs/>
                      <w:color w:val="auto"/>
                      <w:szCs w:val="21"/>
                      <w:highlight w:val="none"/>
                    </w:rPr>
                  </w:pPr>
                  <w:r>
                    <w:rPr>
                      <w:rFonts w:hint="default" w:eastAsia="宋体"/>
                      <w:bCs/>
                      <w:color w:val="auto"/>
                      <w:szCs w:val="21"/>
                      <w:highlight w:val="none"/>
                    </w:rPr>
                    <w:t>数量</w:t>
                  </w:r>
                </w:p>
              </w:tc>
            </w:tr>
            <w:tr w14:paraId="4FDAAC4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22" w:type="pct"/>
                  <w:vAlign w:val="center"/>
                </w:tcPr>
                <w:p w14:paraId="4097E18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494" w:type="pct"/>
                  <w:vAlign w:val="center"/>
                </w:tcPr>
                <w:p w14:paraId="21B9CA51">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玉米扒皮机</w:t>
                  </w:r>
                </w:p>
              </w:tc>
              <w:tc>
                <w:tcPr>
                  <w:tcW w:w="995" w:type="pct"/>
                  <w:vAlign w:val="center"/>
                </w:tcPr>
                <w:p w14:paraId="279FAFE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6BLQ-210-1200</w:t>
                  </w:r>
                </w:p>
              </w:tc>
              <w:tc>
                <w:tcPr>
                  <w:tcW w:w="995" w:type="pct"/>
                  <w:vAlign w:val="center"/>
                </w:tcPr>
                <w:p w14:paraId="7FA8D6A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台</w:t>
                  </w:r>
                </w:p>
              </w:tc>
              <w:tc>
                <w:tcPr>
                  <w:tcW w:w="792" w:type="pct"/>
                  <w:vAlign w:val="center"/>
                </w:tcPr>
                <w:p w14:paraId="4DF1332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r>
            <w:tr w14:paraId="50860D1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22" w:type="pct"/>
                  <w:vAlign w:val="center"/>
                </w:tcPr>
                <w:p w14:paraId="3311450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1494" w:type="pct"/>
                  <w:vAlign w:val="center"/>
                </w:tcPr>
                <w:p w14:paraId="5FEC2331">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玉米切头机</w:t>
                  </w:r>
                </w:p>
              </w:tc>
              <w:tc>
                <w:tcPr>
                  <w:tcW w:w="995" w:type="pct"/>
                  <w:vAlign w:val="center"/>
                </w:tcPr>
                <w:p w14:paraId="2C35E5B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6.4*1.5*1.5</w:t>
                  </w:r>
                </w:p>
              </w:tc>
              <w:tc>
                <w:tcPr>
                  <w:tcW w:w="995" w:type="pct"/>
                  <w:vAlign w:val="center"/>
                </w:tcPr>
                <w:p w14:paraId="3436291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台</w:t>
                  </w:r>
                </w:p>
              </w:tc>
              <w:tc>
                <w:tcPr>
                  <w:tcW w:w="792" w:type="pct"/>
                  <w:vAlign w:val="center"/>
                </w:tcPr>
                <w:p w14:paraId="1A06173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r>
            <w:tr w14:paraId="046E5B8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22" w:type="pct"/>
                  <w:vAlign w:val="center"/>
                </w:tcPr>
                <w:p w14:paraId="24D5F0D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1494" w:type="pct"/>
                  <w:vAlign w:val="center"/>
                </w:tcPr>
                <w:p w14:paraId="673BF0E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玉米清洗机</w:t>
                  </w:r>
                </w:p>
              </w:tc>
              <w:tc>
                <w:tcPr>
                  <w:tcW w:w="995" w:type="pct"/>
                  <w:vAlign w:val="center"/>
                </w:tcPr>
                <w:p w14:paraId="7DA78AA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JXQC*8000</w:t>
                  </w:r>
                </w:p>
              </w:tc>
              <w:tc>
                <w:tcPr>
                  <w:tcW w:w="995" w:type="pct"/>
                  <w:vAlign w:val="center"/>
                </w:tcPr>
                <w:p w14:paraId="15F2E00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台</w:t>
                  </w:r>
                </w:p>
              </w:tc>
              <w:tc>
                <w:tcPr>
                  <w:tcW w:w="792" w:type="pct"/>
                  <w:vAlign w:val="center"/>
                </w:tcPr>
                <w:p w14:paraId="2CD9EEF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r>
            <w:tr w14:paraId="53D9142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22" w:type="pct"/>
                  <w:vAlign w:val="center"/>
                </w:tcPr>
                <w:p w14:paraId="0577E3E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1494" w:type="pct"/>
                  <w:vAlign w:val="center"/>
                </w:tcPr>
                <w:p w14:paraId="18979C3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给袋式</w:t>
                  </w:r>
                  <w:r>
                    <w:rPr>
                      <w:rFonts w:hint="eastAsia" w:cs="Times New Roman"/>
                      <w:color w:val="auto"/>
                      <w:sz w:val="21"/>
                      <w:szCs w:val="21"/>
                      <w:highlight w:val="none"/>
                      <w:lang w:val="en-US" w:eastAsia="zh-CN"/>
                    </w:rPr>
                    <w:t>真空</w:t>
                  </w:r>
                  <w:r>
                    <w:rPr>
                      <w:rFonts w:hint="eastAsia" w:ascii="Times New Roman" w:hAnsi="Times New Roman" w:eastAsia="宋体" w:cs="Times New Roman"/>
                      <w:color w:val="auto"/>
                      <w:sz w:val="21"/>
                      <w:szCs w:val="21"/>
                      <w:highlight w:val="none"/>
                      <w:lang w:val="en-US" w:eastAsia="zh-CN"/>
                    </w:rPr>
                    <w:t>包装机</w:t>
                  </w:r>
                </w:p>
              </w:tc>
              <w:tc>
                <w:tcPr>
                  <w:tcW w:w="995" w:type="pct"/>
                  <w:vAlign w:val="center"/>
                </w:tcPr>
                <w:p w14:paraId="748430C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RZ10-140E-16ZK</w:t>
                  </w:r>
                </w:p>
              </w:tc>
              <w:tc>
                <w:tcPr>
                  <w:tcW w:w="995" w:type="pct"/>
                  <w:vAlign w:val="center"/>
                </w:tcPr>
                <w:p w14:paraId="47DFC6E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台</w:t>
                  </w:r>
                </w:p>
              </w:tc>
              <w:tc>
                <w:tcPr>
                  <w:tcW w:w="792" w:type="pct"/>
                  <w:vAlign w:val="center"/>
                </w:tcPr>
                <w:p w14:paraId="54E8D47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p>
              </w:tc>
            </w:tr>
            <w:tr w14:paraId="2F738E1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22" w:type="pct"/>
                  <w:vAlign w:val="center"/>
                </w:tcPr>
                <w:p w14:paraId="6A9D708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1494" w:type="pct"/>
                  <w:vAlign w:val="center"/>
                </w:tcPr>
                <w:p w14:paraId="147AF8E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杀菌锅</w:t>
                  </w:r>
                </w:p>
              </w:tc>
              <w:tc>
                <w:tcPr>
                  <w:tcW w:w="995" w:type="pct"/>
                  <w:vAlign w:val="center"/>
                </w:tcPr>
                <w:p w14:paraId="01E4310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R2021-0304</w:t>
                  </w:r>
                </w:p>
              </w:tc>
              <w:tc>
                <w:tcPr>
                  <w:tcW w:w="995" w:type="pct"/>
                  <w:vAlign w:val="center"/>
                </w:tcPr>
                <w:p w14:paraId="125B4D4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套</w:t>
                  </w:r>
                </w:p>
              </w:tc>
              <w:tc>
                <w:tcPr>
                  <w:tcW w:w="792" w:type="pct"/>
                  <w:vAlign w:val="center"/>
                </w:tcPr>
                <w:p w14:paraId="4D73EDC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r>
            <w:tr w14:paraId="7260149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22" w:type="pct"/>
                  <w:vAlign w:val="center"/>
                </w:tcPr>
                <w:p w14:paraId="3AE642C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w:t>
                  </w:r>
                </w:p>
              </w:tc>
              <w:tc>
                <w:tcPr>
                  <w:tcW w:w="1494" w:type="pct"/>
                  <w:vAlign w:val="center"/>
                </w:tcPr>
                <w:p w14:paraId="3F4F5DE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4t/h</w:t>
                  </w:r>
                  <w:r>
                    <w:rPr>
                      <w:rFonts w:hint="eastAsia" w:cs="Times New Roman"/>
                      <w:color w:val="auto"/>
                      <w:sz w:val="21"/>
                      <w:szCs w:val="21"/>
                      <w:highlight w:val="none"/>
                      <w:lang w:val="en-US" w:eastAsia="zh-CN"/>
                    </w:rPr>
                    <w:t>燃</w:t>
                  </w:r>
                  <w:r>
                    <w:rPr>
                      <w:rFonts w:hint="eastAsia" w:ascii="Times New Roman" w:hAnsi="Times New Roman" w:eastAsia="宋体" w:cs="Times New Roman"/>
                      <w:color w:val="auto"/>
                      <w:sz w:val="21"/>
                      <w:szCs w:val="21"/>
                      <w:highlight w:val="none"/>
                      <w:lang w:val="en-US" w:eastAsia="zh-CN"/>
                    </w:rPr>
                    <w:t>生物质蒸汽锅炉</w:t>
                  </w:r>
                </w:p>
              </w:tc>
              <w:tc>
                <w:tcPr>
                  <w:tcW w:w="995" w:type="pct"/>
                  <w:vAlign w:val="center"/>
                </w:tcPr>
                <w:p w14:paraId="3D0555D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DZL4-1.25-S</w:t>
                  </w:r>
                </w:p>
              </w:tc>
              <w:tc>
                <w:tcPr>
                  <w:tcW w:w="995" w:type="pct"/>
                  <w:vAlign w:val="center"/>
                </w:tcPr>
                <w:p w14:paraId="4539AAF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台</w:t>
                  </w:r>
                </w:p>
              </w:tc>
              <w:tc>
                <w:tcPr>
                  <w:tcW w:w="792" w:type="pct"/>
                  <w:vAlign w:val="center"/>
                </w:tcPr>
                <w:p w14:paraId="62FB2C0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r>
            <w:tr w14:paraId="21C9FD0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22" w:type="pct"/>
                  <w:vAlign w:val="center"/>
                </w:tcPr>
                <w:p w14:paraId="74B6D93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w:t>
                  </w:r>
                </w:p>
              </w:tc>
              <w:tc>
                <w:tcPr>
                  <w:tcW w:w="1494" w:type="pct"/>
                  <w:vAlign w:val="center"/>
                </w:tcPr>
                <w:p w14:paraId="50BDB95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水处理设备</w:t>
                  </w:r>
                </w:p>
              </w:tc>
              <w:tc>
                <w:tcPr>
                  <w:tcW w:w="995" w:type="pct"/>
                  <w:vAlign w:val="center"/>
                </w:tcPr>
                <w:p w14:paraId="016D0E1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995" w:type="pct"/>
                  <w:vAlign w:val="center"/>
                </w:tcPr>
                <w:p w14:paraId="4287327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套</w:t>
                  </w:r>
                </w:p>
              </w:tc>
              <w:tc>
                <w:tcPr>
                  <w:tcW w:w="792" w:type="pct"/>
                  <w:vAlign w:val="center"/>
                </w:tcPr>
                <w:p w14:paraId="25919B7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r>
            <w:tr w14:paraId="626F699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22" w:type="pct"/>
                  <w:vAlign w:val="center"/>
                </w:tcPr>
                <w:p w14:paraId="40BD2D50">
                  <w:pPr>
                    <w:keepNext w:val="0"/>
                    <w:keepLines w:val="0"/>
                    <w:suppressLineNumbers w:val="0"/>
                    <w:spacing w:before="0" w:beforeAutospacing="0" w:after="0" w:afterAutospacing="0"/>
                    <w:ind w:left="0" w:right="0"/>
                    <w:jc w:val="center"/>
                    <w:rPr>
                      <w:rFonts w:hint="eastAsia" w:eastAsia="宋体"/>
                      <w:color w:val="auto"/>
                      <w:szCs w:val="21"/>
                      <w:highlight w:val="none"/>
                      <w:lang w:val="en-US" w:eastAsia="zh-CN"/>
                    </w:rPr>
                  </w:pPr>
                  <w:r>
                    <w:rPr>
                      <w:rFonts w:hint="eastAsia" w:eastAsia="宋体"/>
                      <w:color w:val="auto"/>
                      <w:szCs w:val="21"/>
                      <w:highlight w:val="none"/>
                      <w:lang w:val="en-US" w:eastAsia="zh-CN"/>
                    </w:rPr>
                    <w:t>8</w:t>
                  </w:r>
                </w:p>
              </w:tc>
              <w:tc>
                <w:tcPr>
                  <w:tcW w:w="1494" w:type="pct"/>
                  <w:shd w:val="clear" w:color="auto" w:fill="auto"/>
                  <w:vAlign w:val="center"/>
                </w:tcPr>
                <w:p w14:paraId="24384408">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螺杆机</w:t>
                  </w:r>
                </w:p>
              </w:tc>
              <w:tc>
                <w:tcPr>
                  <w:tcW w:w="995" w:type="pct"/>
                  <w:shd w:val="clear" w:color="auto" w:fill="auto"/>
                  <w:vAlign w:val="center"/>
                </w:tcPr>
                <w:p w14:paraId="2644E71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BMVF37</w:t>
                  </w:r>
                </w:p>
              </w:tc>
              <w:tc>
                <w:tcPr>
                  <w:tcW w:w="995" w:type="pct"/>
                  <w:shd w:val="clear" w:color="auto" w:fill="auto"/>
                  <w:vAlign w:val="center"/>
                </w:tcPr>
                <w:p w14:paraId="21C12A2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台</w:t>
                  </w:r>
                </w:p>
              </w:tc>
              <w:tc>
                <w:tcPr>
                  <w:tcW w:w="792" w:type="pct"/>
                  <w:shd w:val="clear" w:color="auto" w:fill="auto"/>
                  <w:vAlign w:val="center"/>
                </w:tcPr>
                <w:p w14:paraId="1D5FE83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4</w:t>
                  </w:r>
                </w:p>
              </w:tc>
            </w:tr>
            <w:tr w14:paraId="3AF2CFD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22" w:type="pct"/>
                  <w:vAlign w:val="center"/>
                </w:tcPr>
                <w:p w14:paraId="1430C73E">
                  <w:pPr>
                    <w:keepNext w:val="0"/>
                    <w:keepLines w:val="0"/>
                    <w:suppressLineNumbers w:val="0"/>
                    <w:spacing w:before="0" w:beforeAutospacing="0" w:after="0" w:afterAutospacing="0"/>
                    <w:ind w:left="0" w:right="0"/>
                    <w:jc w:val="center"/>
                    <w:rPr>
                      <w:rFonts w:hint="eastAsia" w:eastAsia="宋体"/>
                      <w:color w:val="auto"/>
                      <w:szCs w:val="21"/>
                      <w:highlight w:val="none"/>
                      <w:lang w:val="en-US" w:eastAsia="zh-CN"/>
                    </w:rPr>
                  </w:pPr>
                  <w:r>
                    <w:rPr>
                      <w:rFonts w:hint="eastAsia" w:eastAsia="宋体"/>
                      <w:color w:val="auto"/>
                      <w:szCs w:val="21"/>
                      <w:highlight w:val="none"/>
                      <w:lang w:val="en-US" w:eastAsia="zh-CN"/>
                    </w:rPr>
                    <w:t>9</w:t>
                  </w:r>
                </w:p>
              </w:tc>
              <w:tc>
                <w:tcPr>
                  <w:tcW w:w="1494" w:type="pct"/>
                  <w:shd w:val="clear" w:color="auto" w:fill="auto"/>
                  <w:vAlign w:val="center"/>
                </w:tcPr>
                <w:p w14:paraId="1EE7725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旋风除尘+布袋除尘器</w:t>
                  </w:r>
                </w:p>
              </w:tc>
              <w:tc>
                <w:tcPr>
                  <w:tcW w:w="995" w:type="pct"/>
                  <w:shd w:val="clear" w:color="auto" w:fill="auto"/>
                  <w:vAlign w:val="center"/>
                </w:tcPr>
                <w:p w14:paraId="5E56346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w:t>
                  </w:r>
                </w:p>
              </w:tc>
              <w:tc>
                <w:tcPr>
                  <w:tcW w:w="995" w:type="pct"/>
                  <w:shd w:val="clear" w:color="auto" w:fill="auto"/>
                  <w:vAlign w:val="center"/>
                </w:tcPr>
                <w:p w14:paraId="07D95BB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台</w:t>
                  </w:r>
                </w:p>
              </w:tc>
              <w:tc>
                <w:tcPr>
                  <w:tcW w:w="792" w:type="pct"/>
                  <w:shd w:val="clear" w:color="auto" w:fill="auto"/>
                  <w:vAlign w:val="center"/>
                </w:tcPr>
                <w:p w14:paraId="71CC3E0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w:t>
                  </w:r>
                </w:p>
              </w:tc>
            </w:tr>
            <w:tr w14:paraId="235C4C0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22" w:type="pct"/>
                  <w:vAlign w:val="center"/>
                </w:tcPr>
                <w:p w14:paraId="1D021903">
                  <w:pPr>
                    <w:keepNext w:val="0"/>
                    <w:keepLines w:val="0"/>
                    <w:suppressLineNumbers w:val="0"/>
                    <w:spacing w:before="0" w:beforeAutospacing="0" w:after="0" w:afterAutospacing="0"/>
                    <w:ind w:left="0" w:right="0"/>
                    <w:jc w:val="center"/>
                    <w:rPr>
                      <w:rFonts w:hint="default" w:eastAsia="宋体"/>
                      <w:color w:val="auto"/>
                      <w:szCs w:val="21"/>
                      <w:highlight w:val="none"/>
                      <w:lang w:val="en-US" w:eastAsia="zh-CN"/>
                    </w:rPr>
                  </w:pPr>
                  <w:r>
                    <w:rPr>
                      <w:rFonts w:hint="eastAsia" w:eastAsia="宋体"/>
                      <w:color w:val="auto"/>
                      <w:szCs w:val="21"/>
                      <w:highlight w:val="none"/>
                      <w:lang w:val="en-US" w:eastAsia="zh-CN"/>
                    </w:rPr>
                    <w:t>10</w:t>
                  </w:r>
                </w:p>
              </w:tc>
              <w:tc>
                <w:tcPr>
                  <w:tcW w:w="1494" w:type="pct"/>
                  <w:shd w:val="clear" w:color="auto" w:fill="auto"/>
                  <w:vAlign w:val="center"/>
                </w:tcPr>
                <w:p w14:paraId="21D62335">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风机</w:t>
                  </w:r>
                </w:p>
              </w:tc>
              <w:tc>
                <w:tcPr>
                  <w:tcW w:w="995" w:type="pct"/>
                  <w:shd w:val="clear" w:color="auto" w:fill="auto"/>
                  <w:vAlign w:val="center"/>
                </w:tcPr>
                <w:p w14:paraId="1DDF01E8">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w:t>
                  </w:r>
                </w:p>
              </w:tc>
              <w:tc>
                <w:tcPr>
                  <w:tcW w:w="995" w:type="pct"/>
                  <w:shd w:val="clear" w:color="auto" w:fill="auto"/>
                  <w:vAlign w:val="center"/>
                </w:tcPr>
                <w:p w14:paraId="001D5F62">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台</w:t>
                  </w:r>
                </w:p>
              </w:tc>
              <w:tc>
                <w:tcPr>
                  <w:tcW w:w="792" w:type="pct"/>
                  <w:shd w:val="clear" w:color="auto" w:fill="auto"/>
                  <w:vAlign w:val="center"/>
                </w:tcPr>
                <w:p w14:paraId="247D69C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4</w:t>
                  </w:r>
                </w:p>
              </w:tc>
            </w:tr>
            <w:tr w14:paraId="76373DB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22" w:type="pct"/>
                  <w:vAlign w:val="center"/>
                </w:tcPr>
                <w:p w14:paraId="7625C8E8">
                  <w:pPr>
                    <w:keepNext w:val="0"/>
                    <w:keepLines w:val="0"/>
                    <w:suppressLineNumbers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11</w:t>
                  </w:r>
                </w:p>
              </w:tc>
              <w:tc>
                <w:tcPr>
                  <w:tcW w:w="1494" w:type="pct"/>
                  <w:shd w:val="clear" w:color="auto" w:fill="auto"/>
                  <w:vAlign w:val="center"/>
                </w:tcPr>
                <w:p w14:paraId="502B82A5">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制冷机组</w:t>
                  </w:r>
                </w:p>
              </w:tc>
              <w:tc>
                <w:tcPr>
                  <w:tcW w:w="995" w:type="pct"/>
                  <w:shd w:val="clear" w:color="auto" w:fill="auto"/>
                  <w:vAlign w:val="center"/>
                </w:tcPr>
                <w:p w14:paraId="57DFB938">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w:t>
                  </w:r>
                </w:p>
              </w:tc>
              <w:tc>
                <w:tcPr>
                  <w:tcW w:w="995" w:type="pct"/>
                  <w:shd w:val="clear" w:color="auto" w:fill="auto"/>
                  <w:vAlign w:val="center"/>
                </w:tcPr>
                <w:p w14:paraId="1E217070">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套</w:t>
                  </w:r>
                </w:p>
              </w:tc>
              <w:tc>
                <w:tcPr>
                  <w:tcW w:w="792" w:type="pct"/>
                  <w:shd w:val="clear" w:color="auto" w:fill="auto"/>
                  <w:vAlign w:val="center"/>
                </w:tcPr>
                <w:p w14:paraId="2BD7AE85">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w:t>
                  </w:r>
                </w:p>
              </w:tc>
            </w:tr>
            <w:tr w14:paraId="1E5061B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22" w:type="pct"/>
                  <w:vAlign w:val="center"/>
                </w:tcPr>
                <w:p w14:paraId="13C85C82">
                  <w:pPr>
                    <w:keepNext w:val="0"/>
                    <w:keepLines w:val="0"/>
                    <w:suppressLineNumbers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12</w:t>
                  </w:r>
                </w:p>
              </w:tc>
              <w:tc>
                <w:tcPr>
                  <w:tcW w:w="1494" w:type="pct"/>
                  <w:shd w:val="clear" w:color="auto" w:fill="auto"/>
                  <w:vAlign w:val="center"/>
                </w:tcPr>
                <w:p w14:paraId="53FDBE8D">
                  <w:pPr>
                    <w:keepNext w:val="0"/>
                    <w:keepLines w:val="0"/>
                    <w:suppressLineNumbers w:val="0"/>
                    <w:spacing w:before="0" w:beforeAutospacing="0" w:after="0" w:afterAutospacing="0"/>
                    <w:ind w:left="0" w:leftChars="0" w:right="0" w:right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冷却塔</w:t>
                  </w:r>
                </w:p>
              </w:tc>
              <w:tc>
                <w:tcPr>
                  <w:tcW w:w="995" w:type="pct"/>
                  <w:shd w:val="clear" w:color="auto" w:fill="auto"/>
                  <w:vAlign w:val="center"/>
                </w:tcPr>
                <w:p w14:paraId="5DF1501B">
                  <w:pPr>
                    <w:keepNext w:val="0"/>
                    <w:keepLines w:val="0"/>
                    <w:suppressLineNumbers w:val="0"/>
                    <w:spacing w:before="0" w:beforeAutospacing="0" w:after="0" w:afterAutospacing="0"/>
                    <w:ind w:left="0" w:leftChars="0" w:right="0" w:right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995" w:type="pct"/>
                  <w:shd w:val="clear" w:color="auto" w:fill="auto"/>
                  <w:vAlign w:val="center"/>
                </w:tcPr>
                <w:p w14:paraId="5D3F22EC">
                  <w:pPr>
                    <w:keepNext w:val="0"/>
                    <w:keepLines w:val="0"/>
                    <w:suppressLineNumbers w:val="0"/>
                    <w:spacing w:before="0" w:beforeAutospacing="0" w:after="0" w:afterAutospacing="0"/>
                    <w:ind w:left="0" w:leftChars="0" w:right="0" w:right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座</w:t>
                  </w:r>
                </w:p>
              </w:tc>
              <w:tc>
                <w:tcPr>
                  <w:tcW w:w="792" w:type="pct"/>
                  <w:shd w:val="clear" w:color="auto" w:fill="auto"/>
                  <w:vAlign w:val="center"/>
                </w:tcPr>
                <w:p w14:paraId="6C8E6521">
                  <w:pPr>
                    <w:keepNext w:val="0"/>
                    <w:keepLines w:val="0"/>
                    <w:suppressLineNumbers w:val="0"/>
                    <w:spacing w:before="0" w:beforeAutospacing="0" w:after="0" w:afterAutospacing="0"/>
                    <w:ind w:left="0" w:leftChars="0" w:right="0" w:right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r>
          </w:tbl>
          <w:p w14:paraId="43B9360C">
            <w:pPr>
              <w:keepNext w:val="0"/>
              <w:keepLines w:val="0"/>
              <w:suppressLineNumbers w:val="0"/>
              <w:spacing w:before="0" w:beforeAutospacing="0" w:after="0" w:afterAutospacing="0" w:line="360" w:lineRule="auto"/>
              <w:ind w:left="0" w:right="0" w:firstLine="482" w:firstLineChars="200"/>
              <w:rPr>
                <w:rFonts w:hint="default" w:eastAsia="宋体"/>
                <w:b/>
                <w:color w:val="auto"/>
                <w:sz w:val="24"/>
                <w:highlight w:val="none"/>
              </w:rPr>
            </w:pPr>
            <w:r>
              <w:rPr>
                <w:rFonts w:hint="eastAsia"/>
                <w:b/>
                <w:color w:val="auto"/>
                <w:sz w:val="24"/>
                <w:highlight w:val="none"/>
                <w:lang w:val="en-US" w:eastAsia="zh-CN"/>
              </w:rPr>
              <w:t>7</w:t>
            </w:r>
            <w:r>
              <w:rPr>
                <w:rFonts w:hint="default" w:eastAsia="宋体"/>
                <w:b/>
                <w:color w:val="auto"/>
                <w:sz w:val="24"/>
                <w:highlight w:val="none"/>
              </w:rPr>
              <w:t>、公用工程</w:t>
            </w:r>
          </w:p>
          <w:p w14:paraId="0E0E2BD5">
            <w:pPr>
              <w:adjustRightInd w:val="0"/>
              <w:snapToGrid w:val="0"/>
              <w:spacing w:line="360" w:lineRule="auto"/>
              <w:ind w:firstLine="480" w:firstLineChars="200"/>
              <w:rPr>
                <w:rFonts w:hint="eastAsia" w:eastAsia="宋体"/>
                <w:bCs/>
                <w:color w:val="auto"/>
                <w:sz w:val="24"/>
                <w:lang w:eastAsia="zh-CN"/>
              </w:rPr>
            </w:pPr>
            <w:r>
              <w:rPr>
                <w:rFonts w:hint="eastAsia"/>
                <w:bCs/>
                <w:color w:val="auto"/>
                <w:sz w:val="24"/>
                <w:lang w:eastAsia="zh-CN"/>
              </w:rPr>
              <w:t>（</w:t>
            </w:r>
            <w:r>
              <w:rPr>
                <w:rFonts w:hint="eastAsia"/>
                <w:bCs/>
                <w:color w:val="auto"/>
                <w:sz w:val="24"/>
                <w:lang w:val="en-US" w:eastAsia="zh-CN"/>
              </w:rPr>
              <w:t>1</w:t>
            </w:r>
            <w:r>
              <w:rPr>
                <w:rFonts w:hint="eastAsia"/>
                <w:bCs/>
                <w:color w:val="auto"/>
                <w:sz w:val="24"/>
                <w:lang w:eastAsia="zh-CN"/>
              </w:rPr>
              <w:t>）供水</w:t>
            </w:r>
          </w:p>
          <w:p w14:paraId="65715B45">
            <w:pPr>
              <w:adjustRightInd w:val="0"/>
              <w:snapToGrid w:val="0"/>
              <w:spacing w:line="360" w:lineRule="auto"/>
              <w:ind w:firstLine="480" w:firstLineChars="200"/>
              <w:rPr>
                <w:color w:val="auto"/>
                <w:sz w:val="24"/>
              </w:rPr>
            </w:pPr>
            <w:r>
              <w:rPr>
                <w:rFonts w:hint="eastAsia"/>
                <w:color w:val="auto"/>
                <w:sz w:val="24"/>
              </w:rPr>
              <w:t>建设</w:t>
            </w:r>
            <w:r>
              <w:rPr>
                <w:rFonts w:hint="eastAsia"/>
                <w:bCs/>
                <w:color w:val="auto"/>
                <w:sz w:val="24"/>
              </w:rPr>
              <w:t>项目</w:t>
            </w:r>
            <w:r>
              <w:rPr>
                <w:color w:val="auto"/>
                <w:sz w:val="24"/>
              </w:rPr>
              <w:t>用水主要</w:t>
            </w:r>
            <w:r>
              <w:rPr>
                <w:rFonts w:hint="eastAsia"/>
                <w:color w:val="auto"/>
                <w:sz w:val="24"/>
              </w:rPr>
              <w:t>为</w:t>
            </w:r>
            <w:r>
              <w:rPr>
                <w:rFonts w:hint="eastAsia"/>
                <w:color w:val="auto"/>
                <w:sz w:val="24"/>
                <w:lang w:val="en-US" w:eastAsia="zh-CN"/>
              </w:rPr>
              <w:t>玉米清洗</w:t>
            </w:r>
            <w:r>
              <w:rPr>
                <w:rFonts w:hint="eastAsia"/>
                <w:color w:val="auto"/>
                <w:sz w:val="24"/>
              </w:rPr>
              <w:t>用水</w:t>
            </w:r>
            <w:r>
              <w:rPr>
                <w:rFonts w:hint="eastAsia"/>
                <w:color w:val="auto"/>
                <w:sz w:val="24"/>
                <w:lang w:eastAsia="zh-CN"/>
              </w:rPr>
              <w:t>、</w:t>
            </w:r>
            <w:r>
              <w:rPr>
                <w:rFonts w:hint="eastAsia"/>
                <w:color w:val="auto"/>
                <w:sz w:val="24"/>
                <w:lang w:val="en-US" w:eastAsia="zh-CN"/>
              </w:rPr>
              <w:t>车间清洗用水、锅炉用水、喷淋用水、反冲洗用水、高温灭菌用水及</w:t>
            </w:r>
            <w:r>
              <w:rPr>
                <w:rFonts w:hint="eastAsia"/>
                <w:color w:val="auto"/>
                <w:sz w:val="24"/>
              </w:rPr>
              <w:t>生活用水</w:t>
            </w:r>
            <w:r>
              <w:rPr>
                <w:rFonts w:hint="eastAsia"/>
                <w:color w:val="auto"/>
                <w:sz w:val="24"/>
                <w:lang w:eastAsia="zh-CN"/>
              </w:rPr>
              <w:t>，</w:t>
            </w:r>
            <w:r>
              <w:rPr>
                <w:rFonts w:hint="eastAsia"/>
                <w:color w:val="auto"/>
                <w:sz w:val="24"/>
                <w:lang w:val="en-US" w:eastAsia="zh-CN"/>
              </w:rPr>
              <w:t>生产及生活用水由厂区自建深水井提供</w:t>
            </w:r>
            <w:r>
              <w:rPr>
                <w:rFonts w:hint="eastAsia"/>
                <w:color w:val="auto"/>
                <w:sz w:val="24"/>
              </w:rPr>
              <w:t>。</w:t>
            </w:r>
          </w:p>
          <w:p w14:paraId="3ED57860">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rPr>
              <w:t>①</w:t>
            </w:r>
            <w:r>
              <w:rPr>
                <w:rFonts w:hint="eastAsia" w:cs="Times New Roman"/>
                <w:color w:val="auto"/>
                <w:sz w:val="24"/>
                <w:lang w:val="en-US" w:eastAsia="zh-CN"/>
              </w:rPr>
              <w:t>玉米清洗用水</w:t>
            </w:r>
          </w:p>
          <w:p w14:paraId="2473004F">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eastAsia"/>
                <w:color w:val="auto"/>
                <w:sz w:val="24"/>
                <w:lang w:val="en-US" w:eastAsia="zh-CN"/>
              </w:rPr>
              <w:t>本项目玉米需要进行清洗，</w:t>
            </w:r>
            <w:r>
              <w:rPr>
                <w:rFonts w:hint="eastAsia"/>
                <w:color w:val="auto"/>
                <w:sz w:val="24"/>
              </w:rPr>
              <w:t>参照《</w:t>
            </w:r>
            <w:r>
              <w:rPr>
                <w:rFonts w:hint="eastAsia"/>
                <w:color w:val="auto"/>
                <w:sz w:val="24"/>
                <w:lang w:val="en-US" w:eastAsia="zh-CN"/>
              </w:rPr>
              <w:t>黑龙江省用水定额</w:t>
            </w:r>
            <w:r>
              <w:rPr>
                <w:rFonts w:hint="eastAsia"/>
                <w:color w:val="auto"/>
                <w:sz w:val="24"/>
              </w:rPr>
              <w:t>》</w:t>
            </w:r>
            <w:r>
              <w:rPr>
                <w:rFonts w:hint="default"/>
                <w:color w:val="auto"/>
                <w:sz w:val="24"/>
              </w:rPr>
              <w:t>（DB23/T727-2021）</w:t>
            </w:r>
            <w:r>
              <w:rPr>
                <w:rFonts w:hint="eastAsia"/>
                <w:color w:val="auto"/>
                <w:sz w:val="24"/>
                <w:lang w:eastAsia="zh-CN"/>
              </w:rPr>
              <w:t>“</w:t>
            </w:r>
            <w:r>
              <w:rPr>
                <w:rFonts w:hint="default"/>
                <w:color w:val="auto"/>
                <w:sz w:val="24"/>
              </w:rPr>
              <w:t>表E.2 农副食品加工业用水定额</w:t>
            </w:r>
            <w:r>
              <w:rPr>
                <w:rFonts w:hint="eastAsia"/>
                <w:color w:val="auto"/>
                <w:sz w:val="24"/>
                <w:lang w:val="en-US" w:eastAsia="zh-CN"/>
              </w:rPr>
              <w:t xml:space="preserve"> C1371 速冻蔬菜</w:t>
            </w:r>
            <w:r>
              <w:rPr>
                <w:rFonts w:hint="eastAsia"/>
                <w:color w:val="auto"/>
                <w:sz w:val="24"/>
                <w:lang w:eastAsia="zh-CN"/>
              </w:rPr>
              <w:t>”</w:t>
            </w:r>
            <w:r>
              <w:rPr>
                <w:rFonts w:hint="eastAsia"/>
                <w:color w:val="auto"/>
                <w:sz w:val="24"/>
                <w:lang w:val="en-US" w:eastAsia="zh-CN"/>
              </w:rPr>
              <w:t>通用值为3.0m</w:t>
            </w:r>
            <w:r>
              <w:rPr>
                <w:rFonts w:hint="eastAsia"/>
                <w:color w:val="auto"/>
                <w:sz w:val="24"/>
                <w:vertAlign w:val="superscript"/>
                <w:lang w:val="en-US" w:eastAsia="zh-CN"/>
              </w:rPr>
              <w:t>3</w:t>
            </w:r>
            <w:r>
              <w:rPr>
                <w:rFonts w:hint="eastAsia"/>
                <w:color w:val="auto"/>
                <w:sz w:val="24"/>
                <w:lang w:val="en-US" w:eastAsia="zh-CN"/>
              </w:rPr>
              <w:t>/t，本项目糯玉米年用量</w:t>
            </w:r>
            <w:r>
              <w:rPr>
                <w:rFonts w:hint="eastAsia" w:ascii="Times New Roman" w:hAnsi="Times New Roman" w:eastAsia="宋体" w:cs="Times New Roman"/>
                <w:color w:val="auto"/>
                <w:sz w:val="24"/>
                <w:lang w:val="en-US" w:eastAsia="zh-CN"/>
              </w:rPr>
              <w:t>为1250t/a</w:t>
            </w:r>
            <w:r>
              <w:rPr>
                <w:rFonts w:hint="eastAsia"/>
                <w:color w:val="auto"/>
                <w:sz w:val="24"/>
                <w:lang w:val="en-US" w:eastAsia="zh-CN"/>
              </w:rPr>
              <w:t>，则玉米清洗用水量为3750t/a，125t/d。</w:t>
            </w:r>
          </w:p>
          <w:p w14:paraId="1B7FD783">
            <w:pPr>
              <w:adjustRightInd w:val="0"/>
              <w:snapToGrid w:val="0"/>
              <w:spacing w:line="360" w:lineRule="auto"/>
              <w:ind w:firstLine="480" w:firstLineChars="200"/>
              <w:rPr>
                <w:color w:val="auto"/>
                <w:sz w:val="24"/>
              </w:rPr>
            </w:pPr>
            <w:r>
              <w:rPr>
                <w:rFonts w:hint="eastAsia"/>
                <w:color w:val="auto"/>
                <w:sz w:val="24"/>
              </w:rPr>
              <w:t>②</w:t>
            </w:r>
            <w:r>
              <w:rPr>
                <w:rFonts w:hint="eastAsia"/>
                <w:color w:val="auto"/>
                <w:sz w:val="24"/>
                <w:lang w:val="en-US" w:eastAsia="zh-CN"/>
              </w:rPr>
              <w:t>车间</w:t>
            </w:r>
            <w:r>
              <w:rPr>
                <w:rFonts w:hint="eastAsia"/>
                <w:color w:val="auto"/>
                <w:sz w:val="24"/>
              </w:rPr>
              <w:t>清洗用水</w:t>
            </w:r>
          </w:p>
          <w:p w14:paraId="5E38DB97">
            <w:pPr>
              <w:adjustRightInd w:val="0"/>
              <w:snapToGrid w:val="0"/>
              <w:spacing w:line="360" w:lineRule="auto"/>
              <w:ind w:firstLine="480" w:firstLineChars="200"/>
              <w:rPr>
                <w:rFonts w:hint="default" w:eastAsia="宋体"/>
                <w:color w:val="auto"/>
                <w:sz w:val="24"/>
                <w:lang w:val="en-US" w:eastAsia="zh-CN"/>
              </w:rPr>
            </w:pPr>
            <w:r>
              <w:rPr>
                <w:rFonts w:hint="eastAsia"/>
                <w:color w:val="auto"/>
                <w:sz w:val="24"/>
              </w:rPr>
              <w:t>企业需每</w:t>
            </w:r>
            <w:r>
              <w:rPr>
                <w:rFonts w:hint="eastAsia"/>
                <w:color w:val="auto"/>
                <w:sz w:val="24"/>
                <w:lang w:val="en-US" w:eastAsia="zh-CN"/>
              </w:rPr>
              <w:t>周</w:t>
            </w:r>
            <w:r>
              <w:rPr>
                <w:rFonts w:hint="eastAsia"/>
                <w:color w:val="auto"/>
                <w:sz w:val="24"/>
              </w:rPr>
              <w:t>对车间地面进行清洗。</w:t>
            </w:r>
            <w:r>
              <w:rPr>
                <w:rFonts w:hint="eastAsia"/>
                <w:color w:val="auto"/>
                <w:sz w:val="24"/>
                <w:lang w:val="en-US" w:eastAsia="zh-CN"/>
              </w:rPr>
              <w:t>总建筑</w:t>
            </w:r>
            <w:r>
              <w:rPr>
                <w:rFonts w:hint="eastAsia"/>
                <w:color w:val="auto"/>
                <w:sz w:val="24"/>
              </w:rPr>
              <w:t>面积为</w:t>
            </w:r>
            <w:r>
              <w:rPr>
                <w:rFonts w:hint="eastAsia" w:cs="Times New Roman"/>
                <w:color w:val="auto"/>
                <w:spacing w:val="4"/>
                <w:sz w:val="24"/>
                <w:highlight w:val="none"/>
                <w:lang w:val="en-US" w:eastAsia="zh-CN"/>
              </w:rPr>
              <w:t>4741</w:t>
            </w:r>
            <w:r>
              <w:rPr>
                <w:rFonts w:hint="eastAsia"/>
                <w:color w:val="auto"/>
                <w:sz w:val="24"/>
              </w:rPr>
              <w:t>m</w:t>
            </w:r>
            <w:r>
              <w:rPr>
                <w:rFonts w:hint="eastAsia"/>
                <w:color w:val="auto"/>
                <w:sz w:val="24"/>
                <w:vertAlign w:val="superscript"/>
              </w:rPr>
              <w:t>2</w:t>
            </w:r>
            <w:r>
              <w:rPr>
                <w:rFonts w:hint="eastAsia"/>
                <w:color w:val="auto"/>
                <w:sz w:val="24"/>
              </w:rPr>
              <w:t>，其中需冲洗的生产车间面积共约</w:t>
            </w:r>
            <w:r>
              <w:rPr>
                <w:rFonts w:hint="eastAsia" w:cs="Times New Roman"/>
                <w:color w:val="auto"/>
                <w:spacing w:val="4"/>
                <w:sz w:val="24"/>
                <w:highlight w:val="none"/>
                <w:lang w:val="en-US" w:eastAsia="zh-CN"/>
              </w:rPr>
              <w:t>1468</w:t>
            </w:r>
            <w:r>
              <w:rPr>
                <w:rFonts w:hint="eastAsia"/>
                <w:color w:val="auto"/>
                <w:sz w:val="24"/>
              </w:rPr>
              <w:t>m</w:t>
            </w:r>
            <w:r>
              <w:rPr>
                <w:rFonts w:hint="eastAsia"/>
                <w:color w:val="auto"/>
                <w:sz w:val="24"/>
                <w:vertAlign w:val="superscript"/>
              </w:rPr>
              <w:t>2</w:t>
            </w:r>
            <w:r>
              <w:rPr>
                <w:rFonts w:hint="eastAsia"/>
                <w:color w:val="auto"/>
                <w:sz w:val="24"/>
              </w:rPr>
              <w:t>，车间地面清洗用水按</w:t>
            </w:r>
            <w:r>
              <w:rPr>
                <w:rFonts w:hint="eastAsia"/>
                <w:color w:val="auto"/>
                <w:sz w:val="24"/>
                <w:lang w:val="en-US" w:eastAsia="zh-CN"/>
              </w:rPr>
              <w:t>0.5</w:t>
            </w:r>
            <w:r>
              <w:rPr>
                <w:rFonts w:hint="eastAsia"/>
                <w:color w:val="auto"/>
                <w:sz w:val="24"/>
              </w:rPr>
              <w:t>L/m</w:t>
            </w:r>
            <w:r>
              <w:rPr>
                <w:rFonts w:hint="eastAsia"/>
                <w:color w:val="auto"/>
                <w:sz w:val="24"/>
                <w:vertAlign w:val="superscript"/>
              </w:rPr>
              <w:t>2</w:t>
            </w:r>
            <w:r>
              <w:rPr>
                <w:rFonts w:hint="eastAsia"/>
                <w:color w:val="auto"/>
                <w:sz w:val="24"/>
              </w:rPr>
              <w:t>计，</w:t>
            </w:r>
            <w:r>
              <w:rPr>
                <w:rFonts w:hint="eastAsia"/>
                <w:color w:val="auto"/>
                <w:sz w:val="24"/>
                <w:lang w:val="en-US" w:eastAsia="zh-CN"/>
              </w:rPr>
              <w:t>则车间</w:t>
            </w:r>
            <w:r>
              <w:rPr>
                <w:rFonts w:hint="eastAsia"/>
                <w:color w:val="auto"/>
                <w:sz w:val="24"/>
                <w:lang w:eastAsia="zh-CN"/>
              </w:rPr>
              <w:t>清洗用水量为</w:t>
            </w:r>
            <w:r>
              <w:rPr>
                <w:rFonts w:hint="eastAsia"/>
                <w:color w:val="auto"/>
                <w:sz w:val="24"/>
                <w:lang w:val="en-US" w:eastAsia="zh-CN"/>
              </w:rPr>
              <w:t>10.486t/a</w:t>
            </w:r>
            <w:r>
              <w:rPr>
                <w:rFonts w:hint="eastAsia"/>
                <w:color w:val="auto"/>
                <w:sz w:val="24"/>
                <w:lang w:eastAsia="zh-CN"/>
              </w:rPr>
              <w:t>，</w:t>
            </w:r>
            <w:r>
              <w:rPr>
                <w:rFonts w:hint="eastAsia"/>
                <w:color w:val="auto"/>
                <w:sz w:val="24"/>
                <w:lang w:val="en-US" w:eastAsia="zh-CN"/>
              </w:rPr>
              <w:t>0.35t/d</w:t>
            </w:r>
            <w:r>
              <w:rPr>
                <w:rFonts w:hint="eastAsia"/>
                <w:color w:val="auto"/>
                <w:sz w:val="24"/>
                <w:lang w:eastAsia="zh-CN"/>
              </w:rPr>
              <w:t>。</w:t>
            </w:r>
            <w:r>
              <w:rPr>
                <w:rFonts w:hint="eastAsia"/>
                <w:color w:val="auto"/>
                <w:sz w:val="24"/>
                <w:lang w:val="en-US" w:eastAsia="zh-CN"/>
              </w:rPr>
              <w:t>车间清洗用水优先使用冷却塔冷却收集的喷淋用水，不足时由自建深水井提供。</w:t>
            </w:r>
          </w:p>
          <w:p w14:paraId="64AEF7B9">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③锅炉用水</w:t>
            </w:r>
          </w:p>
          <w:p w14:paraId="3E8726DA">
            <w:pPr>
              <w:adjustRightInd w:val="0"/>
              <w:snapToGrid w:val="0"/>
              <w:spacing w:line="360" w:lineRule="auto"/>
              <w:ind w:firstLine="480" w:firstLineChars="200"/>
              <w:rPr>
                <w:rFonts w:hint="eastAsia" w:ascii="Times New Roman" w:hAnsi="Times New Roman" w:eastAsia="宋体" w:cs="Times New Roman"/>
                <w:color w:val="auto"/>
                <w:sz w:val="24"/>
                <w:lang w:val="zh-CN"/>
              </w:rPr>
            </w:pPr>
            <w:r>
              <w:rPr>
                <w:rFonts w:hint="default" w:ascii="Times New Roman" w:hAnsi="Times New Roman" w:eastAsia="宋体" w:cs="Times New Roman"/>
                <w:color w:val="auto"/>
                <w:sz w:val="24"/>
                <w:lang w:val="en-US" w:eastAsia="zh-CN"/>
              </w:rPr>
              <w:t>本项目</w:t>
            </w:r>
            <w:r>
              <w:rPr>
                <w:rFonts w:hint="eastAsia" w:cs="Times New Roman"/>
                <w:color w:val="auto"/>
                <w:sz w:val="24"/>
                <w:lang w:val="en-US" w:eastAsia="zh-CN"/>
              </w:rPr>
              <w:t>生活供暖和生产供热</w:t>
            </w:r>
            <w:r>
              <w:rPr>
                <w:rFonts w:hint="eastAsia" w:ascii="Times New Roman" w:hAnsi="Times New Roman" w:eastAsia="宋体" w:cs="Times New Roman"/>
                <w:color w:val="auto"/>
                <w:sz w:val="24"/>
                <w:lang w:val="en-US" w:eastAsia="zh-CN"/>
              </w:rPr>
              <w:t>使用1台</w:t>
            </w:r>
            <w:r>
              <w:rPr>
                <w:rFonts w:hint="eastAsia" w:cs="Times New Roman"/>
                <w:color w:val="auto"/>
                <w:sz w:val="24"/>
                <w:lang w:val="en-US" w:eastAsia="zh-CN"/>
              </w:rPr>
              <w:t>4</w:t>
            </w:r>
            <w:r>
              <w:rPr>
                <w:rFonts w:hint="eastAsia" w:ascii="Times New Roman" w:hAnsi="Times New Roman" w:eastAsia="宋体" w:cs="Times New Roman"/>
                <w:color w:val="auto"/>
                <w:sz w:val="24"/>
                <w:lang w:val="en-US" w:eastAsia="zh-CN"/>
              </w:rPr>
              <w:t>t/h</w:t>
            </w:r>
            <w:r>
              <w:rPr>
                <w:rFonts w:hint="eastAsia" w:cs="Times New Roman"/>
                <w:color w:val="auto"/>
                <w:sz w:val="24"/>
                <w:lang w:val="en-US" w:eastAsia="zh-CN"/>
              </w:rPr>
              <w:t>燃生物质</w:t>
            </w:r>
            <w:r>
              <w:rPr>
                <w:rFonts w:hint="eastAsia" w:ascii="Times New Roman" w:hAnsi="Times New Roman" w:eastAsia="宋体" w:cs="Times New Roman"/>
                <w:color w:val="auto"/>
                <w:sz w:val="24"/>
                <w:lang w:val="en-US" w:eastAsia="zh-CN"/>
              </w:rPr>
              <w:t>蒸汽锅炉</w:t>
            </w:r>
            <w:r>
              <w:rPr>
                <w:rFonts w:hint="eastAsia" w:cs="Times New Roman"/>
                <w:color w:val="auto"/>
                <w:sz w:val="24"/>
                <w:lang w:val="en-US" w:eastAsia="zh-CN"/>
              </w:rPr>
              <w:t>，4</w:t>
            </w:r>
            <w:r>
              <w:rPr>
                <w:rFonts w:hint="eastAsia" w:ascii="Times New Roman" w:hAnsi="Times New Roman" w:eastAsia="宋体" w:cs="Times New Roman"/>
                <w:color w:val="auto"/>
                <w:sz w:val="24"/>
                <w:lang w:val="en-US" w:eastAsia="zh-CN"/>
              </w:rPr>
              <w:t>t/h</w:t>
            </w:r>
            <w:r>
              <w:rPr>
                <w:rFonts w:hint="eastAsia" w:cs="Times New Roman"/>
                <w:color w:val="auto"/>
                <w:sz w:val="24"/>
                <w:lang w:val="en-US" w:eastAsia="zh-CN"/>
              </w:rPr>
              <w:t>燃生物质</w:t>
            </w:r>
            <w:r>
              <w:rPr>
                <w:rFonts w:hint="eastAsia" w:ascii="Times New Roman" w:hAnsi="Times New Roman" w:eastAsia="宋体" w:cs="Times New Roman"/>
                <w:color w:val="auto"/>
                <w:sz w:val="24"/>
                <w:lang w:val="en-US" w:eastAsia="zh-CN"/>
              </w:rPr>
              <w:t>蒸汽锅炉</w:t>
            </w:r>
            <w:r>
              <w:rPr>
                <w:rFonts w:hint="eastAsia" w:cs="Times New Roman"/>
                <w:color w:val="auto"/>
                <w:sz w:val="24"/>
                <w:lang w:val="en-US" w:eastAsia="zh-CN"/>
              </w:rPr>
              <w:t>运行30天，每天运行10小时，</w:t>
            </w:r>
            <w:r>
              <w:rPr>
                <w:rFonts w:hint="eastAsia" w:ascii="Times New Roman" w:hAnsi="Times New Roman" w:eastAsia="宋体" w:cs="Times New Roman"/>
                <w:color w:val="auto"/>
                <w:sz w:val="24"/>
                <w:lang w:val="en-US" w:eastAsia="zh-CN"/>
              </w:rPr>
              <w:t>软化水采用炉外软化的方式，蒸汽锅炉软化水用量=锅炉蒸发量+锅炉排污损失，蒸汽锅炉软化水用量取日蒸发水量的20-40%，则</w:t>
            </w:r>
            <w:r>
              <w:rPr>
                <w:rFonts w:hint="eastAsia" w:cs="Times New Roman"/>
                <w:color w:val="auto"/>
                <w:sz w:val="24"/>
                <w:lang w:val="en-US" w:eastAsia="zh-CN"/>
              </w:rPr>
              <w:t>4t/h蒸汽锅炉</w:t>
            </w:r>
            <w:r>
              <w:rPr>
                <w:rFonts w:hint="eastAsia" w:ascii="Times New Roman" w:hAnsi="Times New Roman" w:eastAsia="宋体" w:cs="Times New Roman"/>
                <w:color w:val="auto"/>
                <w:sz w:val="24"/>
                <w:lang w:val="en-US" w:eastAsia="zh-CN"/>
              </w:rPr>
              <w:t>耗水量=</w:t>
            </w:r>
            <w:r>
              <w:rPr>
                <w:rFonts w:hint="eastAsia" w:cs="Times New Roman"/>
                <w:color w:val="auto"/>
                <w:sz w:val="24"/>
                <w:lang w:val="en-US" w:eastAsia="zh-CN"/>
              </w:rPr>
              <w:t>4</w:t>
            </w:r>
            <w:r>
              <w:rPr>
                <w:rFonts w:hint="eastAsia" w:ascii="Times New Roman" w:hAnsi="Times New Roman" w:eastAsia="宋体" w:cs="Times New Roman"/>
                <w:color w:val="auto"/>
                <w:sz w:val="24"/>
                <w:lang w:val="en-US" w:eastAsia="zh-CN"/>
              </w:rPr>
              <w:t>t×</w:t>
            </w:r>
            <w:r>
              <w:rPr>
                <w:rFonts w:hint="eastAsia" w:cs="Times New Roman"/>
                <w:color w:val="auto"/>
                <w:sz w:val="24"/>
                <w:lang w:val="en-US" w:eastAsia="zh-CN"/>
              </w:rPr>
              <w:t>300</w:t>
            </w:r>
            <w:r>
              <w:rPr>
                <w:rFonts w:hint="eastAsia" w:ascii="Times New Roman" w:hAnsi="Times New Roman" w:eastAsia="宋体" w:cs="Times New Roman"/>
                <w:color w:val="auto"/>
                <w:sz w:val="24"/>
                <w:lang w:val="en-US" w:eastAsia="zh-CN"/>
              </w:rPr>
              <w:t>h×30%+</w:t>
            </w:r>
            <w:r>
              <w:rPr>
                <w:rFonts w:hint="eastAsia"/>
                <w:color w:val="auto"/>
                <w:sz w:val="24"/>
                <w:highlight w:val="none"/>
                <w:lang w:val="en-US" w:eastAsia="zh-CN"/>
              </w:rPr>
              <w:t>131.684</w:t>
            </w:r>
            <w:r>
              <w:rPr>
                <w:rFonts w:hint="eastAsia" w:ascii="Times New Roman" w:hAnsi="Times New Roman" w:eastAsia="宋体" w:cs="Times New Roman"/>
                <w:color w:val="auto"/>
                <w:sz w:val="24"/>
                <w:lang w:val="en-US" w:eastAsia="zh-CN"/>
              </w:rPr>
              <w:t>t/a</w:t>
            </w:r>
            <w:r>
              <w:rPr>
                <w:rFonts w:hint="eastAsia"/>
                <w:color w:val="auto"/>
                <w:sz w:val="24"/>
                <w:lang w:val="en-US" w:eastAsia="zh-CN"/>
              </w:rPr>
              <w:t>÷0.8</w:t>
            </w:r>
            <w:r>
              <w:rPr>
                <w:rFonts w:hint="eastAsia" w:ascii="Times New Roman" w:hAnsi="Times New Roman" w:eastAsia="宋体" w:cs="Times New Roman"/>
                <w:color w:val="auto"/>
                <w:sz w:val="24"/>
                <w:lang w:val="en-US" w:eastAsia="zh-CN"/>
              </w:rPr>
              <w:t>=524.605</w:t>
            </w:r>
            <w:r>
              <w:rPr>
                <w:rFonts w:hint="eastAsia"/>
                <w:color w:val="auto"/>
                <w:sz w:val="24"/>
                <w:lang w:val="en-US" w:eastAsia="zh-CN"/>
              </w:rPr>
              <w:t>t/a</w:t>
            </w:r>
            <w:r>
              <w:rPr>
                <w:rFonts w:hint="eastAsia" w:ascii="Times New Roman" w:hAnsi="Times New Roman" w:eastAsia="宋体" w:cs="Times New Roman"/>
                <w:color w:val="auto"/>
                <w:sz w:val="24"/>
                <w:lang w:val="zh-CN"/>
              </w:rPr>
              <w:t>，平均每天用水量</w:t>
            </w:r>
            <w:r>
              <w:rPr>
                <w:rFonts w:hint="eastAsia" w:cs="Times New Roman"/>
                <w:color w:val="auto"/>
                <w:sz w:val="24"/>
                <w:lang w:val="en-US" w:eastAsia="zh-CN"/>
              </w:rPr>
              <w:t>17.487</w:t>
            </w:r>
            <w:r>
              <w:rPr>
                <w:rFonts w:hint="eastAsia"/>
                <w:color w:val="auto"/>
                <w:sz w:val="24"/>
                <w:lang w:val="en-US" w:eastAsia="zh-CN"/>
              </w:rPr>
              <w:t>t/d</w:t>
            </w:r>
            <w:r>
              <w:rPr>
                <w:rFonts w:hint="eastAsia" w:ascii="Times New Roman" w:hAnsi="Times New Roman" w:eastAsia="宋体" w:cs="Times New Roman"/>
                <w:color w:val="auto"/>
                <w:sz w:val="24"/>
                <w:lang w:val="zh-CN"/>
              </w:rPr>
              <w:t>。</w:t>
            </w:r>
          </w:p>
          <w:p w14:paraId="1ACF4D44">
            <w:pPr>
              <w:adjustRightInd w:val="0"/>
              <w:snapToGrid w:val="0"/>
              <w:spacing w:line="360" w:lineRule="auto"/>
              <w:ind w:firstLine="480" w:firstLineChars="200"/>
              <w:rPr>
                <w:rFonts w:hint="default" w:cs="Times New Roman"/>
                <w:color w:val="auto"/>
                <w:sz w:val="24"/>
                <w:lang w:val="en-US" w:eastAsia="zh-CN"/>
              </w:rPr>
            </w:pPr>
            <w:r>
              <w:rPr>
                <w:rFonts w:hint="eastAsia" w:cs="Times New Roman"/>
                <w:color w:val="auto"/>
                <w:sz w:val="24"/>
                <w:lang w:val="en-US" w:eastAsia="zh-CN"/>
              </w:rPr>
              <w:t>④喷淋用水</w:t>
            </w:r>
          </w:p>
          <w:p w14:paraId="7A31437A">
            <w:pPr>
              <w:adjustRightInd w:val="0"/>
              <w:snapToGrid w:val="0"/>
              <w:spacing w:line="360" w:lineRule="auto"/>
              <w:ind w:firstLine="480" w:firstLineChars="200"/>
              <w:rPr>
                <w:rFonts w:hint="default" w:cs="Times New Roman"/>
                <w:color w:val="auto"/>
                <w:sz w:val="24"/>
                <w:lang w:val="en-US" w:eastAsia="zh-CN"/>
              </w:rPr>
            </w:pPr>
            <w:r>
              <w:rPr>
                <w:rFonts w:hint="eastAsia" w:cs="Times New Roman"/>
                <w:color w:val="auto"/>
                <w:sz w:val="24"/>
                <w:lang w:val="en-US" w:eastAsia="zh-CN"/>
              </w:rPr>
              <w:t>本项目生产过程中玉米蒸煮灭菌后需要冷却沥干，本项目采用清水喷淋冷却，根据企业提供数据，喷淋用水量约1t/d，则喷淋用水年用量为30t/a。冷却塔喷淋用水经集水盘+防渗围堤+导流沟集中收集，全部用于车间地面清洗和厂区绿化灌溉。</w:t>
            </w:r>
          </w:p>
          <w:p w14:paraId="784EA10F">
            <w:pPr>
              <w:adjustRightInd w:val="0"/>
              <w:snapToGrid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⑤生活用水</w:t>
            </w:r>
          </w:p>
          <w:p w14:paraId="6BF7E012">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color w:val="auto"/>
                <w:sz w:val="24"/>
              </w:rPr>
              <w:t>建设项目劳动定员为</w:t>
            </w:r>
            <w:r>
              <w:rPr>
                <w:rFonts w:hint="eastAsia"/>
                <w:color w:val="auto"/>
                <w:sz w:val="24"/>
                <w:lang w:val="en-US" w:eastAsia="zh-CN"/>
              </w:rPr>
              <w:t>16</w:t>
            </w:r>
            <w:r>
              <w:rPr>
                <w:color w:val="auto"/>
                <w:sz w:val="24"/>
              </w:rPr>
              <w:t>人，</w:t>
            </w:r>
            <w:r>
              <w:rPr>
                <w:rFonts w:hint="eastAsia"/>
                <w:color w:val="auto"/>
                <w:sz w:val="24"/>
              </w:rPr>
              <w:t>年工作</w:t>
            </w:r>
            <w:r>
              <w:rPr>
                <w:rFonts w:hint="eastAsia"/>
                <w:color w:val="auto"/>
                <w:sz w:val="24"/>
                <w:lang w:val="en-US" w:eastAsia="zh-CN"/>
              </w:rPr>
              <w:t>30</w:t>
            </w:r>
            <w:r>
              <w:rPr>
                <w:rFonts w:hint="eastAsia"/>
                <w:color w:val="auto"/>
                <w:sz w:val="24"/>
              </w:rPr>
              <w:t>天，</w:t>
            </w:r>
            <w:r>
              <w:rPr>
                <w:color w:val="auto"/>
                <w:sz w:val="24"/>
              </w:rPr>
              <w:t>参照</w:t>
            </w:r>
            <w:r>
              <w:rPr>
                <w:rFonts w:hint="eastAsia"/>
                <w:color w:val="auto"/>
                <w:sz w:val="24"/>
              </w:rPr>
              <w:t>《</w:t>
            </w:r>
            <w:r>
              <w:rPr>
                <w:rFonts w:hint="eastAsia"/>
                <w:color w:val="auto"/>
                <w:sz w:val="24"/>
                <w:lang w:val="en-US" w:eastAsia="zh-CN"/>
              </w:rPr>
              <w:t>黑龙江省用水定额</w:t>
            </w:r>
            <w:r>
              <w:rPr>
                <w:rFonts w:hint="eastAsia"/>
                <w:color w:val="auto"/>
                <w:sz w:val="24"/>
              </w:rPr>
              <w:t>》</w:t>
            </w:r>
            <w:r>
              <w:rPr>
                <w:rFonts w:hint="default" w:eastAsia="宋体"/>
                <w:color w:val="auto"/>
                <w:sz w:val="24"/>
                <w:highlight w:val="none"/>
              </w:rPr>
              <w:t>（DB23/T727-2021）</w:t>
            </w:r>
            <w:r>
              <w:rPr>
                <w:color w:val="auto"/>
                <w:sz w:val="24"/>
              </w:rPr>
              <w:t>，职工用水取</w:t>
            </w:r>
            <w:r>
              <w:rPr>
                <w:rFonts w:hint="eastAsia"/>
                <w:color w:val="auto"/>
                <w:sz w:val="24"/>
                <w:lang w:val="en-US" w:eastAsia="zh-CN"/>
              </w:rPr>
              <w:t>80</w:t>
            </w:r>
            <w:r>
              <w:rPr>
                <w:color w:val="auto"/>
                <w:sz w:val="24"/>
              </w:rPr>
              <w:t>L/人</w:t>
            </w:r>
            <w:r>
              <w:rPr>
                <w:rFonts w:hint="eastAsia"/>
                <w:color w:val="auto"/>
                <w:sz w:val="24"/>
              </w:rPr>
              <w:t>·</w:t>
            </w:r>
            <w:r>
              <w:rPr>
                <w:color w:val="auto"/>
                <w:sz w:val="24"/>
              </w:rPr>
              <w:t>天，则生活用水量</w:t>
            </w:r>
            <w:r>
              <w:rPr>
                <w:rFonts w:hint="eastAsia"/>
                <w:color w:val="auto"/>
                <w:sz w:val="24"/>
                <w:lang w:val="en-US" w:eastAsia="zh-CN"/>
              </w:rPr>
              <w:t>1.28t/d，38.4t/a</w:t>
            </w:r>
            <w:r>
              <w:rPr>
                <w:rFonts w:hint="eastAsia"/>
                <w:color w:val="auto"/>
                <w:sz w:val="24"/>
                <w:lang w:eastAsia="zh-CN"/>
              </w:rPr>
              <w:t>。</w:t>
            </w:r>
          </w:p>
          <w:p w14:paraId="71AFB50D">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⑥反冲洗用水</w:t>
            </w:r>
          </w:p>
          <w:p w14:paraId="04B15846">
            <w:pPr>
              <w:adjustRightInd w:val="0"/>
              <w:snapToGrid w:val="0"/>
              <w:spacing w:line="360" w:lineRule="auto"/>
              <w:ind w:firstLine="480" w:firstLineChars="200"/>
              <w:rPr>
                <w:rFonts w:hint="eastAsia"/>
                <w:color w:val="auto"/>
                <w:sz w:val="24"/>
                <w:highlight w:val="none"/>
                <w:lang w:val="zh-CN"/>
              </w:rPr>
            </w:pPr>
            <w:r>
              <w:rPr>
                <w:rFonts w:hint="eastAsia" w:ascii="Times New Roman" w:hAnsi="Times New Roman" w:eastAsia="宋体" w:cs="Times New Roman"/>
                <w:color w:val="auto"/>
                <w:sz w:val="24"/>
                <w:lang w:val="en-US" w:eastAsia="zh-CN"/>
              </w:rPr>
              <w:t>本项目</w:t>
            </w:r>
            <w:r>
              <w:rPr>
                <w:rFonts w:hint="eastAsia"/>
                <w:color w:val="auto"/>
                <w:sz w:val="24"/>
                <w:highlight w:val="none"/>
                <w:lang w:val="zh-CN"/>
              </w:rPr>
              <w:t>软化水</w:t>
            </w:r>
            <w:r>
              <w:rPr>
                <w:rFonts w:hint="eastAsia"/>
                <w:color w:val="auto"/>
                <w:sz w:val="24"/>
                <w:highlight w:val="none"/>
                <w:lang w:val="en-US" w:eastAsia="zh-CN"/>
              </w:rPr>
              <w:t>系统定期进行</w:t>
            </w:r>
            <w:r>
              <w:rPr>
                <w:rFonts w:hint="eastAsia"/>
                <w:color w:val="auto"/>
                <w:sz w:val="24"/>
                <w:highlight w:val="none"/>
                <w:lang w:val="zh-CN"/>
              </w:rPr>
              <w:t>反冲洗，单次用水量为0.</w:t>
            </w:r>
            <w:r>
              <w:rPr>
                <w:rFonts w:hint="eastAsia"/>
                <w:color w:val="auto"/>
                <w:sz w:val="24"/>
                <w:highlight w:val="none"/>
                <w:lang w:val="en-US" w:eastAsia="zh-CN"/>
              </w:rPr>
              <w:t>3</w:t>
            </w:r>
            <w:r>
              <w:rPr>
                <w:rFonts w:hint="eastAsia"/>
                <w:color w:val="auto"/>
                <w:sz w:val="24"/>
                <w:highlight w:val="none"/>
                <w:lang w:val="zh-CN"/>
              </w:rPr>
              <w:t>t，每两天反冲洗一次，则反冲洗用水量为</w:t>
            </w:r>
            <w:r>
              <w:rPr>
                <w:rFonts w:hint="eastAsia"/>
                <w:color w:val="auto"/>
                <w:sz w:val="24"/>
                <w:highlight w:val="none"/>
                <w:lang w:val="en-US" w:eastAsia="zh-CN"/>
              </w:rPr>
              <w:t>0.15t/d，4.5</w:t>
            </w:r>
            <w:r>
              <w:rPr>
                <w:rFonts w:hint="eastAsia"/>
                <w:color w:val="auto"/>
                <w:sz w:val="24"/>
                <w:highlight w:val="none"/>
                <w:lang w:val="zh-CN"/>
              </w:rPr>
              <w:t>t/a。</w:t>
            </w:r>
          </w:p>
          <w:p w14:paraId="3AB10F55">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⑦高温灭菌用水</w:t>
            </w:r>
          </w:p>
          <w:p w14:paraId="6C578BF0">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根据企业提供的资料，本项目全自动高温杀菌锅对真空包装后的玉米进行</w:t>
            </w:r>
            <w:r>
              <w:rPr>
                <w:rFonts w:hint="eastAsia" w:cs="Times New Roman"/>
                <w:color w:val="auto"/>
                <w:sz w:val="24"/>
                <w:lang w:val="en-US" w:eastAsia="zh-CN"/>
              </w:rPr>
              <w:t>蒸汽加热</w:t>
            </w:r>
            <w:r>
              <w:rPr>
                <w:rFonts w:hint="default" w:ascii="Times New Roman" w:hAnsi="Times New Roman" w:eastAsia="宋体" w:cs="Times New Roman"/>
                <w:color w:val="auto"/>
                <w:sz w:val="24"/>
                <w:lang w:val="en-US" w:eastAsia="zh-CN"/>
              </w:rPr>
              <w:t>，</w:t>
            </w:r>
            <w:r>
              <w:rPr>
                <w:rFonts w:hint="eastAsia" w:cs="Times New Roman"/>
                <w:color w:val="auto"/>
                <w:sz w:val="24"/>
                <w:lang w:val="en-US" w:eastAsia="zh-CN"/>
              </w:rPr>
              <w:t>蒸汽冷凝后</w:t>
            </w:r>
            <w:r>
              <w:rPr>
                <w:rFonts w:hint="default" w:ascii="Times New Roman" w:hAnsi="Times New Roman" w:eastAsia="宋体" w:cs="Times New Roman"/>
                <w:color w:val="auto"/>
                <w:sz w:val="24"/>
                <w:lang w:val="en-US" w:eastAsia="zh-CN"/>
              </w:rPr>
              <w:t>循环使用，定期添加，不外排。全自动高温杀菌锅热水循环量为18m</w:t>
            </w:r>
            <w:r>
              <w:rPr>
                <w:rFonts w:hint="eastAsia"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lang w:val="en-US" w:eastAsia="zh-CN"/>
              </w:rPr>
              <w:t>h，工作时间为</w:t>
            </w:r>
            <w:r>
              <w:rPr>
                <w:rFonts w:hint="eastAsia" w:ascii="Times New Roman" w:hAnsi="Times New Roman" w:eastAsia="宋体" w:cs="Times New Roman"/>
                <w:color w:val="auto"/>
                <w:sz w:val="24"/>
                <w:lang w:val="en-US" w:eastAsia="zh-CN"/>
              </w:rPr>
              <w:t>300</w:t>
            </w:r>
            <w:r>
              <w:rPr>
                <w:rFonts w:hint="default" w:ascii="Times New Roman" w:hAnsi="Times New Roman" w:eastAsia="宋体" w:cs="Times New Roman"/>
                <w:color w:val="auto"/>
                <w:sz w:val="24"/>
                <w:lang w:val="en-US" w:eastAsia="zh-CN"/>
              </w:rPr>
              <w:t>h，损耗率约为循环量的1</w:t>
            </w:r>
            <w:r>
              <w:rPr>
                <w:rFonts w:hint="eastAsia"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lang w:val="en-US" w:eastAsia="zh-CN"/>
              </w:rPr>
              <w:t>则高温灭菌用水补充量约18</w:t>
            </w:r>
            <w:r>
              <w:rPr>
                <w:rFonts w:hint="eastAsia" w:ascii="Times New Roman" w:hAnsi="Times New Roman" w:eastAsia="宋体" w:cs="Times New Roman"/>
                <w:color w:val="auto"/>
                <w:sz w:val="24"/>
                <w:lang w:val="en-US" w:eastAsia="zh-CN"/>
              </w:rPr>
              <w:t>×300×</w:t>
            </w:r>
            <w:r>
              <w:rPr>
                <w:rFonts w:hint="default" w:ascii="Times New Roman" w:hAnsi="Times New Roman" w:eastAsia="宋体" w:cs="Times New Roman"/>
                <w:color w:val="auto"/>
                <w:sz w:val="24"/>
                <w:lang w:val="en-US" w:eastAsia="zh-CN"/>
              </w:rPr>
              <w:t>0.01=</w:t>
            </w:r>
            <w:r>
              <w:rPr>
                <w:rFonts w:hint="eastAsia" w:ascii="Times New Roman" w:hAnsi="Times New Roman" w:eastAsia="宋体" w:cs="Times New Roman"/>
                <w:color w:val="auto"/>
                <w:sz w:val="24"/>
                <w:lang w:val="en-US" w:eastAsia="zh-CN"/>
              </w:rPr>
              <w:t>54</w:t>
            </w:r>
            <w:r>
              <w:rPr>
                <w:rFonts w:hint="default" w:ascii="Times New Roman" w:hAnsi="Times New Roman" w:eastAsia="宋体" w:cs="Times New Roman"/>
                <w:color w:val="auto"/>
                <w:sz w:val="24"/>
                <w:lang w:val="en-US" w:eastAsia="zh-CN"/>
              </w:rPr>
              <w:t>t/a</w:t>
            </w:r>
            <w:r>
              <w:rPr>
                <w:rFonts w:hint="eastAsia" w:ascii="Times New Roman" w:hAnsi="Times New Roman" w:eastAsia="宋体" w:cs="Times New Roman"/>
                <w:color w:val="auto"/>
                <w:sz w:val="24"/>
                <w:lang w:val="en-US" w:eastAsia="zh-CN"/>
              </w:rPr>
              <w:t>，0.18t/d。</w:t>
            </w:r>
          </w:p>
          <w:p w14:paraId="0FB5849B">
            <w:pPr>
              <w:adjustRightInd w:val="0"/>
              <w:snapToGrid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综上，本项目总用水量4411.991t/a，145.447t/d。</w:t>
            </w:r>
          </w:p>
          <w:p w14:paraId="40D48605">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（2）排水</w:t>
            </w:r>
          </w:p>
          <w:p w14:paraId="70B2C10D">
            <w:pPr>
              <w:adjustRightInd w:val="0"/>
              <w:snapToGrid w:val="0"/>
              <w:spacing w:line="360" w:lineRule="auto"/>
              <w:ind w:firstLine="480" w:firstLineChars="200"/>
              <w:rPr>
                <w:rFonts w:hint="default" w:eastAsia="宋体"/>
                <w:color w:val="auto"/>
                <w:sz w:val="24"/>
                <w:lang w:val="en-US" w:eastAsia="zh-CN"/>
              </w:rPr>
            </w:pPr>
            <w:r>
              <w:rPr>
                <w:rFonts w:hint="eastAsia"/>
                <w:color w:val="auto"/>
                <w:sz w:val="24"/>
                <w:lang w:val="en-US" w:eastAsia="zh-CN"/>
              </w:rPr>
              <w:t>建设项目排水主要为生产废水、车间清洗废水、锅炉排污水和软化水制备废水、反冲洗废水及生活污水。本项目厂区综合废水排入市政管网，经</w:t>
            </w:r>
            <w:r>
              <w:rPr>
                <w:rFonts w:hint="eastAsia" w:ascii="Times New Roman" w:hAnsi="Times New Roman" w:eastAsia="宋体" w:cs="Times New Roman"/>
                <w:color w:val="auto"/>
                <w:sz w:val="24"/>
                <w:lang w:val="en-US" w:eastAsia="zh-CN"/>
              </w:rPr>
              <w:t>双鸭山市污水处理厂处</w:t>
            </w:r>
            <w:r>
              <w:rPr>
                <w:rFonts w:hint="eastAsia"/>
                <w:color w:val="auto"/>
                <w:sz w:val="24"/>
                <w:lang w:val="en-US" w:eastAsia="zh-CN"/>
              </w:rPr>
              <w:t>理达标后排放。</w:t>
            </w:r>
          </w:p>
          <w:p w14:paraId="6ACE3C96">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cs="Times New Roman"/>
                <w:bCs/>
                <w:color w:val="auto"/>
                <w:sz w:val="24"/>
                <w:lang w:val="en-US" w:eastAsia="zh-CN"/>
              </w:rPr>
              <w:t>①玉米清洗</w:t>
            </w:r>
            <w:r>
              <w:rPr>
                <w:rFonts w:hint="eastAsia" w:ascii="Times New Roman" w:hAnsi="Times New Roman" w:eastAsia="宋体" w:cs="Times New Roman"/>
                <w:bCs/>
                <w:color w:val="auto"/>
                <w:sz w:val="24"/>
                <w:lang w:val="en-US" w:eastAsia="zh-CN"/>
              </w:rPr>
              <w:t>废水</w:t>
            </w:r>
          </w:p>
          <w:p w14:paraId="235047B7">
            <w:pPr>
              <w:adjustRightInd w:val="0"/>
              <w:snapToGrid w:val="0"/>
              <w:spacing w:line="360" w:lineRule="auto"/>
              <w:ind w:firstLine="480" w:firstLineChars="200"/>
              <w:rPr>
                <w:rFonts w:hint="eastAsia" w:eastAsia="宋体"/>
                <w:color w:val="auto"/>
                <w:sz w:val="24"/>
                <w:lang w:val="en-US" w:eastAsia="zh-CN"/>
              </w:rPr>
            </w:pPr>
            <w:r>
              <w:rPr>
                <w:rFonts w:hint="eastAsia"/>
                <w:color w:val="auto"/>
                <w:kern w:val="0"/>
                <w:sz w:val="24"/>
                <w:lang w:val="en-US" w:eastAsia="zh-CN"/>
              </w:rPr>
              <w:t>本项目玉米清洗用水排污系数以0.8计</w:t>
            </w:r>
            <w:r>
              <w:rPr>
                <w:color w:val="auto"/>
                <w:sz w:val="24"/>
              </w:rPr>
              <w:t>，</w:t>
            </w:r>
            <w:r>
              <w:rPr>
                <w:rFonts w:hint="eastAsia"/>
                <w:color w:val="auto"/>
                <w:sz w:val="24"/>
                <w:lang w:val="en-US" w:eastAsia="zh-CN"/>
              </w:rPr>
              <w:t>则</w:t>
            </w:r>
            <w:r>
              <w:rPr>
                <w:color w:val="auto"/>
                <w:sz w:val="24"/>
              </w:rPr>
              <w:t>玉米清洗废水量为</w:t>
            </w:r>
            <w:r>
              <w:rPr>
                <w:rFonts w:hint="eastAsia"/>
                <w:color w:val="auto"/>
                <w:sz w:val="24"/>
                <w:lang w:val="en-US" w:eastAsia="zh-CN"/>
              </w:rPr>
              <w:t>3000</w:t>
            </w:r>
            <w:r>
              <w:rPr>
                <w:color w:val="auto"/>
                <w:sz w:val="24"/>
              </w:rPr>
              <w:t>t/a，</w:t>
            </w:r>
            <w:r>
              <w:rPr>
                <w:rFonts w:hint="eastAsia"/>
                <w:color w:val="auto"/>
                <w:sz w:val="24"/>
                <w:lang w:val="en-US" w:eastAsia="zh-CN"/>
              </w:rPr>
              <w:t>100</w:t>
            </w:r>
            <w:r>
              <w:rPr>
                <w:color w:val="auto"/>
                <w:sz w:val="24"/>
              </w:rPr>
              <w:t>t/d</w:t>
            </w:r>
            <w:r>
              <w:rPr>
                <w:rFonts w:hint="eastAsia"/>
                <w:color w:val="auto"/>
                <w:sz w:val="24"/>
                <w:lang w:eastAsia="zh-CN"/>
              </w:rPr>
              <w:t>。</w:t>
            </w:r>
          </w:p>
          <w:p w14:paraId="39EE6280">
            <w:pPr>
              <w:adjustRightInd w:val="0"/>
              <w:snapToGrid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color w:val="auto"/>
                <w:sz w:val="24"/>
                <w:lang w:eastAsia="zh-CN"/>
              </w:rPr>
              <w:t>②</w:t>
            </w:r>
            <w:r>
              <w:rPr>
                <w:rFonts w:hint="eastAsia"/>
                <w:color w:val="auto"/>
                <w:sz w:val="24"/>
                <w:lang w:val="en-US" w:eastAsia="zh-CN"/>
              </w:rPr>
              <w:t>车间</w:t>
            </w:r>
            <w:r>
              <w:rPr>
                <w:rFonts w:hint="eastAsia"/>
                <w:color w:val="auto"/>
                <w:sz w:val="24"/>
              </w:rPr>
              <w:t>清洗废水</w:t>
            </w:r>
          </w:p>
          <w:p w14:paraId="2AE903CB">
            <w:pPr>
              <w:adjustRightInd w:val="0"/>
              <w:snapToGrid w:val="0"/>
              <w:spacing w:line="360" w:lineRule="auto"/>
              <w:ind w:firstLine="480" w:firstLineChars="200"/>
              <w:rPr>
                <w:rFonts w:hint="eastAsia"/>
                <w:color w:val="auto"/>
                <w:sz w:val="24"/>
              </w:rPr>
            </w:pPr>
            <w:r>
              <w:rPr>
                <w:rFonts w:hint="eastAsia"/>
                <w:color w:val="auto"/>
                <w:sz w:val="24"/>
                <w:lang w:val="en-US" w:eastAsia="zh-CN"/>
              </w:rPr>
              <w:t>车间</w:t>
            </w:r>
            <w:r>
              <w:rPr>
                <w:rFonts w:hint="eastAsia"/>
                <w:color w:val="auto"/>
                <w:sz w:val="24"/>
                <w:lang w:eastAsia="zh-CN"/>
              </w:rPr>
              <w:t>清洗废水</w:t>
            </w:r>
            <w:r>
              <w:rPr>
                <w:rFonts w:hint="eastAsia"/>
                <w:color w:val="auto"/>
                <w:sz w:val="24"/>
              </w:rPr>
              <w:t>排放系数取0.</w:t>
            </w:r>
            <w:r>
              <w:rPr>
                <w:rFonts w:hint="eastAsia"/>
                <w:color w:val="auto"/>
                <w:sz w:val="24"/>
                <w:lang w:val="en-US" w:eastAsia="zh-CN"/>
              </w:rPr>
              <w:t>8</w:t>
            </w:r>
            <w:r>
              <w:rPr>
                <w:rFonts w:hint="eastAsia"/>
                <w:color w:val="auto"/>
                <w:sz w:val="24"/>
              </w:rPr>
              <w:t>，</w:t>
            </w:r>
            <w:r>
              <w:rPr>
                <w:rFonts w:hint="eastAsia"/>
                <w:color w:val="auto"/>
                <w:sz w:val="24"/>
                <w:lang w:eastAsia="zh-CN"/>
              </w:rPr>
              <w:t>清洗用水量为</w:t>
            </w:r>
            <w:r>
              <w:rPr>
                <w:rFonts w:hint="eastAsia"/>
                <w:color w:val="auto"/>
                <w:sz w:val="24"/>
                <w:lang w:val="en-US" w:eastAsia="zh-CN"/>
              </w:rPr>
              <w:t>10.486t</w:t>
            </w:r>
            <w:r>
              <w:rPr>
                <w:rFonts w:hint="eastAsia"/>
                <w:color w:val="auto"/>
                <w:sz w:val="24"/>
              </w:rPr>
              <w:t>/a</w:t>
            </w:r>
            <w:r>
              <w:rPr>
                <w:rFonts w:hint="eastAsia"/>
                <w:color w:val="auto"/>
                <w:sz w:val="24"/>
                <w:lang w:eastAsia="zh-CN"/>
              </w:rPr>
              <w:t>，</w:t>
            </w:r>
            <w:r>
              <w:rPr>
                <w:rFonts w:hint="eastAsia"/>
                <w:color w:val="auto"/>
                <w:sz w:val="24"/>
              </w:rPr>
              <w:t>则冲洗废水产生量为</w:t>
            </w:r>
            <w:r>
              <w:rPr>
                <w:rFonts w:hint="eastAsia"/>
                <w:color w:val="auto"/>
                <w:sz w:val="24"/>
                <w:lang w:val="en-US" w:eastAsia="zh-CN"/>
              </w:rPr>
              <w:t>8.389t</w:t>
            </w:r>
            <w:r>
              <w:rPr>
                <w:rFonts w:hint="eastAsia"/>
                <w:color w:val="auto"/>
                <w:sz w:val="24"/>
              </w:rPr>
              <w:t>/a</w:t>
            </w:r>
            <w:r>
              <w:rPr>
                <w:rFonts w:hint="eastAsia"/>
                <w:color w:val="auto"/>
                <w:sz w:val="24"/>
                <w:lang w:eastAsia="zh-CN"/>
              </w:rPr>
              <w:t>，</w:t>
            </w:r>
            <w:r>
              <w:rPr>
                <w:rFonts w:hint="eastAsia"/>
                <w:color w:val="auto"/>
                <w:sz w:val="24"/>
                <w:lang w:val="en-US" w:eastAsia="zh-CN"/>
              </w:rPr>
              <w:t>0.28t</w:t>
            </w:r>
            <w:r>
              <w:rPr>
                <w:rFonts w:hint="eastAsia"/>
                <w:color w:val="auto"/>
                <w:sz w:val="24"/>
              </w:rPr>
              <w:t>/</w:t>
            </w:r>
            <w:r>
              <w:rPr>
                <w:rFonts w:hint="eastAsia"/>
                <w:color w:val="auto"/>
                <w:sz w:val="24"/>
                <w:lang w:val="en-US" w:eastAsia="zh-CN"/>
              </w:rPr>
              <w:t>d</w:t>
            </w:r>
            <w:r>
              <w:rPr>
                <w:rFonts w:hint="eastAsia"/>
                <w:color w:val="auto"/>
                <w:sz w:val="24"/>
              </w:rPr>
              <w:t>。</w:t>
            </w:r>
          </w:p>
          <w:p w14:paraId="78293C15">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rPr>
            </w:pPr>
            <w:r>
              <w:rPr>
                <w:rFonts w:hint="eastAsia"/>
                <w:color w:val="auto"/>
                <w:sz w:val="24"/>
                <w:highlight w:val="none"/>
                <w:lang w:eastAsia="zh-CN"/>
              </w:rPr>
              <w:t>③</w:t>
            </w:r>
            <w:r>
              <w:rPr>
                <w:rFonts w:hint="eastAsia"/>
                <w:color w:val="auto"/>
                <w:sz w:val="24"/>
                <w:highlight w:val="none"/>
              </w:rPr>
              <w:t>锅炉</w:t>
            </w:r>
            <w:r>
              <w:rPr>
                <w:rFonts w:hint="eastAsia"/>
                <w:color w:val="auto"/>
                <w:sz w:val="24"/>
                <w:highlight w:val="none"/>
                <w:lang w:eastAsia="zh-CN"/>
              </w:rPr>
              <w:t>排污水</w:t>
            </w:r>
            <w:r>
              <w:rPr>
                <w:rFonts w:hint="eastAsia"/>
                <w:color w:val="auto"/>
                <w:sz w:val="24"/>
                <w:highlight w:val="none"/>
                <w:lang w:val="en-US" w:eastAsia="zh-CN"/>
              </w:rPr>
              <w:t>+软化水制备废水</w:t>
            </w:r>
          </w:p>
          <w:p w14:paraId="698C933C">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本项目锅炉系统补充水需要进行软化处理，软水制备设施采用离子交换树脂制备软水，软水制备率为80%。锅炉给水经现有软水制备系统软化后供锅炉使用，产生蒸汽通入各用汽环节消耗。本项目锅炉供热采用间接供热，蒸汽使用过后会冷凝成冷凝水回用于锅炉循环使用。软水制备过程中需定期</w:t>
            </w:r>
            <w:r>
              <w:rPr>
                <w:rFonts w:hint="eastAsia" w:cs="Times New Roman"/>
                <w:color w:val="auto"/>
                <w:sz w:val="24"/>
                <w:lang w:val="en-US" w:eastAsia="zh-CN"/>
              </w:rPr>
              <w:t>排出</w:t>
            </w:r>
            <w:r>
              <w:rPr>
                <w:rFonts w:hint="default" w:ascii="Times New Roman" w:hAnsi="Times New Roman" w:eastAsia="宋体" w:cs="Times New Roman"/>
                <w:color w:val="auto"/>
                <w:sz w:val="24"/>
                <w:lang w:val="en-US" w:eastAsia="zh-CN"/>
              </w:rPr>
              <w:t>再生树脂产生浓盐水即软化处理废水，锅炉炉内需定期排水。</w:t>
            </w:r>
          </w:p>
          <w:p w14:paraId="57D1324A">
            <w:pPr>
              <w:adjustRightInd w:val="0"/>
              <w:snapToGrid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color w:val="auto"/>
                <w:sz w:val="24"/>
                <w:highlight w:val="none"/>
              </w:rPr>
              <w:t>锅炉</w:t>
            </w:r>
            <w:r>
              <w:rPr>
                <w:rFonts w:hint="eastAsia"/>
                <w:color w:val="auto"/>
                <w:sz w:val="24"/>
                <w:highlight w:val="none"/>
                <w:lang w:eastAsia="zh-CN"/>
              </w:rPr>
              <w:t>排污水</w:t>
            </w:r>
            <w:r>
              <w:rPr>
                <w:rFonts w:hint="eastAsia"/>
                <w:color w:val="auto"/>
                <w:sz w:val="24"/>
                <w:highlight w:val="none"/>
                <w:lang w:val="en-US" w:eastAsia="zh-CN"/>
              </w:rPr>
              <w:t>+软化水制备废水</w:t>
            </w:r>
            <w:r>
              <w:rPr>
                <w:rFonts w:hint="default"/>
                <w:color w:val="auto"/>
                <w:sz w:val="24"/>
                <w:highlight w:val="none"/>
              </w:rPr>
              <w:t>根据《排放源统计调查产排污核算方法和系数手册》中</w:t>
            </w:r>
            <w:r>
              <w:rPr>
                <w:rFonts w:hint="eastAsia"/>
                <w:color w:val="auto"/>
                <w:sz w:val="24"/>
                <w:highlight w:val="none"/>
              </w:rPr>
              <w:t>“</w:t>
            </w:r>
            <w:r>
              <w:rPr>
                <w:rFonts w:hint="default"/>
                <w:color w:val="auto"/>
                <w:sz w:val="24"/>
                <w:highlight w:val="none"/>
              </w:rPr>
              <w:t>4430工业锅炉（热力供应）行业系数手册</w:t>
            </w:r>
            <w:r>
              <w:rPr>
                <w:rFonts w:hint="eastAsia"/>
                <w:color w:val="auto"/>
                <w:sz w:val="24"/>
                <w:highlight w:val="none"/>
              </w:rPr>
              <w:t>”</w:t>
            </w:r>
            <w:r>
              <w:rPr>
                <w:rFonts w:hint="default"/>
                <w:color w:val="auto"/>
                <w:sz w:val="24"/>
                <w:highlight w:val="none"/>
              </w:rPr>
              <w:t>中产污系数，燃生物质锅炉（锅</w:t>
            </w:r>
            <w:r>
              <w:rPr>
                <w:rFonts w:hint="eastAsia"/>
                <w:color w:val="auto"/>
                <w:sz w:val="24"/>
                <w:highlight w:val="none"/>
                <w:lang w:eastAsia="zh-CN"/>
              </w:rPr>
              <w:t>外</w:t>
            </w:r>
            <w:r>
              <w:rPr>
                <w:rFonts w:hint="default"/>
                <w:color w:val="auto"/>
                <w:sz w:val="24"/>
                <w:highlight w:val="none"/>
              </w:rPr>
              <w:t>水处理）废水产生系数为</w:t>
            </w:r>
            <w:r>
              <w:rPr>
                <w:rFonts w:hint="eastAsia"/>
                <w:color w:val="auto"/>
                <w:sz w:val="24"/>
                <w:highlight w:val="none"/>
                <w:lang w:val="en-US" w:eastAsia="zh-CN"/>
              </w:rPr>
              <w:t>0.356</w:t>
            </w:r>
            <w:r>
              <w:rPr>
                <w:rFonts w:hint="default"/>
                <w:color w:val="auto"/>
                <w:sz w:val="24"/>
                <w:highlight w:val="none"/>
              </w:rPr>
              <w:t>吨/吨-原料，本项目</w:t>
            </w:r>
            <w:r>
              <w:rPr>
                <w:rFonts w:hint="eastAsia"/>
                <w:color w:val="auto"/>
                <w:sz w:val="24"/>
                <w:highlight w:val="none"/>
              </w:rPr>
              <w:t>燃</w:t>
            </w:r>
            <w:r>
              <w:rPr>
                <w:rFonts w:hint="default"/>
                <w:color w:val="auto"/>
                <w:sz w:val="24"/>
                <w:highlight w:val="none"/>
              </w:rPr>
              <w:t>生物质</w:t>
            </w:r>
            <w:r>
              <w:rPr>
                <w:rFonts w:hint="eastAsia"/>
                <w:color w:val="auto"/>
                <w:sz w:val="24"/>
                <w:highlight w:val="none"/>
              </w:rPr>
              <w:t>蒸汽</w:t>
            </w:r>
            <w:r>
              <w:rPr>
                <w:rFonts w:hint="default"/>
                <w:color w:val="auto"/>
                <w:sz w:val="24"/>
                <w:highlight w:val="none"/>
              </w:rPr>
              <w:t>锅炉</w:t>
            </w:r>
            <w:r>
              <w:rPr>
                <w:rFonts w:hint="eastAsia"/>
                <w:color w:val="auto"/>
                <w:sz w:val="24"/>
                <w:highlight w:val="none"/>
              </w:rPr>
              <w:t>生物质</w:t>
            </w:r>
            <w:r>
              <w:rPr>
                <w:rFonts w:hint="default"/>
                <w:color w:val="auto"/>
                <w:sz w:val="24"/>
                <w:highlight w:val="none"/>
              </w:rPr>
              <w:t>成型燃料使用量为</w:t>
            </w:r>
            <w:r>
              <w:rPr>
                <w:rFonts w:hint="eastAsia" w:cs="Times New Roman"/>
                <w:b w:val="0"/>
                <w:bCs/>
                <w:color w:val="auto"/>
                <w:sz w:val="24"/>
                <w:szCs w:val="24"/>
                <w:highlight w:val="none"/>
                <w:lang w:val="en-US" w:eastAsia="zh-CN"/>
              </w:rPr>
              <w:t>369.9</w:t>
            </w:r>
            <w:r>
              <w:rPr>
                <w:rFonts w:hint="default"/>
                <w:color w:val="auto"/>
                <w:sz w:val="24"/>
                <w:highlight w:val="none"/>
              </w:rPr>
              <w:t>t/a，则</w:t>
            </w:r>
            <w:r>
              <w:rPr>
                <w:rFonts w:hint="eastAsia"/>
                <w:color w:val="auto"/>
                <w:sz w:val="24"/>
                <w:highlight w:val="none"/>
              </w:rPr>
              <w:t>锅炉</w:t>
            </w:r>
            <w:r>
              <w:rPr>
                <w:rFonts w:hint="eastAsia"/>
                <w:color w:val="auto"/>
                <w:sz w:val="24"/>
                <w:highlight w:val="none"/>
                <w:lang w:eastAsia="zh-CN"/>
              </w:rPr>
              <w:t>排污水</w:t>
            </w:r>
            <w:r>
              <w:rPr>
                <w:rFonts w:hint="eastAsia"/>
                <w:color w:val="auto"/>
                <w:sz w:val="24"/>
                <w:highlight w:val="none"/>
                <w:lang w:val="en-US" w:eastAsia="zh-CN"/>
              </w:rPr>
              <w:t>+软化水制备废水</w:t>
            </w:r>
            <w:r>
              <w:rPr>
                <w:rFonts w:hint="default"/>
                <w:color w:val="auto"/>
                <w:sz w:val="24"/>
                <w:highlight w:val="none"/>
              </w:rPr>
              <w:t>总的产生量为4.389</w:t>
            </w:r>
            <w:r>
              <w:rPr>
                <w:rFonts w:hint="eastAsia"/>
                <w:color w:val="auto"/>
                <w:sz w:val="24"/>
                <w:highlight w:val="none"/>
                <w:lang w:val="en-US" w:eastAsia="zh-CN"/>
              </w:rPr>
              <w:t>t</w:t>
            </w:r>
            <w:r>
              <w:rPr>
                <w:rFonts w:hint="eastAsia"/>
                <w:color w:val="auto"/>
                <w:sz w:val="24"/>
                <w:highlight w:val="none"/>
              </w:rPr>
              <w:t>/d</w:t>
            </w:r>
            <w:r>
              <w:rPr>
                <w:rFonts w:hint="default"/>
                <w:color w:val="auto"/>
                <w:sz w:val="24"/>
                <w:highlight w:val="none"/>
              </w:rPr>
              <w:t>，</w:t>
            </w:r>
            <w:r>
              <w:rPr>
                <w:rFonts w:hint="eastAsia"/>
                <w:color w:val="auto"/>
                <w:sz w:val="24"/>
                <w:highlight w:val="none"/>
                <w:lang w:val="en-US" w:eastAsia="zh-CN"/>
              </w:rPr>
              <w:t>131.684t</w:t>
            </w:r>
            <w:r>
              <w:rPr>
                <w:rFonts w:hint="eastAsia"/>
                <w:color w:val="auto"/>
                <w:sz w:val="24"/>
                <w:highlight w:val="none"/>
              </w:rPr>
              <w:t>/a</w:t>
            </w:r>
            <w:r>
              <w:rPr>
                <w:rFonts w:hint="eastAsia" w:ascii="Times New Roman" w:hAnsi="Times New Roman" w:eastAsia="宋体"/>
                <w:color w:val="auto"/>
                <w:sz w:val="24"/>
                <w:szCs w:val="32"/>
                <w:highlight w:val="none"/>
                <w:lang w:eastAsia="zh-CN"/>
              </w:rPr>
              <w:t>（</w:t>
            </w:r>
            <w:r>
              <w:rPr>
                <w:rFonts w:hint="eastAsia"/>
                <w:color w:val="auto"/>
                <w:sz w:val="24"/>
                <w:szCs w:val="32"/>
                <w:highlight w:val="none"/>
                <w:lang w:eastAsia="zh-CN"/>
              </w:rPr>
              <w:t>软化</w:t>
            </w:r>
            <w:r>
              <w:rPr>
                <w:rFonts w:hint="eastAsia" w:ascii="Times New Roman" w:hAnsi="Times New Roman" w:eastAsia="宋体"/>
                <w:color w:val="auto"/>
                <w:sz w:val="24"/>
                <w:szCs w:val="32"/>
                <w:highlight w:val="none"/>
                <w:lang w:eastAsia="zh-CN"/>
              </w:rPr>
              <w:t>水制备效率为</w:t>
            </w:r>
            <w:r>
              <w:rPr>
                <w:rFonts w:hint="eastAsia"/>
                <w:color w:val="auto"/>
                <w:sz w:val="24"/>
                <w:szCs w:val="32"/>
                <w:highlight w:val="none"/>
                <w:lang w:val="en-US" w:eastAsia="zh-CN"/>
              </w:rPr>
              <w:t>8</w:t>
            </w:r>
            <w:r>
              <w:rPr>
                <w:rFonts w:hint="eastAsia" w:ascii="Times New Roman" w:hAnsi="Times New Roman" w:eastAsia="宋体"/>
                <w:color w:val="auto"/>
                <w:sz w:val="24"/>
                <w:szCs w:val="32"/>
                <w:highlight w:val="none"/>
                <w:lang w:val="en-US" w:eastAsia="zh-CN"/>
              </w:rPr>
              <w:t>0%，</w:t>
            </w:r>
            <w:r>
              <w:rPr>
                <w:rFonts w:hint="eastAsia" w:ascii="Times New Roman" w:hAnsi="Times New Roman" w:eastAsia="宋体"/>
                <w:color w:val="auto"/>
                <w:sz w:val="24"/>
                <w:szCs w:val="32"/>
                <w:highlight w:val="none"/>
                <w:lang w:eastAsia="zh-CN"/>
              </w:rPr>
              <w:t>其中</w:t>
            </w:r>
            <w:r>
              <w:rPr>
                <w:rFonts w:hint="eastAsia" w:ascii="Times New Roman" w:hAnsi="Times New Roman" w:eastAsia="宋体"/>
                <w:color w:val="auto"/>
                <w:sz w:val="24"/>
                <w:szCs w:val="32"/>
                <w:highlight w:val="none"/>
                <w:lang w:val="en-US" w:eastAsia="zh-CN"/>
              </w:rPr>
              <w:t>软化处理废水26.33</w:t>
            </w:r>
            <w:r>
              <w:rPr>
                <w:rFonts w:hint="eastAsia"/>
                <w:color w:val="auto"/>
                <w:sz w:val="24"/>
                <w:szCs w:val="32"/>
                <w:highlight w:val="none"/>
                <w:lang w:val="en-US" w:eastAsia="zh-CN"/>
              </w:rPr>
              <w:t>7</w:t>
            </w:r>
            <w:r>
              <w:rPr>
                <w:rFonts w:hint="eastAsia" w:ascii="Times New Roman" w:hAnsi="Times New Roman" w:eastAsia="宋体"/>
                <w:color w:val="auto"/>
                <w:sz w:val="24"/>
                <w:szCs w:val="32"/>
                <w:highlight w:val="none"/>
                <w:lang w:val="en-US" w:eastAsia="zh-CN"/>
              </w:rPr>
              <w:t>t/a，</w:t>
            </w:r>
            <w:r>
              <w:rPr>
                <w:rFonts w:hint="eastAsia"/>
                <w:color w:val="auto"/>
                <w:sz w:val="24"/>
                <w:szCs w:val="32"/>
                <w:highlight w:val="none"/>
                <w:lang w:val="en-US" w:eastAsia="zh-CN"/>
              </w:rPr>
              <w:t>0.877</w:t>
            </w:r>
            <w:r>
              <w:rPr>
                <w:rFonts w:hint="eastAsia" w:ascii="Times New Roman" w:hAnsi="Times New Roman" w:eastAsia="宋体"/>
                <w:color w:val="auto"/>
                <w:sz w:val="24"/>
                <w:szCs w:val="32"/>
                <w:highlight w:val="none"/>
                <w:lang w:val="en-US" w:eastAsia="zh-CN"/>
              </w:rPr>
              <w:t>t/d，</w:t>
            </w:r>
            <w:r>
              <w:rPr>
                <w:rFonts w:hint="eastAsia" w:ascii="Times New Roman" w:hAnsi="Times New Roman" w:eastAsia="宋体"/>
                <w:color w:val="auto"/>
                <w:sz w:val="24"/>
                <w:szCs w:val="32"/>
                <w:highlight w:val="none"/>
                <w:lang w:eastAsia="zh-CN"/>
              </w:rPr>
              <w:t>锅炉排污水</w:t>
            </w:r>
            <w:r>
              <w:rPr>
                <w:rFonts w:hint="eastAsia" w:ascii="Times New Roman" w:hAnsi="Times New Roman" w:eastAsia="宋体"/>
                <w:color w:val="auto"/>
                <w:sz w:val="24"/>
                <w:szCs w:val="32"/>
                <w:highlight w:val="none"/>
                <w:lang w:val="en-US" w:eastAsia="zh-CN"/>
              </w:rPr>
              <w:t>105.347t/a，</w:t>
            </w:r>
            <w:r>
              <w:rPr>
                <w:rFonts w:hint="eastAsia"/>
                <w:color w:val="auto"/>
                <w:sz w:val="24"/>
                <w:szCs w:val="32"/>
                <w:highlight w:val="none"/>
                <w:lang w:val="en-US" w:eastAsia="zh-CN"/>
              </w:rPr>
              <w:t>3.512</w:t>
            </w:r>
            <w:r>
              <w:rPr>
                <w:rFonts w:hint="eastAsia" w:ascii="Times New Roman" w:hAnsi="Times New Roman" w:eastAsia="宋体"/>
                <w:color w:val="auto"/>
                <w:sz w:val="24"/>
                <w:szCs w:val="32"/>
                <w:highlight w:val="none"/>
                <w:lang w:val="en-US" w:eastAsia="zh-CN"/>
              </w:rPr>
              <w:t>t/d</w:t>
            </w:r>
            <w:r>
              <w:rPr>
                <w:rFonts w:hint="eastAsia" w:ascii="Times New Roman" w:hAnsi="Times New Roman" w:eastAsia="宋体"/>
                <w:color w:val="auto"/>
                <w:sz w:val="24"/>
                <w:szCs w:val="32"/>
                <w:highlight w:val="none"/>
                <w:lang w:eastAsia="zh-CN"/>
              </w:rPr>
              <w:t>）</w:t>
            </w:r>
            <w:r>
              <w:rPr>
                <w:rFonts w:hint="eastAsia"/>
                <w:color w:val="auto"/>
                <w:sz w:val="24"/>
                <w:highlight w:val="none"/>
                <w:lang w:eastAsia="zh-CN"/>
              </w:rPr>
              <w:t>。</w:t>
            </w:r>
          </w:p>
          <w:p w14:paraId="0912A79F">
            <w:pPr>
              <w:pStyle w:val="30"/>
              <w:ind w:firstLine="480" w:firstLineChars="200"/>
              <w:rPr>
                <w:rFonts w:hint="default"/>
                <w:color w:val="auto"/>
                <w:sz w:val="24"/>
                <w:lang w:val="en-US" w:eastAsia="zh-CN"/>
              </w:rPr>
            </w:pPr>
            <w:r>
              <w:rPr>
                <w:rFonts w:hint="eastAsia"/>
                <w:color w:val="auto"/>
                <w:sz w:val="24"/>
                <w:lang w:val="en-US" w:eastAsia="zh-CN"/>
              </w:rPr>
              <w:t>④生活污水</w:t>
            </w:r>
          </w:p>
          <w:p w14:paraId="34BD5F34">
            <w:pPr>
              <w:adjustRightInd w:val="0"/>
              <w:snapToGrid w:val="0"/>
              <w:spacing w:line="360" w:lineRule="auto"/>
              <w:ind w:firstLine="480" w:firstLineChars="200"/>
              <w:rPr>
                <w:rFonts w:hint="eastAsia"/>
                <w:color w:val="auto"/>
                <w:sz w:val="24"/>
                <w:lang w:val="en-US" w:eastAsia="zh-CN"/>
              </w:rPr>
            </w:pPr>
            <w:r>
              <w:rPr>
                <w:rFonts w:hint="eastAsia" w:cs="Times New Roman"/>
                <w:color w:val="auto"/>
                <w:sz w:val="24"/>
                <w:lang w:val="en-US" w:eastAsia="zh-CN"/>
              </w:rPr>
              <w:t>生活污水排污系数以0.8计，则生活污水产生量为30.72t/a，1.024</w:t>
            </w:r>
            <w:r>
              <w:rPr>
                <w:rFonts w:hint="eastAsia"/>
                <w:color w:val="auto"/>
                <w:sz w:val="24"/>
                <w:lang w:val="en-US" w:eastAsia="zh-CN"/>
              </w:rPr>
              <w:t>t</w:t>
            </w:r>
            <w:r>
              <w:rPr>
                <w:rFonts w:hint="eastAsia"/>
                <w:color w:val="auto"/>
                <w:sz w:val="24"/>
              </w:rPr>
              <w:t>/</w:t>
            </w:r>
            <w:r>
              <w:rPr>
                <w:rFonts w:hint="eastAsia"/>
                <w:color w:val="auto"/>
                <w:sz w:val="24"/>
                <w:lang w:val="en-US" w:eastAsia="zh-CN"/>
              </w:rPr>
              <w:t>d。</w:t>
            </w:r>
          </w:p>
          <w:p w14:paraId="1BC7C8C3">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⑤反冲洗废水</w:t>
            </w:r>
          </w:p>
          <w:p w14:paraId="05A09952">
            <w:pPr>
              <w:adjustRightInd w:val="0"/>
              <w:snapToGrid w:val="0"/>
              <w:spacing w:line="360" w:lineRule="auto"/>
              <w:ind w:firstLine="480" w:firstLineChars="200"/>
              <w:rPr>
                <w:rFonts w:hint="eastAsia"/>
                <w:color w:val="auto"/>
                <w:lang w:val="en-US" w:eastAsia="zh-CN"/>
              </w:rPr>
            </w:pPr>
            <w:r>
              <w:rPr>
                <w:rFonts w:hint="eastAsia" w:ascii="Times New Roman" w:hAnsi="Times New Roman" w:eastAsia="宋体" w:cs="Times New Roman"/>
                <w:color w:val="auto"/>
                <w:sz w:val="24"/>
                <w:lang w:val="en-US" w:eastAsia="zh-CN"/>
              </w:rPr>
              <w:t>本项目</w:t>
            </w:r>
            <w:r>
              <w:rPr>
                <w:rFonts w:hint="eastAsia"/>
                <w:color w:val="auto"/>
                <w:sz w:val="24"/>
                <w:highlight w:val="none"/>
                <w:lang w:val="zh-CN"/>
              </w:rPr>
              <w:t>反冲洗</w:t>
            </w:r>
            <w:r>
              <w:rPr>
                <w:rFonts w:hint="eastAsia"/>
                <w:color w:val="auto"/>
                <w:sz w:val="24"/>
                <w:highlight w:val="none"/>
                <w:lang w:val="en-US" w:eastAsia="zh-CN"/>
              </w:rPr>
              <w:t>废排污系数以0.8计，</w:t>
            </w:r>
            <w:r>
              <w:rPr>
                <w:rFonts w:hint="eastAsia"/>
                <w:color w:val="auto"/>
                <w:sz w:val="24"/>
                <w:highlight w:val="none"/>
                <w:lang w:val="zh-CN"/>
              </w:rPr>
              <w:t>则反冲洗</w:t>
            </w:r>
            <w:r>
              <w:rPr>
                <w:rFonts w:hint="eastAsia"/>
                <w:color w:val="auto"/>
                <w:sz w:val="24"/>
                <w:highlight w:val="none"/>
                <w:lang w:val="en-US" w:eastAsia="zh-CN"/>
              </w:rPr>
              <w:t>废</w:t>
            </w:r>
            <w:r>
              <w:rPr>
                <w:rFonts w:hint="eastAsia"/>
                <w:color w:val="auto"/>
                <w:sz w:val="24"/>
                <w:highlight w:val="none"/>
                <w:lang w:val="zh-CN"/>
              </w:rPr>
              <w:t>水量为</w:t>
            </w:r>
            <w:r>
              <w:rPr>
                <w:rFonts w:hint="eastAsia"/>
                <w:color w:val="auto"/>
                <w:sz w:val="24"/>
                <w:highlight w:val="none"/>
                <w:lang w:val="en-US" w:eastAsia="zh-CN"/>
              </w:rPr>
              <w:t>0.12t/d，3.6</w:t>
            </w:r>
            <w:r>
              <w:rPr>
                <w:rFonts w:hint="eastAsia"/>
                <w:color w:val="auto"/>
                <w:sz w:val="24"/>
                <w:highlight w:val="none"/>
                <w:lang w:val="zh-CN"/>
              </w:rPr>
              <w:t>t/a。</w:t>
            </w:r>
          </w:p>
          <w:p w14:paraId="6F253C46">
            <w:pPr>
              <w:adjustRightInd w:val="0"/>
              <w:snapToGrid w:val="0"/>
              <w:spacing w:line="360" w:lineRule="auto"/>
              <w:ind w:firstLine="480" w:firstLineChars="200"/>
              <w:rPr>
                <w:rFonts w:hint="eastAsia"/>
                <w:color w:val="auto"/>
                <w:sz w:val="24"/>
                <w:lang w:val="en-US" w:eastAsia="zh-CN"/>
              </w:rPr>
            </w:pPr>
            <w:r>
              <w:rPr>
                <w:rFonts w:hint="eastAsia"/>
                <w:color w:val="auto"/>
                <w:sz w:val="24"/>
                <w:lang w:eastAsia="zh-CN"/>
              </w:rPr>
              <w:t>综上，本项目废水总产生量</w:t>
            </w:r>
            <w:r>
              <w:rPr>
                <w:rFonts w:hint="eastAsia"/>
                <w:color w:val="auto"/>
                <w:sz w:val="24"/>
                <w:lang w:val="en-US" w:eastAsia="zh-CN"/>
              </w:rPr>
              <w:t>3174.393</w:t>
            </w:r>
            <w:r>
              <w:rPr>
                <w:rFonts w:hint="eastAsia" w:cs="Times New Roman"/>
                <w:color w:val="auto"/>
                <w:sz w:val="24"/>
                <w:lang w:val="en-US" w:eastAsia="zh-CN"/>
              </w:rPr>
              <w:t>t/a，105.813t/d</w:t>
            </w:r>
            <w:r>
              <w:rPr>
                <w:rFonts w:hint="eastAsia"/>
                <w:color w:val="auto"/>
                <w:sz w:val="24"/>
                <w:lang w:val="en-US" w:eastAsia="zh-CN"/>
              </w:rPr>
              <w:t>。</w:t>
            </w:r>
          </w:p>
          <w:p w14:paraId="39E953B2">
            <w:pPr>
              <w:adjustRightInd w:val="0"/>
              <w:snapToGrid w:val="0"/>
              <w:spacing w:line="360" w:lineRule="auto"/>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194935" cy="5675630"/>
                  <wp:effectExtent l="0" t="0" r="5715" b="1270"/>
                  <wp:docPr id="4" name="图片 4" descr="水平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水平衡"/>
                          <pic:cNvPicPr>
                            <a:picLocks noChangeAspect="1"/>
                          </pic:cNvPicPr>
                        </pic:nvPicPr>
                        <pic:blipFill>
                          <a:blip r:embed="rId10"/>
                          <a:stretch>
                            <a:fillRect/>
                          </a:stretch>
                        </pic:blipFill>
                        <pic:spPr>
                          <a:xfrm>
                            <a:off x="0" y="0"/>
                            <a:ext cx="5194935" cy="5675630"/>
                          </a:xfrm>
                          <a:prstGeom prst="rect">
                            <a:avLst/>
                          </a:prstGeom>
                        </pic:spPr>
                      </pic:pic>
                    </a:graphicData>
                  </a:graphic>
                </wp:inline>
              </w:drawing>
            </w:r>
          </w:p>
          <w:p w14:paraId="562B4C2A">
            <w:pPr>
              <w:keepNext w:val="0"/>
              <w:keepLines w:val="0"/>
              <w:suppressLineNumbers w:val="0"/>
              <w:spacing w:before="0" w:beforeAutospacing="0" w:after="0" w:afterAutospacing="0" w:line="240" w:lineRule="auto"/>
              <w:ind w:left="0" w:right="0"/>
              <w:jc w:val="center"/>
              <w:rPr>
                <w:rFonts w:hint="default" w:eastAsia="宋体"/>
                <w:color w:val="auto"/>
                <w:sz w:val="24"/>
                <w:highlight w:val="none"/>
              </w:rPr>
            </w:pPr>
            <w:r>
              <w:rPr>
                <w:rFonts w:hint="default" w:eastAsia="宋体"/>
                <w:b/>
                <w:bCs w:val="0"/>
                <w:color w:val="auto"/>
                <w:sz w:val="21"/>
                <w:szCs w:val="21"/>
                <w:highlight w:val="none"/>
              </w:rPr>
              <w:t>图2-1</w:t>
            </w:r>
            <w:r>
              <w:rPr>
                <w:rFonts w:hint="eastAsia"/>
                <w:b/>
                <w:bCs w:val="0"/>
                <w:color w:val="auto"/>
                <w:sz w:val="21"/>
                <w:szCs w:val="21"/>
                <w:highlight w:val="none"/>
                <w:lang w:val="en-US" w:eastAsia="zh-CN"/>
              </w:rPr>
              <w:t xml:space="preserve">  </w:t>
            </w:r>
            <w:r>
              <w:rPr>
                <w:rFonts w:hint="default" w:eastAsia="宋体"/>
                <w:b/>
                <w:bCs w:val="0"/>
                <w:color w:val="auto"/>
                <w:sz w:val="21"/>
                <w:szCs w:val="21"/>
                <w:highlight w:val="none"/>
              </w:rPr>
              <w:t>水量平衡图（单位：</w:t>
            </w:r>
            <w:r>
              <w:rPr>
                <w:rFonts w:hint="eastAsia"/>
                <w:b/>
                <w:bCs w:val="0"/>
                <w:color w:val="auto"/>
                <w:sz w:val="21"/>
                <w:szCs w:val="21"/>
                <w:highlight w:val="none"/>
                <w:lang w:val="en-US" w:eastAsia="zh-CN"/>
              </w:rPr>
              <w:t>t</w:t>
            </w:r>
            <w:r>
              <w:rPr>
                <w:rFonts w:hint="default" w:eastAsia="宋体"/>
                <w:b/>
                <w:bCs w:val="0"/>
                <w:color w:val="auto"/>
                <w:sz w:val="21"/>
                <w:szCs w:val="21"/>
                <w:highlight w:val="none"/>
              </w:rPr>
              <w:t>/</w:t>
            </w:r>
            <w:r>
              <w:rPr>
                <w:rFonts w:hint="eastAsia"/>
                <w:b/>
                <w:bCs w:val="0"/>
                <w:color w:val="auto"/>
                <w:sz w:val="21"/>
                <w:szCs w:val="21"/>
                <w:highlight w:val="none"/>
                <w:lang w:val="en-US" w:eastAsia="zh-CN"/>
              </w:rPr>
              <w:t>d</w:t>
            </w:r>
            <w:r>
              <w:rPr>
                <w:rFonts w:hint="default" w:eastAsia="宋体"/>
                <w:b/>
                <w:bCs w:val="0"/>
                <w:color w:val="auto"/>
                <w:sz w:val="21"/>
                <w:szCs w:val="21"/>
                <w:highlight w:val="none"/>
              </w:rPr>
              <w:t>）</w:t>
            </w:r>
          </w:p>
          <w:p w14:paraId="7CD1AB80">
            <w:pPr>
              <w:keepNext w:val="0"/>
              <w:keepLines w:val="0"/>
              <w:suppressLineNumbers w:val="0"/>
              <w:adjustRightInd w:val="0"/>
              <w:snapToGrid w:val="0"/>
              <w:spacing w:before="0" w:beforeAutospacing="0" w:after="0" w:afterAutospacing="0" w:line="360" w:lineRule="auto"/>
              <w:ind w:left="0" w:right="0" w:firstLine="480" w:firstLineChars="200"/>
              <w:rPr>
                <w:rFonts w:hint="eastAsia" w:eastAsia="宋体"/>
                <w:color w:val="auto"/>
                <w:sz w:val="24"/>
                <w:highlight w:val="none"/>
                <w:lang w:eastAsia="zh-CN"/>
              </w:rPr>
            </w:pPr>
            <w:r>
              <w:rPr>
                <w:rFonts w:hint="default" w:eastAsia="宋体"/>
                <w:color w:val="auto"/>
                <w:sz w:val="24"/>
                <w:highlight w:val="none"/>
              </w:rPr>
              <w:t>（3）</w:t>
            </w:r>
            <w:r>
              <w:rPr>
                <w:rFonts w:hint="eastAsia"/>
                <w:color w:val="auto"/>
                <w:sz w:val="24"/>
                <w:highlight w:val="none"/>
                <w:lang w:eastAsia="zh-CN"/>
              </w:rPr>
              <w:t>供</w:t>
            </w:r>
            <w:r>
              <w:rPr>
                <w:rFonts w:hint="eastAsia"/>
                <w:color w:val="auto"/>
                <w:sz w:val="24"/>
                <w:highlight w:val="none"/>
                <w:lang w:val="en-US" w:eastAsia="zh-CN"/>
              </w:rPr>
              <w:t>热</w:t>
            </w:r>
          </w:p>
          <w:p w14:paraId="43E9A251">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宋体"/>
                <w:color w:val="auto"/>
                <w:sz w:val="24"/>
                <w:highlight w:val="none"/>
                <w:lang w:val="en-US" w:eastAsia="zh-CN"/>
              </w:rPr>
            </w:pPr>
            <w:r>
              <w:rPr>
                <w:rFonts w:hint="eastAsia" w:eastAsia="宋体"/>
                <w:color w:val="auto"/>
                <w:sz w:val="24"/>
                <w:highlight w:val="none"/>
                <w:lang w:val="en-US" w:eastAsia="zh-CN"/>
              </w:rPr>
              <w:t>本项目</w:t>
            </w:r>
            <w:r>
              <w:rPr>
                <w:rFonts w:hint="eastAsia"/>
                <w:color w:val="auto"/>
                <w:sz w:val="24"/>
                <w:highlight w:val="none"/>
                <w:lang w:val="en-US" w:eastAsia="zh-CN"/>
              </w:rPr>
              <w:t>冬季不生产，</w:t>
            </w:r>
            <w:r>
              <w:rPr>
                <w:rFonts w:hint="eastAsia" w:eastAsia="宋体"/>
                <w:color w:val="auto"/>
                <w:sz w:val="24"/>
                <w:highlight w:val="none"/>
                <w:lang w:val="en-US" w:eastAsia="zh-CN"/>
              </w:rPr>
              <w:t>生产供热由1台4t/h燃生物质蒸汽锅炉提供。</w:t>
            </w:r>
          </w:p>
          <w:p w14:paraId="03A0CA65">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宋体"/>
                <w:color w:val="auto"/>
                <w:sz w:val="24"/>
                <w:highlight w:val="none"/>
              </w:rPr>
            </w:pPr>
            <w:r>
              <w:rPr>
                <w:rFonts w:hint="default" w:eastAsia="宋体"/>
                <w:color w:val="auto"/>
                <w:sz w:val="24"/>
                <w:highlight w:val="none"/>
              </w:rPr>
              <w:t>（4）供电</w:t>
            </w:r>
          </w:p>
          <w:p w14:paraId="7246A4EE">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宋体"/>
                <w:color w:val="auto"/>
                <w:sz w:val="24"/>
                <w:highlight w:val="none"/>
              </w:rPr>
            </w:pPr>
            <w:r>
              <w:rPr>
                <w:rFonts w:hint="default" w:eastAsia="宋体"/>
                <w:color w:val="auto"/>
                <w:sz w:val="24"/>
                <w:highlight w:val="none"/>
              </w:rPr>
              <w:t>项目用电由</w:t>
            </w:r>
            <w:r>
              <w:rPr>
                <w:rFonts w:hint="eastAsia"/>
                <w:color w:val="auto"/>
                <w:sz w:val="24"/>
                <w:highlight w:val="none"/>
                <w:lang w:val="en-US" w:eastAsia="zh-CN"/>
              </w:rPr>
              <w:t>当地供电局提供</w:t>
            </w:r>
            <w:r>
              <w:rPr>
                <w:rFonts w:hint="default" w:eastAsia="宋体"/>
                <w:color w:val="auto"/>
                <w:sz w:val="24"/>
                <w:highlight w:val="none"/>
              </w:rPr>
              <w:t>，能够满足本项目用电。</w:t>
            </w:r>
          </w:p>
          <w:p w14:paraId="291A8D40">
            <w:pPr>
              <w:keepNext w:val="0"/>
              <w:keepLines w:val="0"/>
              <w:numPr>
                <w:ilvl w:val="0"/>
                <w:numId w:val="0"/>
              </w:numPr>
              <w:suppressLineNumbers w:val="0"/>
              <w:spacing w:before="0" w:beforeAutospacing="0" w:after="0" w:afterAutospacing="0" w:line="360" w:lineRule="auto"/>
              <w:ind w:left="420" w:leftChars="200" w:right="0" w:rightChars="0"/>
              <w:jc w:val="left"/>
              <w:rPr>
                <w:rFonts w:hint="default" w:eastAsia="宋体"/>
                <w:b/>
                <w:color w:val="auto"/>
                <w:sz w:val="24"/>
                <w:highlight w:val="none"/>
              </w:rPr>
            </w:pPr>
            <w:r>
              <w:rPr>
                <w:rFonts w:hint="eastAsia"/>
                <w:b/>
                <w:color w:val="auto"/>
                <w:sz w:val="24"/>
                <w:highlight w:val="none"/>
                <w:lang w:val="en-US" w:eastAsia="zh-CN"/>
              </w:rPr>
              <w:t>8、</w:t>
            </w:r>
            <w:r>
              <w:rPr>
                <w:rFonts w:hint="default" w:eastAsia="宋体"/>
                <w:b/>
                <w:color w:val="auto"/>
                <w:sz w:val="24"/>
                <w:highlight w:val="none"/>
              </w:rPr>
              <w:t>环保投资</w:t>
            </w:r>
          </w:p>
          <w:p w14:paraId="45513B41">
            <w:pPr>
              <w:keepNext w:val="0"/>
              <w:keepLines w:val="0"/>
              <w:suppressLineNumbers w:val="0"/>
              <w:adjustRightInd w:val="0"/>
              <w:snapToGrid w:val="0"/>
              <w:spacing w:before="0" w:beforeAutospacing="0" w:after="0" w:afterAutospacing="0" w:line="360" w:lineRule="auto"/>
              <w:ind w:left="0" w:right="0" w:firstLine="480" w:firstLineChars="200"/>
              <w:rPr>
                <w:rFonts w:hint="default"/>
                <w:color w:val="auto"/>
                <w:highlight w:val="none"/>
              </w:rPr>
            </w:pPr>
            <w:r>
              <w:rPr>
                <w:rFonts w:hint="eastAsia"/>
                <w:color w:val="auto"/>
                <w:sz w:val="24"/>
                <w:highlight w:val="none"/>
                <w:lang w:eastAsia="zh-CN"/>
              </w:rPr>
              <w:t>本</w:t>
            </w:r>
            <w:r>
              <w:rPr>
                <w:rFonts w:hint="default" w:eastAsia="宋体"/>
                <w:color w:val="auto"/>
                <w:sz w:val="24"/>
                <w:highlight w:val="none"/>
              </w:rPr>
              <w:t>项目</w:t>
            </w:r>
            <w:r>
              <w:rPr>
                <w:rFonts w:hint="eastAsia"/>
                <w:color w:val="auto"/>
                <w:sz w:val="24"/>
                <w:highlight w:val="none"/>
                <w:lang w:eastAsia="zh-CN"/>
              </w:rPr>
              <w:t>总投资</w:t>
            </w:r>
            <w:r>
              <w:rPr>
                <w:rFonts w:hint="eastAsia" w:cs="Times New Roman"/>
                <w:color w:val="auto"/>
                <w:sz w:val="24"/>
                <w:highlight w:val="none"/>
                <w:lang w:val="en-US" w:eastAsia="zh-CN"/>
              </w:rPr>
              <w:t>1000</w:t>
            </w:r>
            <w:r>
              <w:rPr>
                <w:rFonts w:hint="eastAsia"/>
                <w:color w:val="auto"/>
                <w:sz w:val="24"/>
                <w:highlight w:val="none"/>
                <w:lang w:val="en-US" w:eastAsia="zh-CN"/>
              </w:rPr>
              <w:t>万元。环保投资44.5万元，环保投资占总投资4.45%，环保投资具体情况参见表2-8</w:t>
            </w:r>
            <w:r>
              <w:rPr>
                <w:rFonts w:hint="default" w:eastAsia="宋体"/>
                <w:color w:val="auto"/>
                <w:sz w:val="24"/>
                <w:highlight w:val="none"/>
              </w:rPr>
              <w:t>。</w:t>
            </w:r>
          </w:p>
          <w:p w14:paraId="5EFD3F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表2-</w:t>
            </w:r>
            <w:r>
              <w:rPr>
                <w:rFonts w:hint="eastAsia" w:cs="Times New Roman"/>
                <w:b/>
                <w:color w:val="auto"/>
                <w:sz w:val="21"/>
                <w:szCs w:val="21"/>
                <w:highlight w:val="none"/>
                <w:lang w:val="en-US" w:eastAsia="zh-CN"/>
              </w:rPr>
              <w:t>8</w:t>
            </w:r>
            <w:r>
              <w:rPr>
                <w:rFonts w:hint="eastAsia" w:ascii="Times New Roman" w:hAnsi="Times New Roman" w:eastAsia="宋体" w:cs="Times New Roman"/>
                <w:b/>
                <w:color w:val="auto"/>
                <w:sz w:val="21"/>
                <w:szCs w:val="21"/>
                <w:highlight w:val="none"/>
                <w:lang w:val="en-US" w:eastAsia="zh-CN"/>
              </w:rPr>
              <w:t xml:space="preserve">  </w:t>
            </w:r>
            <w:r>
              <w:rPr>
                <w:rFonts w:hint="default" w:ascii="Times New Roman" w:hAnsi="Times New Roman" w:eastAsia="宋体" w:cs="Times New Roman"/>
                <w:b/>
                <w:color w:val="auto"/>
                <w:sz w:val="21"/>
                <w:szCs w:val="21"/>
                <w:highlight w:val="none"/>
                <w:lang w:val="en-US" w:eastAsia="zh-CN"/>
              </w:rPr>
              <w:t>环保投资一览表</w:t>
            </w:r>
          </w:p>
          <w:tbl>
            <w:tblPr>
              <w:tblStyle w:val="32"/>
              <w:tblW w:w="4995"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73"/>
              <w:gridCol w:w="1863"/>
              <w:gridCol w:w="4632"/>
              <w:gridCol w:w="1117"/>
            </w:tblGrid>
            <w:tr w14:paraId="0F9CE3E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50" w:type="pct"/>
                  <w:vAlign w:val="center"/>
                </w:tcPr>
                <w:p w14:paraId="0F901432">
                  <w:pPr>
                    <w:pStyle w:val="109"/>
                    <w:keepNext w:val="0"/>
                    <w:keepLines w:val="0"/>
                    <w:suppressLineNumbers w:val="0"/>
                    <w:spacing w:before="0" w:beforeAutospacing="0" w:after="0" w:afterAutospacing="0"/>
                    <w:ind w:left="0" w:right="0"/>
                    <w:jc w:val="center"/>
                    <w:rPr>
                      <w:rFonts w:hint="default" w:eastAsia="宋体"/>
                      <w:color w:val="auto"/>
                      <w:sz w:val="21"/>
                      <w:szCs w:val="21"/>
                      <w:highlight w:val="none"/>
                    </w:rPr>
                  </w:pPr>
                  <w:r>
                    <w:rPr>
                      <w:rFonts w:hint="default" w:eastAsia="宋体"/>
                      <w:color w:val="auto"/>
                      <w:sz w:val="21"/>
                      <w:szCs w:val="21"/>
                      <w:highlight w:val="none"/>
                    </w:rPr>
                    <w:t>阶段</w:t>
                  </w:r>
                </w:p>
              </w:tc>
              <w:tc>
                <w:tcPr>
                  <w:tcW w:w="1138" w:type="pct"/>
                  <w:vAlign w:val="center"/>
                </w:tcPr>
                <w:p w14:paraId="5657A76B">
                  <w:pPr>
                    <w:pStyle w:val="109"/>
                    <w:keepNext w:val="0"/>
                    <w:keepLines w:val="0"/>
                    <w:suppressLineNumbers w:val="0"/>
                    <w:spacing w:before="0" w:beforeAutospacing="0" w:after="0" w:afterAutospacing="0"/>
                    <w:ind w:left="0" w:right="0"/>
                    <w:jc w:val="center"/>
                    <w:rPr>
                      <w:rFonts w:hint="default" w:eastAsia="宋体"/>
                      <w:color w:val="auto"/>
                      <w:sz w:val="21"/>
                      <w:szCs w:val="21"/>
                      <w:highlight w:val="none"/>
                    </w:rPr>
                  </w:pPr>
                  <w:r>
                    <w:rPr>
                      <w:rFonts w:hint="default" w:eastAsia="宋体"/>
                      <w:color w:val="auto"/>
                      <w:sz w:val="21"/>
                      <w:szCs w:val="21"/>
                      <w:highlight w:val="none"/>
                    </w:rPr>
                    <w:t>污染源</w:t>
                  </w:r>
                </w:p>
              </w:tc>
              <w:tc>
                <w:tcPr>
                  <w:tcW w:w="2828" w:type="pct"/>
                  <w:vAlign w:val="center"/>
                </w:tcPr>
                <w:p w14:paraId="097D5CEF">
                  <w:pPr>
                    <w:pStyle w:val="109"/>
                    <w:keepNext w:val="0"/>
                    <w:keepLines w:val="0"/>
                    <w:suppressLineNumbers w:val="0"/>
                    <w:spacing w:before="0" w:beforeAutospacing="0" w:after="0" w:afterAutospacing="0"/>
                    <w:ind w:left="0" w:right="0"/>
                    <w:jc w:val="center"/>
                    <w:rPr>
                      <w:rFonts w:hint="default" w:eastAsia="宋体"/>
                      <w:color w:val="auto"/>
                      <w:sz w:val="21"/>
                      <w:szCs w:val="21"/>
                      <w:highlight w:val="none"/>
                    </w:rPr>
                  </w:pPr>
                  <w:r>
                    <w:rPr>
                      <w:rFonts w:hint="default" w:eastAsia="宋体"/>
                      <w:color w:val="auto"/>
                      <w:sz w:val="21"/>
                      <w:szCs w:val="21"/>
                      <w:highlight w:val="none"/>
                    </w:rPr>
                    <w:t>本项目环保措施</w:t>
                  </w:r>
                </w:p>
              </w:tc>
              <w:tc>
                <w:tcPr>
                  <w:tcW w:w="682" w:type="pct"/>
                  <w:vAlign w:val="center"/>
                </w:tcPr>
                <w:p w14:paraId="1D1B22F4">
                  <w:pPr>
                    <w:pStyle w:val="109"/>
                    <w:keepNext w:val="0"/>
                    <w:keepLines w:val="0"/>
                    <w:suppressLineNumbers w:val="0"/>
                    <w:spacing w:before="0" w:beforeAutospacing="0" w:after="0" w:afterAutospacing="0"/>
                    <w:ind w:left="0" w:right="0"/>
                    <w:jc w:val="center"/>
                    <w:rPr>
                      <w:rFonts w:hint="default" w:eastAsia="宋体"/>
                      <w:color w:val="auto"/>
                      <w:sz w:val="21"/>
                      <w:szCs w:val="21"/>
                      <w:highlight w:val="none"/>
                    </w:rPr>
                  </w:pPr>
                  <w:r>
                    <w:rPr>
                      <w:rFonts w:hint="default" w:eastAsia="宋体"/>
                      <w:color w:val="auto"/>
                      <w:sz w:val="21"/>
                      <w:szCs w:val="21"/>
                      <w:highlight w:val="none"/>
                    </w:rPr>
                    <w:t>金额</w:t>
                  </w:r>
                </w:p>
                <w:p w14:paraId="6F879315">
                  <w:pPr>
                    <w:pStyle w:val="109"/>
                    <w:keepNext w:val="0"/>
                    <w:keepLines w:val="0"/>
                    <w:suppressLineNumbers w:val="0"/>
                    <w:spacing w:before="0" w:beforeAutospacing="0" w:after="0" w:afterAutospacing="0"/>
                    <w:ind w:left="0" w:right="0"/>
                    <w:jc w:val="center"/>
                    <w:rPr>
                      <w:rFonts w:hint="default" w:eastAsia="宋体"/>
                      <w:color w:val="auto"/>
                      <w:sz w:val="21"/>
                      <w:szCs w:val="21"/>
                      <w:highlight w:val="none"/>
                    </w:rPr>
                  </w:pPr>
                  <w:r>
                    <w:rPr>
                      <w:rFonts w:hint="default" w:eastAsia="宋体"/>
                      <w:color w:val="auto"/>
                      <w:sz w:val="21"/>
                      <w:szCs w:val="21"/>
                      <w:highlight w:val="none"/>
                    </w:rPr>
                    <w:t>（万元）</w:t>
                  </w:r>
                </w:p>
              </w:tc>
            </w:tr>
            <w:tr w14:paraId="27AEE74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50" w:type="pct"/>
                  <w:vMerge w:val="restart"/>
                  <w:tcBorders>
                    <w:right w:val="single" w:color="auto" w:sz="4" w:space="0"/>
                  </w:tcBorders>
                  <w:vAlign w:val="center"/>
                </w:tcPr>
                <w:p w14:paraId="59C577BF">
                  <w:pPr>
                    <w:pStyle w:val="109"/>
                    <w:keepNext w:val="0"/>
                    <w:keepLines w:val="0"/>
                    <w:suppressLineNumbers w:val="0"/>
                    <w:spacing w:before="0" w:beforeAutospacing="0" w:after="0" w:afterAutospacing="0"/>
                    <w:ind w:left="0" w:right="0"/>
                    <w:jc w:val="center"/>
                    <w:rPr>
                      <w:rFonts w:hint="default" w:eastAsia="宋体"/>
                      <w:color w:val="auto"/>
                      <w:sz w:val="21"/>
                      <w:szCs w:val="21"/>
                      <w:highlight w:val="none"/>
                    </w:rPr>
                  </w:pPr>
                  <w:r>
                    <w:rPr>
                      <w:rFonts w:hint="default" w:eastAsia="宋体"/>
                      <w:color w:val="auto"/>
                      <w:sz w:val="21"/>
                      <w:szCs w:val="21"/>
                      <w:highlight w:val="none"/>
                    </w:rPr>
                    <w:t>运</w:t>
                  </w:r>
                </w:p>
                <w:p w14:paraId="3E9E5FE8">
                  <w:pPr>
                    <w:pStyle w:val="109"/>
                    <w:keepNext w:val="0"/>
                    <w:keepLines w:val="0"/>
                    <w:suppressLineNumbers w:val="0"/>
                    <w:spacing w:before="0" w:beforeAutospacing="0" w:after="0" w:afterAutospacing="0"/>
                    <w:ind w:left="0" w:right="0"/>
                    <w:jc w:val="center"/>
                    <w:rPr>
                      <w:rFonts w:hint="default" w:eastAsia="宋体"/>
                      <w:color w:val="auto"/>
                      <w:sz w:val="21"/>
                      <w:szCs w:val="21"/>
                      <w:highlight w:val="none"/>
                    </w:rPr>
                  </w:pPr>
                  <w:r>
                    <w:rPr>
                      <w:rFonts w:hint="default" w:eastAsia="宋体"/>
                      <w:color w:val="auto"/>
                      <w:sz w:val="21"/>
                      <w:szCs w:val="21"/>
                      <w:highlight w:val="none"/>
                    </w:rPr>
                    <w:t>营</w:t>
                  </w:r>
                </w:p>
                <w:p w14:paraId="06CE6C94">
                  <w:pPr>
                    <w:pStyle w:val="109"/>
                    <w:keepNext w:val="0"/>
                    <w:keepLines w:val="0"/>
                    <w:suppressLineNumbers w:val="0"/>
                    <w:spacing w:before="0" w:beforeAutospacing="0" w:after="0" w:afterAutospacing="0"/>
                    <w:ind w:left="0" w:right="0"/>
                    <w:jc w:val="center"/>
                    <w:rPr>
                      <w:rFonts w:hint="default" w:eastAsia="宋体"/>
                      <w:color w:val="auto"/>
                      <w:sz w:val="21"/>
                      <w:szCs w:val="21"/>
                      <w:highlight w:val="none"/>
                    </w:rPr>
                  </w:pPr>
                  <w:r>
                    <w:rPr>
                      <w:rFonts w:hint="default" w:eastAsia="宋体"/>
                      <w:color w:val="auto"/>
                      <w:sz w:val="21"/>
                      <w:szCs w:val="21"/>
                      <w:highlight w:val="none"/>
                    </w:rPr>
                    <w:t>期</w:t>
                  </w:r>
                </w:p>
              </w:tc>
              <w:tc>
                <w:tcPr>
                  <w:tcW w:w="1138" w:type="pct"/>
                  <w:tcBorders>
                    <w:left w:val="single" w:color="auto" w:sz="4" w:space="0"/>
                  </w:tcBorders>
                  <w:vAlign w:val="center"/>
                </w:tcPr>
                <w:p w14:paraId="5E32A388">
                  <w:pPr>
                    <w:pStyle w:val="109"/>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eastAsia="宋体"/>
                      <w:color w:val="auto"/>
                      <w:sz w:val="21"/>
                      <w:szCs w:val="21"/>
                      <w:highlight w:val="none"/>
                    </w:rPr>
                    <w:t>废气治理</w:t>
                  </w:r>
                </w:p>
              </w:tc>
              <w:tc>
                <w:tcPr>
                  <w:tcW w:w="2828" w:type="pct"/>
                  <w:vAlign w:val="center"/>
                </w:tcPr>
                <w:p w14:paraId="3E14A48E">
                  <w:pPr>
                    <w:pStyle w:val="109"/>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smallCaps w:val="0"/>
                      <w:color w:val="auto"/>
                      <w:sz w:val="21"/>
                      <w:highlight w:val="none"/>
                      <w:lang w:val="en-US" w:eastAsia="zh-CN"/>
                    </w:rPr>
                    <w:t>1套旋风除尘+</w:t>
                  </w:r>
                  <w:r>
                    <w:rPr>
                      <w:rFonts w:hint="default"/>
                      <w:smallCaps w:val="0"/>
                      <w:color w:val="auto"/>
                      <w:sz w:val="21"/>
                      <w:highlight w:val="none"/>
                    </w:rPr>
                    <w:t>布袋除尘器+</w:t>
                  </w:r>
                  <w:r>
                    <w:rPr>
                      <w:rFonts w:hint="eastAsia"/>
                      <w:smallCaps w:val="0"/>
                      <w:color w:val="auto"/>
                      <w:sz w:val="21"/>
                      <w:highlight w:val="none"/>
                      <w:lang w:val="en-US" w:eastAsia="zh-CN"/>
                    </w:rPr>
                    <w:t>35</w:t>
                  </w:r>
                  <w:r>
                    <w:rPr>
                      <w:rFonts w:hint="eastAsia"/>
                      <w:smallCaps w:val="0"/>
                      <w:color w:val="auto"/>
                      <w:sz w:val="21"/>
                      <w:highlight w:val="none"/>
                      <w:lang w:eastAsia="zh-CN"/>
                    </w:rPr>
                    <w:t>m</w:t>
                  </w:r>
                  <w:r>
                    <w:rPr>
                      <w:rFonts w:hint="default"/>
                      <w:smallCaps w:val="0"/>
                      <w:color w:val="auto"/>
                      <w:sz w:val="21"/>
                      <w:highlight w:val="none"/>
                    </w:rPr>
                    <w:t>高</w:t>
                  </w:r>
                  <w:r>
                    <w:rPr>
                      <w:rFonts w:hint="eastAsia"/>
                      <w:smallCaps w:val="0"/>
                      <w:color w:val="auto"/>
                      <w:sz w:val="21"/>
                      <w:highlight w:val="none"/>
                      <w:lang w:val="en-US" w:eastAsia="zh-CN"/>
                    </w:rPr>
                    <w:t>烟囱</w:t>
                  </w:r>
                </w:p>
              </w:tc>
              <w:tc>
                <w:tcPr>
                  <w:tcW w:w="682" w:type="pct"/>
                  <w:vAlign w:val="center"/>
                </w:tcPr>
                <w:p w14:paraId="7BDB9099">
                  <w:pPr>
                    <w:pStyle w:val="109"/>
                    <w:keepNext w:val="0"/>
                    <w:keepLines w:val="0"/>
                    <w:suppressLineNumbers w:val="0"/>
                    <w:spacing w:before="0" w:beforeAutospacing="0" w:after="0" w:afterAutospacing="0"/>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20</w:t>
                  </w:r>
                </w:p>
              </w:tc>
            </w:tr>
            <w:tr w14:paraId="1EE71C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50" w:type="pct"/>
                  <w:vMerge w:val="continue"/>
                  <w:tcBorders>
                    <w:right w:val="single" w:color="auto" w:sz="4" w:space="0"/>
                  </w:tcBorders>
                  <w:vAlign w:val="center"/>
                </w:tcPr>
                <w:p w14:paraId="7B33DB36">
                  <w:pPr>
                    <w:pStyle w:val="109"/>
                    <w:keepNext w:val="0"/>
                    <w:keepLines w:val="0"/>
                    <w:suppressLineNumbers w:val="0"/>
                    <w:spacing w:before="0" w:beforeAutospacing="0" w:after="0" w:afterAutospacing="0"/>
                    <w:ind w:left="0" w:right="0"/>
                    <w:jc w:val="center"/>
                    <w:rPr>
                      <w:rFonts w:hint="default" w:eastAsia="宋体"/>
                      <w:color w:val="auto"/>
                      <w:sz w:val="21"/>
                      <w:szCs w:val="21"/>
                      <w:highlight w:val="none"/>
                    </w:rPr>
                  </w:pPr>
                </w:p>
              </w:tc>
              <w:tc>
                <w:tcPr>
                  <w:tcW w:w="1138" w:type="pct"/>
                  <w:tcBorders>
                    <w:left w:val="single" w:color="auto" w:sz="4" w:space="0"/>
                  </w:tcBorders>
                  <w:vAlign w:val="center"/>
                </w:tcPr>
                <w:p w14:paraId="7EE3E775">
                  <w:pPr>
                    <w:pStyle w:val="109"/>
                    <w:keepNext w:val="0"/>
                    <w:keepLines w:val="0"/>
                    <w:suppressLineNumbers w:val="0"/>
                    <w:spacing w:before="0" w:beforeAutospacing="0" w:after="0" w:afterAutospacing="0"/>
                    <w:ind w:left="0" w:right="0"/>
                    <w:jc w:val="center"/>
                    <w:rPr>
                      <w:rFonts w:hint="default" w:eastAsia="宋体"/>
                      <w:color w:val="auto"/>
                      <w:sz w:val="21"/>
                      <w:szCs w:val="21"/>
                      <w:highlight w:val="none"/>
                    </w:rPr>
                  </w:pPr>
                  <w:r>
                    <w:rPr>
                      <w:rFonts w:hint="default" w:eastAsia="宋体"/>
                      <w:color w:val="auto"/>
                      <w:sz w:val="21"/>
                      <w:szCs w:val="21"/>
                      <w:highlight w:val="none"/>
                    </w:rPr>
                    <w:t>噪声治理</w:t>
                  </w:r>
                </w:p>
              </w:tc>
              <w:tc>
                <w:tcPr>
                  <w:tcW w:w="2828" w:type="pct"/>
                  <w:vAlign w:val="center"/>
                </w:tcPr>
                <w:p w14:paraId="47C11591">
                  <w:pPr>
                    <w:pStyle w:val="109"/>
                    <w:keepNext w:val="0"/>
                    <w:keepLines w:val="0"/>
                    <w:suppressLineNumbers w:val="0"/>
                    <w:spacing w:before="0" w:beforeAutospacing="0" w:after="0" w:afterAutospacing="0"/>
                    <w:ind w:left="0" w:right="0"/>
                    <w:jc w:val="center"/>
                    <w:rPr>
                      <w:rFonts w:hint="default" w:eastAsia="宋体"/>
                      <w:color w:val="auto"/>
                      <w:sz w:val="21"/>
                      <w:szCs w:val="21"/>
                      <w:highlight w:val="none"/>
                    </w:rPr>
                  </w:pPr>
                  <w:r>
                    <w:rPr>
                      <w:rFonts w:hint="default" w:eastAsia="宋体"/>
                      <w:color w:val="auto"/>
                      <w:sz w:val="21"/>
                      <w:szCs w:val="21"/>
                      <w:highlight w:val="none"/>
                    </w:rPr>
                    <w:t>选用低噪声设备，通过减振、隔声、降噪、加强管理和设备合理布局等措施</w:t>
                  </w:r>
                </w:p>
              </w:tc>
              <w:tc>
                <w:tcPr>
                  <w:tcW w:w="682" w:type="pct"/>
                  <w:vAlign w:val="center"/>
                </w:tcPr>
                <w:p w14:paraId="2C245537">
                  <w:pPr>
                    <w:pStyle w:val="109"/>
                    <w:keepNext w:val="0"/>
                    <w:keepLines w:val="0"/>
                    <w:suppressLineNumbers w:val="0"/>
                    <w:spacing w:before="0" w:beforeAutospacing="0" w:after="0" w:afterAutospacing="0"/>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8.5</w:t>
                  </w:r>
                </w:p>
              </w:tc>
            </w:tr>
            <w:tr w14:paraId="7660768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4" w:hRule="atLeast"/>
                <w:jc w:val="center"/>
              </w:trPr>
              <w:tc>
                <w:tcPr>
                  <w:tcW w:w="350" w:type="pct"/>
                  <w:vMerge w:val="continue"/>
                  <w:tcBorders>
                    <w:right w:val="single" w:color="auto" w:sz="4" w:space="0"/>
                  </w:tcBorders>
                  <w:vAlign w:val="center"/>
                </w:tcPr>
                <w:p w14:paraId="38046C31">
                  <w:pPr>
                    <w:pStyle w:val="109"/>
                    <w:keepNext w:val="0"/>
                    <w:keepLines w:val="0"/>
                    <w:suppressLineNumbers w:val="0"/>
                    <w:spacing w:before="0" w:beforeAutospacing="0" w:after="0" w:afterAutospacing="0"/>
                    <w:ind w:left="0" w:right="0"/>
                    <w:jc w:val="center"/>
                    <w:rPr>
                      <w:rFonts w:hint="default" w:eastAsia="宋体"/>
                      <w:color w:val="auto"/>
                      <w:sz w:val="21"/>
                      <w:szCs w:val="21"/>
                      <w:highlight w:val="none"/>
                    </w:rPr>
                  </w:pPr>
                </w:p>
              </w:tc>
              <w:tc>
                <w:tcPr>
                  <w:tcW w:w="1138" w:type="pct"/>
                  <w:tcBorders>
                    <w:left w:val="single" w:color="auto" w:sz="4" w:space="0"/>
                  </w:tcBorders>
                  <w:vAlign w:val="center"/>
                </w:tcPr>
                <w:p w14:paraId="616428CF">
                  <w:pPr>
                    <w:pStyle w:val="109"/>
                    <w:keepNext w:val="0"/>
                    <w:keepLines w:val="0"/>
                    <w:suppressLineNumbers w:val="0"/>
                    <w:spacing w:before="0" w:beforeAutospacing="0" w:after="0" w:afterAutospacing="0"/>
                    <w:ind w:left="0" w:right="0"/>
                    <w:jc w:val="center"/>
                    <w:rPr>
                      <w:rFonts w:hint="default" w:eastAsia="宋体"/>
                      <w:color w:val="auto"/>
                      <w:sz w:val="21"/>
                      <w:szCs w:val="21"/>
                      <w:highlight w:val="none"/>
                    </w:rPr>
                  </w:pPr>
                  <w:r>
                    <w:rPr>
                      <w:rFonts w:hint="default" w:ascii="Times New Roman" w:hAnsi="Times New Roman" w:eastAsia="宋体" w:cs="Times New Roman"/>
                      <w:color w:val="auto"/>
                      <w:sz w:val="21"/>
                      <w:szCs w:val="21"/>
                      <w:highlight w:val="none"/>
                    </w:rPr>
                    <w:t>固废治理</w:t>
                  </w:r>
                </w:p>
              </w:tc>
              <w:tc>
                <w:tcPr>
                  <w:tcW w:w="2828" w:type="pct"/>
                  <w:vAlign w:val="center"/>
                </w:tcPr>
                <w:p w14:paraId="6819C049">
                  <w:pPr>
                    <w:pStyle w:val="109"/>
                    <w:keepNext w:val="0"/>
                    <w:keepLines w:val="0"/>
                    <w:suppressLineNumbers w:val="0"/>
                    <w:spacing w:before="0" w:beforeAutospacing="0" w:after="0" w:afterAutospacing="0"/>
                    <w:ind w:left="0" w:right="0"/>
                    <w:jc w:val="center"/>
                    <w:rPr>
                      <w:rFonts w:hint="eastAsia" w:eastAsia="宋体"/>
                      <w:color w:val="auto"/>
                      <w:sz w:val="21"/>
                      <w:szCs w:val="21"/>
                      <w:highlight w:val="none"/>
                      <w:lang w:val="en-US" w:eastAsia="zh-CN"/>
                    </w:rPr>
                  </w:pPr>
                  <w:r>
                    <w:rPr>
                      <w:rFonts w:hint="eastAsia" w:cs="Times New Roman" w:eastAsiaTheme="minorEastAsia"/>
                      <w:color w:val="auto"/>
                      <w:kern w:val="0"/>
                      <w:szCs w:val="21"/>
                      <w:lang w:val="en-US" w:eastAsia="zh-CN"/>
                    </w:rPr>
                    <w:t>工艺废料、不合格产品</w:t>
                  </w:r>
                  <w:r>
                    <w:rPr>
                      <w:rFonts w:hint="default" w:ascii="Times New Roman" w:hAnsi="Times New Roman" w:cs="Times New Roman" w:eastAsiaTheme="minorEastAsia"/>
                      <w:color w:val="auto"/>
                      <w:kern w:val="0"/>
                      <w:szCs w:val="21"/>
                      <w:lang w:eastAsia="zh-CN"/>
                    </w:rPr>
                    <w:t>集中收集后</w:t>
                  </w:r>
                  <w:r>
                    <w:rPr>
                      <w:rFonts w:hint="eastAsia" w:cs="Times New Roman"/>
                      <w:color w:val="auto"/>
                      <w:highlight w:val="none"/>
                      <w:lang w:val="en-US" w:eastAsia="zh-CN"/>
                    </w:rPr>
                    <w:t>外售至饲料加工公司；</w:t>
                  </w:r>
                  <w:r>
                    <w:rPr>
                      <w:rFonts w:hint="eastAsia" w:ascii="Times New Roman" w:hAnsi="Times New Roman" w:cs="Times New Roman" w:eastAsiaTheme="minorEastAsia"/>
                      <w:color w:val="auto"/>
                      <w:kern w:val="0"/>
                      <w:szCs w:val="21"/>
                      <w:lang w:eastAsia="zh-CN"/>
                    </w:rPr>
                    <w:t>锅炉除尘灰及锅炉灰渣</w:t>
                  </w:r>
                  <w:r>
                    <w:rPr>
                      <w:rFonts w:hint="eastAsia" w:ascii="Times New Roman" w:hAnsi="Times New Roman" w:eastAsia="宋体" w:cs="Times New Roman"/>
                      <w:color w:val="auto"/>
                      <w:highlight w:val="none"/>
                      <w:lang w:eastAsia="zh-CN"/>
                    </w:rPr>
                    <w:t>定期外售至肥料生产企业</w:t>
                  </w:r>
                  <w:r>
                    <w:rPr>
                      <w:rFonts w:hint="eastAsia" w:cs="Times New Roman" w:eastAsiaTheme="minorEastAsia"/>
                      <w:color w:val="auto"/>
                      <w:szCs w:val="21"/>
                      <w:lang w:eastAsia="zh-CN"/>
                    </w:rPr>
                    <w:t>；</w:t>
                  </w:r>
                  <w:r>
                    <w:rPr>
                      <w:rFonts w:hint="eastAsia" w:ascii="Times New Roman" w:hAnsi="Times New Roman" w:cs="Times New Roman" w:eastAsiaTheme="minorEastAsia"/>
                      <w:color w:val="auto"/>
                      <w:kern w:val="0"/>
                      <w:szCs w:val="21"/>
                      <w:lang w:eastAsia="zh-CN"/>
                    </w:rPr>
                    <w:t>废布袋由</w:t>
                  </w:r>
                  <w:r>
                    <w:rPr>
                      <w:rFonts w:hint="eastAsia" w:ascii="Times New Roman" w:hAnsi="Times New Roman" w:eastAsia="宋体" w:cs="Times New Roman"/>
                      <w:color w:val="auto"/>
                      <w:highlight w:val="none"/>
                      <w:lang w:val="en-US" w:eastAsia="zh-CN"/>
                    </w:rPr>
                    <w:t>除尘器厂家检修后直接带走</w:t>
                  </w:r>
                  <w:r>
                    <w:rPr>
                      <w:rFonts w:hint="eastAsia" w:cs="Times New Roman"/>
                      <w:color w:val="auto"/>
                      <w:highlight w:val="none"/>
                      <w:lang w:val="en-US" w:eastAsia="zh-CN"/>
                    </w:rPr>
                    <w:t>；</w:t>
                  </w:r>
                  <w:r>
                    <w:rPr>
                      <w:rFonts w:hint="eastAsia" w:ascii="Times New Roman" w:hAnsi="Times New Roman" w:cs="Times New Roman" w:eastAsiaTheme="minorEastAsia"/>
                      <w:color w:val="auto"/>
                      <w:kern w:val="0"/>
                      <w:szCs w:val="21"/>
                      <w:lang w:eastAsia="zh-CN"/>
                    </w:rPr>
                    <w:t>废离子交换树脂</w:t>
                  </w:r>
                  <w:r>
                    <w:rPr>
                      <w:rFonts w:hint="default" w:ascii="Times New Roman" w:hAnsi="Times New Roman" w:eastAsia="宋体" w:cs="Times New Roman"/>
                      <w:color w:val="auto"/>
                      <w:highlight w:val="none"/>
                      <w:lang w:val="en-US" w:eastAsia="zh-CN"/>
                    </w:rPr>
                    <w:t>由厂家上门更换，更换后立即外运，不在</w:t>
                  </w:r>
                  <w:r>
                    <w:rPr>
                      <w:rFonts w:hint="eastAsia" w:cs="Times New Roman"/>
                      <w:color w:val="auto"/>
                      <w:highlight w:val="none"/>
                      <w:lang w:val="en-US" w:eastAsia="zh-CN"/>
                    </w:rPr>
                    <w:t>水</w:t>
                  </w:r>
                  <w:r>
                    <w:rPr>
                      <w:rFonts w:hint="default" w:ascii="Times New Roman" w:hAnsi="Times New Roman" w:eastAsia="宋体" w:cs="Times New Roman"/>
                      <w:color w:val="auto"/>
                      <w:highlight w:val="none"/>
                      <w:lang w:val="en-US" w:eastAsia="zh-CN"/>
                    </w:rPr>
                    <w:t>房内存放，由厂家回收再生利用</w:t>
                  </w:r>
                  <w:r>
                    <w:rPr>
                      <w:rFonts w:hint="eastAsia" w:cs="Times New Roman"/>
                      <w:color w:val="auto"/>
                      <w:highlight w:val="none"/>
                      <w:lang w:val="en-US" w:eastAsia="zh-CN"/>
                    </w:rPr>
                    <w:t>；</w:t>
                  </w:r>
                  <w:r>
                    <w:rPr>
                      <w:rFonts w:hint="eastAsia" w:ascii="Times New Roman" w:hAnsi="Times New Roman" w:cs="Times New Roman" w:eastAsiaTheme="minorEastAsia"/>
                      <w:color w:val="auto"/>
                      <w:kern w:val="0"/>
                      <w:szCs w:val="21"/>
                      <w:lang w:eastAsia="zh-CN"/>
                    </w:rPr>
                    <w:t>生活垃圾</w:t>
                  </w:r>
                  <w:r>
                    <w:rPr>
                      <w:rFonts w:hint="default" w:ascii="Times New Roman" w:hAnsi="Times New Roman" w:cs="Times New Roman" w:eastAsiaTheme="minorEastAsia"/>
                      <w:color w:val="auto"/>
                      <w:kern w:val="0"/>
                      <w:szCs w:val="21"/>
                      <w:lang w:eastAsia="zh-CN"/>
                    </w:rPr>
                    <w:t>集中收集后交由市政处理</w:t>
                  </w:r>
                  <w:r>
                    <w:rPr>
                      <w:rFonts w:hint="eastAsia" w:cs="Times New Roman" w:eastAsiaTheme="minorEastAsia"/>
                      <w:color w:val="auto"/>
                      <w:kern w:val="0"/>
                      <w:szCs w:val="21"/>
                      <w:lang w:eastAsia="zh-CN"/>
                    </w:rPr>
                    <w:t>；</w:t>
                  </w:r>
                  <w:r>
                    <w:rPr>
                      <w:rFonts w:hint="eastAsia" w:cs="Times New Roman" w:eastAsiaTheme="minorEastAsia"/>
                      <w:color w:val="auto"/>
                      <w:kern w:val="0"/>
                      <w:szCs w:val="21"/>
                      <w:lang w:val="en-US" w:eastAsia="zh-CN"/>
                    </w:rPr>
                    <w:t>废机油集中收集暂存至危废贮存点，定期委托有资质公司处理</w:t>
                  </w:r>
                  <w:r>
                    <w:rPr>
                      <w:rFonts w:hint="eastAsia" w:cs="Times New Roman" w:eastAsiaTheme="minorEastAsia"/>
                      <w:color w:val="auto"/>
                      <w:kern w:val="0"/>
                      <w:szCs w:val="21"/>
                      <w:lang w:eastAsia="zh-CN"/>
                    </w:rPr>
                    <w:t>。</w:t>
                  </w:r>
                </w:p>
              </w:tc>
              <w:tc>
                <w:tcPr>
                  <w:tcW w:w="682" w:type="pct"/>
                  <w:vAlign w:val="center"/>
                </w:tcPr>
                <w:p w14:paraId="4450C3E0">
                  <w:pPr>
                    <w:pStyle w:val="109"/>
                    <w:keepNext w:val="0"/>
                    <w:keepLines w:val="0"/>
                    <w:suppressLineNumbers w:val="0"/>
                    <w:spacing w:before="0" w:beforeAutospacing="0" w:after="0" w:afterAutospacing="0"/>
                    <w:ind w:left="0" w:right="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5</w:t>
                  </w:r>
                </w:p>
              </w:tc>
            </w:tr>
            <w:tr w14:paraId="2D1249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50" w:type="pct"/>
                  <w:vMerge w:val="continue"/>
                  <w:tcBorders>
                    <w:right w:val="single" w:color="auto" w:sz="4" w:space="0"/>
                  </w:tcBorders>
                  <w:vAlign w:val="center"/>
                </w:tcPr>
                <w:p w14:paraId="3FD5E9BA">
                  <w:pPr>
                    <w:pStyle w:val="109"/>
                    <w:keepNext w:val="0"/>
                    <w:keepLines w:val="0"/>
                    <w:suppressLineNumbers w:val="0"/>
                    <w:spacing w:before="0" w:beforeAutospacing="0" w:after="0" w:afterAutospacing="0"/>
                    <w:ind w:left="0" w:right="0"/>
                    <w:jc w:val="center"/>
                    <w:rPr>
                      <w:rFonts w:hint="default" w:eastAsia="宋体"/>
                      <w:color w:val="auto"/>
                      <w:sz w:val="21"/>
                      <w:szCs w:val="21"/>
                      <w:highlight w:val="none"/>
                    </w:rPr>
                  </w:pPr>
                </w:p>
              </w:tc>
              <w:tc>
                <w:tcPr>
                  <w:tcW w:w="1138" w:type="pct"/>
                  <w:tcBorders>
                    <w:left w:val="single" w:color="auto" w:sz="4" w:space="0"/>
                  </w:tcBorders>
                  <w:vAlign w:val="center"/>
                </w:tcPr>
                <w:p w14:paraId="75DE5218">
                  <w:pPr>
                    <w:pStyle w:val="109"/>
                    <w:keepNext w:val="0"/>
                    <w:keepLines w:val="0"/>
                    <w:suppressLineNumbers w:val="0"/>
                    <w:spacing w:before="0" w:beforeAutospacing="0" w:after="0" w:afterAutospacing="0"/>
                    <w:ind w:left="0" w:right="0"/>
                    <w:jc w:val="center"/>
                    <w:rPr>
                      <w:rFonts w:hint="default" w:eastAsia="宋体"/>
                      <w:color w:val="auto"/>
                      <w:sz w:val="21"/>
                      <w:szCs w:val="21"/>
                      <w:highlight w:val="none"/>
                    </w:rPr>
                  </w:pPr>
                  <w:r>
                    <w:rPr>
                      <w:rFonts w:hint="default" w:eastAsia="宋体"/>
                      <w:color w:val="auto"/>
                      <w:sz w:val="21"/>
                      <w:szCs w:val="21"/>
                      <w:highlight w:val="none"/>
                    </w:rPr>
                    <w:t>监测、运行维护费用</w:t>
                  </w:r>
                </w:p>
              </w:tc>
              <w:tc>
                <w:tcPr>
                  <w:tcW w:w="2828" w:type="pct"/>
                  <w:vAlign w:val="center"/>
                </w:tcPr>
                <w:p w14:paraId="2F8539EA">
                  <w:pPr>
                    <w:pStyle w:val="109"/>
                    <w:keepNext w:val="0"/>
                    <w:keepLines w:val="0"/>
                    <w:suppressLineNumbers w:val="0"/>
                    <w:spacing w:before="0" w:beforeAutospacing="0" w:after="0" w:afterAutospacing="0"/>
                    <w:ind w:left="0" w:right="0"/>
                    <w:jc w:val="center"/>
                    <w:rPr>
                      <w:rFonts w:hint="default" w:eastAsia="宋体"/>
                      <w:color w:val="auto"/>
                      <w:sz w:val="21"/>
                      <w:szCs w:val="21"/>
                      <w:highlight w:val="none"/>
                      <w:lang w:val="en-US" w:eastAsia="zh-CN"/>
                    </w:rPr>
                  </w:pPr>
                  <w:r>
                    <w:rPr>
                      <w:rFonts w:hint="default" w:eastAsia="宋体"/>
                      <w:color w:val="auto"/>
                      <w:sz w:val="21"/>
                      <w:szCs w:val="21"/>
                      <w:highlight w:val="none"/>
                    </w:rPr>
                    <w:t>环境保护措施和设施的运行维护费用、</w:t>
                  </w:r>
                  <w:r>
                    <w:rPr>
                      <w:rFonts w:hint="eastAsia"/>
                      <w:color w:val="auto"/>
                      <w:sz w:val="21"/>
                      <w:szCs w:val="21"/>
                      <w:highlight w:val="none"/>
                      <w:lang w:val="en-US" w:eastAsia="zh-CN"/>
                    </w:rPr>
                    <w:t>例行监测</w:t>
                  </w:r>
                </w:p>
              </w:tc>
              <w:tc>
                <w:tcPr>
                  <w:tcW w:w="682" w:type="pct"/>
                  <w:vAlign w:val="center"/>
                </w:tcPr>
                <w:p w14:paraId="77D05F0B">
                  <w:pPr>
                    <w:pStyle w:val="109"/>
                    <w:keepNext w:val="0"/>
                    <w:keepLines w:val="0"/>
                    <w:suppressLineNumbers w:val="0"/>
                    <w:spacing w:before="0" w:beforeAutospacing="0" w:after="0" w:afterAutospacing="0"/>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11</w:t>
                  </w:r>
                </w:p>
              </w:tc>
            </w:tr>
            <w:tr w14:paraId="2B70C64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317" w:type="pct"/>
                  <w:gridSpan w:val="3"/>
                  <w:vAlign w:val="center"/>
                </w:tcPr>
                <w:p w14:paraId="4F39A4DE">
                  <w:pPr>
                    <w:pStyle w:val="109"/>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合计</w:t>
                  </w:r>
                </w:p>
              </w:tc>
              <w:tc>
                <w:tcPr>
                  <w:tcW w:w="682" w:type="pct"/>
                  <w:vAlign w:val="center"/>
                </w:tcPr>
                <w:p w14:paraId="02731BD9">
                  <w:pPr>
                    <w:pStyle w:val="109"/>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44.5</w:t>
                  </w:r>
                </w:p>
              </w:tc>
            </w:tr>
            <w:tr w14:paraId="73C593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317" w:type="pct"/>
                  <w:gridSpan w:val="3"/>
                  <w:vAlign w:val="center"/>
                </w:tcPr>
                <w:p w14:paraId="6D0A4792">
                  <w:pPr>
                    <w:pStyle w:val="109"/>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总投资</w:t>
                  </w:r>
                </w:p>
              </w:tc>
              <w:tc>
                <w:tcPr>
                  <w:tcW w:w="682" w:type="pct"/>
                  <w:vAlign w:val="center"/>
                </w:tcPr>
                <w:p w14:paraId="0AFBCF94">
                  <w:pPr>
                    <w:pStyle w:val="109"/>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1000</w:t>
                  </w:r>
                </w:p>
              </w:tc>
            </w:tr>
            <w:tr w14:paraId="2B9313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317" w:type="pct"/>
                  <w:gridSpan w:val="3"/>
                  <w:vAlign w:val="center"/>
                </w:tcPr>
                <w:p w14:paraId="29BA75B8">
                  <w:pPr>
                    <w:pStyle w:val="109"/>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环保投资比</w:t>
                  </w:r>
                </w:p>
              </w:tc>
              <w:tc>
                <w:tcPr>
                  <w:tcW w:w="682" w:type="pct"/>
                  <w:vAlign w:val="center"/>
                </w:tcPr>
                <w:p w14:paraId="3A57FE71">
                  <w:pPr>
                    <w:pStyle w:val="109"/>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4.45</w:t>
                  </w:r>
                </w:p>
              </w:tc>
            </w:tr>
          </w:tbl>
          <w:p w14:paraId="29E3A66E">
            <w:pPr>
              <w:pStyle w:val="30"/>
              <w:keepNext w:val="0"/>
              <w:keepLines w:val="0"/>
              <w:suppressLineNumbers w:val="0"/>
              <w:adjustRightInd w:val="0"/>
              <w:snapToGrid w:val="0"/>
              <w:spacing w:before="0" w:beforeAutospacing="0" w:after="0" w:afterAutospacing="0" w:line="360" w:lineRule="auto"/>
              <w:ind w:left="0" w:right="0" w:firstLine="482" w:firstLineChars="200"/>
              <w:rPr>
                <w:rFonts w:hint="default" w:eastAsia="宋体"/>
                <w:b/>
                <w:bCs/>
                <w:color w:val="auto"/>
                <w:sz w:val="24"/>
                <w:highlight w:val="none"/>
              </w:rPr>
            </w:pPr>
            <w:r>
              <w:rPr>
                <w:rFonts w:hint="eastAsia"/>
                <w:b/>
                <w:bCs/>
                <w:color w:val="auto"/>
                <w:sz w:val="24"/>
                <w:highlight w:val="none"/>
                <w:lang w:val="en-US" w:eastAsia="zh-CN"/>
              </w:rPr>
              <w:t>9、</w:t>
            </w:r>
            <w:r>
              <w:rPr>
                <w:rFonts w:hint="default" w:eastAsia="宋体"/>
                <w:b/>
                <w:bCs/>
                <w:color w:val="auto"/>
                <w:sz w:val="24"/>
                <w:highlight w:val="none"/>
              </w:rPr>
              <w:t>劳动定员与工作制</w:t>
            </w:r>
          </w:p>
          <w:p w14:paraId="36661689">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宋体"/>
                <w:color w:val="auto"/>
                <w:sz w:val="24"/>
                <w:highlight w:val="none"/>
              </w:rPr>
            </w:pPr>
            <w:r>
              <w:rPr>
                <w:rFonts w:hint="default" w:ascii="Times New Roman" w:hAnsi="Times New Roman" w:eastAsia="宋体" w:cs="Times New Roman"/>
                <w:color w:val="auto"/>
                <w:sz w:val="24"/>
                <w:highlight w:val="none"/>
                <w:lang w:val="en-US" w:eastAsia="zh-CN"/>
              </w:rPr>
              <w:t>本项目员工人数</w:t>
            </w:r>
            <w:r>
              <w:rPr>
                <w:rFonts w:hint="eastAsia" w:cs="Times New Roman"/>
                <w:color w:val="auto"/>
                <w:sz w:val="24"/>
                <w:highlight w:val="none"/>
                <w:lang w:val="en-US" w:eastAsia="zh-CN"/>
              </w:rPr>
              <w:t>16</w:t>
            </w:r>
            <w:r>
              <w:rPr>
                <w:rFonts w:hint="default" w:ascii="Times New Roman" w:hAnsi="Times New Roman" w:eastAsia="宋体" w:cs="Times New Roman"/>
                <w:color w:val="auto"/>
                <w:sz w:val="24"/>
                <w:highlight w:val="none"/>
                <w:lang w:val="en-US" w:eastAsia="zh-CN"/>
              </w:rPr>
              <w:t>人，</w:t>
            </w:r>
            <w:r>
              <w:rPr>
                <w:rFonts w:hint="eastAsia" w:cs="Times New Roman"/>
                <w:color w:val="auto"/>
                <w:sz w:val="24"/>
                <w:highlight w:val="none"/>
                <w:lang w:val="en-US" w:eastAsia="zh-CN"/>
              </w:rPr>
              <w:t>一</w:t>
            </w:r>
            <w:r>
              <w:rPr>
                <w:rFonts w:hint="default" w:ascii="Times New Roman" w:hAnsi="Times New Roman" w:eastAsia="宋体" w:cs="Times New Roman"/>
                <w:color w:val="auto"/>
                <w:sz w:val="24"/>
                <w:highlight w:val="none"/>
                <w:lang w:val="en-US" w:eastAsia="zh-CN"/>
              </w:rPr>
              <w:t>班制，每班</w:t>
            </w:r>
            <w:r>
              <w:rPr>
                <w:rFonts w:hint="eastAsia" w:cs="Times New Roman"/>
                <w:color w:val="auto"/>
                <w:sz w:val="24"/>
                <w:highlight w:val="none"/>
                <w:lang w:val="en-US" w:eastAsia="zh-CN"/>
              </w:rPr>
              <w:t>10</w:t>
            </w:r>
            <w:r>
              <w:rPr>
                <w:rFonts w:hint="default" w:ascii="Times New Roman" w:hAnsi="Times New Roman" w:eastAsia="宋体" w:cs="Times New Roman"/>
                <w:color w:val="auto"/>
                <w:sz w:val="24"/>
                <w:highlight w:val="none"/>
                <w:lang w:val="en-US" w:eastAsia="zh-CN"/>
              </w:rPr>
              <w:t>小时，</w:t>
            </w:r>
            <w:r>
              <w:rPr>
                <w:rFonts w:hint="eastAsia" w:cs="Times New Roman"/>
                <w:color w:val="auto"/>
                <w:sz w:val="24"/>
                <w:highlight w:val="none"/>
                <w:lang w:val="en-US" w:eastAsia="zh-CN"/>
              </w:rPr>
              <w:t>车间生产</w:t>
            </w:r>
            <w:r>
              <w:rPr>
                <w:rFonts w:hint="default" w:ascii="Times New Roman" w:hAnsi="Times New Roman" w:eastAsia="宋体" w:cs="Times New Roman"/>
                <w:color w:val="auto"/>
                <w:sz w:val="24"/>
                <w:highlight w:val="none"/>
                <w:lang w:val="en-US" w:eastAsia="zh-CN"/>
              </w:rPr>
              <w:t>年工</w:t>
            </w:r>
            <w:r>
              <w:rPr>
                <w:rFonts w:hint="eastAsia" w:cs="Times New Roman"/>
                <w:color w:val="auto"/>
                <w:sz w:val="24"/>
                <w:highlight w:val="none"/>
                <w:lang w:val="en-US" w:eastAsia="zh-CN"/>
              </w:rPr>
              <w:t>30</w:t>
            </w:r>
            <w:r>
              <w:rPr>
                <w:rFonts w:hint="default" w:ascii="Times New Roman" w:hAnsi="Times New Roman" w:eastAsia="宋体" w:cs="Times New Roman"/>
                <w:color w:val="auto"/>
                <w:sz w:val="24"/>
                <w:highlight w:val="none"/>
                <w:lang w:val="en-US" w:eastAsia="zh-CN"/>
              </w:rPr>
              <w:t>天</w:t>
            </w:r>
            <w:r>
              <w:rPr>
                <w:rFonts w:hint="eastAsia" w:cs="Times New Roman"/>
                <w:color w:val="auto"/>
                <w:sz w:val="24"/>
                <w:highlight w:val="none"/>
                <w:lang w:val="en-US" w:eastAsia="zh-CN"/>
              </w:rPr>
              <w:t>（6月25日~7月10日、9月20日~10月17日），本项目不设有食堂和员工宿舍</w:t>
            </w:r>
            <w:r>
              <w:rPr>
                <w:rFonts w:hint="default" w:ascii="Times New Roman" w:hAnsi="Times New Roman" w:eastAsia="宋体" w:cs="Times New Roman"/>
                <w:color w:val="auto"/>
                <w:sz w:val="24"/>
                <w:highlight w:val="none"/>
                <w:lang w:val="en-US" w:eastAsia="zh-CN"/>
              </w:rPr>
              <w:t>。</w:t>
            </w:r>
          </w:p>
          <w:p w14:paraId="6B43B5C0">
            <w:pPr>
              <w:pStyle w:val="30"/>
              <w:keepNext w:val="0"/>
              <w:keepLines w:val="0"/>
              <w:suppressLineNumbers w:val="0"/>
              <w:adjustRightInd w:val="0"/>
              <w:snapToGrid w:val="0"/>
              <w:spacing w:before="0" w:beforeAutospacing="0" w:after="0" w:afterAutospacing="0" w:line="360" w:lineRule="auto"/>
              <w:ind w:left="0" w:right="0" w:firstLine="482" w:firstLineChars="200"/>
              <w:rPr>
                <w:rFonts w:hint="default" w:eastAsia="宋体"/>
                <w:b/>
                <w:bCs/>
                <w:color w:val="auto"/>
                <w:sz w:val="24"/>
                <w:highlight w:val="none"/>
              </w:rPr>
            </w:pPr>
            <w:r>
              <w:rPr>
                <w:rFonts w:hint="eastAsia"/>
                <w:b/>
                <w:bCs/>
                <w:color w:val="auto"/>
                <w:sz w:val="24"/>
                <w:highlight w:val="none"/>
                <w:lang w:val="en-US" w:eastAsia="zh-CN"/>
              </w:rPr>
              <w:t>10、</w:t>
            </w:r>
            <w:r>
              <w:rPr>
                <w:rFonts w:hint="default" w:eastAsia="宋体"/>
                <w:b/>
                <w:bCs/>
                <w:color w:val="auto"/>
                <w:sz w:val="24"/>
                <w:highlight w:val="none"/>
              </w:rPr>
              <w:t>总平面布置</w:t>
            </w:r>
          </w:p>
          <w:p w14:paraId="48182D64">
            <w:pPr>
              <w:pStyle w:val="30"/>
              <w:keepNext w:val="0"/>
              <w:keepLines w:val="0"/>
              <w:suppressLineNumbers w:val="0"/>
              <w:adjustRightInd w:val="0"/>
              <w:snapToGrid w:val="0"/>
              <w:spacing w:before="0" w:beforeAutospacing="0" w:after="0" w:afterAutospacing="0" w:line="360" w:lineRule="auto"/>
              <w:ind w:left="0" w:right="0" w:firstLine="480" w:firstLineChars="200"/>
              <w:rPr>
                <w:rFonts w:hint="default" w:eastAsia="宋体"/>
                <w:color w:val="auto"/>
                <w:sz w:val="24"/>
                <w:highlight w:val="none"/>
              </w:rPr>
            </w:pPr>
            <w:r>
              <w:rPr>
                <w:rFonts w:hint="default" w:eastAsia="宋体"/>
                <w:color w:val="auto"/>
                <w:sz w:val="24"/>
                <w:highlight w:val="none"/>
              </w:rPr>
              <w:t>本项目</w:t>
            </w:r>
            <w:r>
              <w:rPr>
                <w:rFonts w:hint="eastAsia" w:ascii="Times New Roman" w:hAnsi="Times New Roman" w:eastAsia="宋体"/>
                <w:color w:val="auto"/>
                <w:spacing w:val="4"/>
                <w:sz w:val="24"/>
                <w:highlight w:val="none"/>
              </w:rPr>
              <w:t>占地面积</w:t>
            </w:r>
            <w:r>
              <w:rPr>
                <w:rFonts w:hint="eastAsia" w:cs="Times New Roman"/>
                <w:color w:val="auto"/>
                <w:spacing w:val="4"/>
                <w:sz w:val="24"/>
                <w:highlight w:val="none"/>
                <w:lang w:val="en-US" w:eastAsia="zh-CN"/>
              </w:rPr>
              <w:t>10000</w:t>
            </w:r>
            <w:r>
              <w:rPr>
                <w:rFonts w:hint="default" w:ascii="Times New Roman" w:hAnsi="Times New Roman" w:eastAsia="宋体" w:cs="Times New Roman"/>
                <w:color w:val="auto"/>
                <w:spacing w:val="4"/>
                <w:sz w:val="24"/>
                <w:highlight w:val="none"/>
              </w:rPr>
              <w:t>m</w:t>
            </w:r>
            <w:r>
              <w:rPr>
                <w:rFonts w:hint="default" w:ascii="Times New Roman" w:hAnsi="Times New Roman" w:eastAsia="宋体" w:cs="Times New Roman"/>
                <w:color w:val="auto"/>
                <w:spacing w:val="4"/>
                <w:sz w:val="24"/>
                <w:highlight w:val="none"/>
                <w:vertAlign w:val="superscript"/>
              </w:rPr>
              <w:t>2</w:t>
            </w:r>
            <w:r>
              <w:rPr>
                <w:rFonts w:hint="eastAsia" w:ascii="Times New Roman" w:hAnsi="Times New Roman" w:eastAsia="宋体" w:cs="Times New Roman"/>
                <w:color w:val="auto"/>
                <w:spacing w:val="4"/>
                <w:sz w:val="24"/>
                <w:highlight w:val="none"/>
              </w:rPr>
              <w:t>，总建筑面积</w:t>
            </w:r>
            <w:r>
              <w:rPr>
                <w:rFonts w:hint="eastAsia" w:cs="Times New Roman"/>
                <w:color w:val="auto"/>
                <w:spacing w:val="4"/>
                <w:sz w:val="24"/>
                <w:highlight w:val="none"/>
                <w:lang w:val="en-US" w:eastAsia="zh-CN"/>
              </w:rPr>
              <w:t>4741</w:t>
            </w:r>
            <w:r>
              <w:rPr>
                <w:rFonts w:hint="default" w:ascii="Times New Roman" w:hAnsi="Times New Roman" w:eastAsia="宋体" w:cs="Times New Roman"/>
                <w:color w:val="auto"/>
                <w:spacing w:val="4"/>
                <w:sz w:val="24"/>
                <w:highlight w:val="none"/>
              </w:rPr>
              <w:t>m</w:t>
            </w:r>
            <w:r>
              <w:rPr>
                <w:rFonts w:hint="default" w:ascii="Times New Roman" w:hAnsi="Times New Roman" w:eastAsia="宋体" w:cs="Times New Roman"/>
                <w:color w:val="auto"/>
                <w:spacing w:val="4"/>
                <w:sz w:val="24"/>
                <w:highlight w:val="none"/>
                <w:vertAlign w:val="superscript"/>
              </w:rPr>
              <w:t>2</w:t>
            </w:r>
            <w:r>
              <w:rPr>
                <w:rFonts w:hint="default" w:eastAsia="宋体"/>
                <w:color w:val="auto"/>
                <w:sz w:val="24"/>
                <w:highlight w:val="none"/>
              </w:rPr>
              <w:t>。</w:t>
            </w:r>
            <w:r>
              <w:rPr>
                <w:rFonts w:hint="eastAsia"/>
                <w:color w:val="auto"/>
                <w:sz w:val="24"/>
                <w:highlight w:val="none"/>
                <w:lang w:val="en-US" w:eastAsia="zh-CN"/>
              </w:rPr>
              <w:t>去皮车间位于厂区中部，速冻间位于厂区南侧，加工间位于厂房北侧，冷库位于厂房西侧，仓库位于厂区东侧和南侧，燃料间位于锅炉房北侧，灰渣间位于水房西侧，危废贮存点位于厂区东南侧，办公室位于厂区中部，水房位于厂区西北侧，锅炉房位于厂区西北侧，防渗贮水池位于厂区南侧</w:t>
            </w:r>
            <w:r>
              <w:rPr>
                <w:rFonts w:hint="default" w:eastAsia="宋体"/>
                <w:color w:val="auto"/>
                <w:sz w:val="24"/>
                <w:highlight w:val="none"/>
              </w:rPr>
              <w:t>。本项目平面布置图见附图</w:t>
            </w:r>
            <w:r>
              <w:rPr>
                <w:rFonts w:hint="eastAsia"/>
                <w:color w:val="auto"/>
                <w:sz w:val="24"/>
                <w:highlight w:val="none"/>
                <w:lang w:val="en-US" w:eastAsia="zh-CN"/>
              </w:rPr>
              <w:t>2</w:t>
            </w:r>
            <w:r>
              <w:rPr>
                <w:rFonts w:hint="default" w:eastAsia="宋体"/>
                <w:color w:val="auto"/>
                <w:sz w:val="24"/>
                <w:highlight w:val="none"/>
              </w:rPr>
              <w:t>。</w:t>
            </w:r>
          </w:p>
          <w:p w14:paraId="0E6055DF">
            <w:pPr>
              <w:pStyle w:val="30"/>
              <w:keepNext w:val="0"/>
              <w:keepLines w:val="0"/>
              <w:suppressLineNumbers w:val="0"/>
              <w:adjustRightInd w:val="0"/>
              <w:snapToGrid w:val="0"/>
              <w:spacing w:before="0" w:beforeAutospacing="0" w:after="0" w:afterAutospacing="0" w:line="360" w:lineRule="auto"/>
              <w:ind w:left="0" w:right="0" w:firstLine="480" w:firstLineChars="200"/>
              <w:rPr>
                <w:rFonts w:hint="default" w:eastAsia="宋体"/>
                <w:color w:val="auto"/>
                <w:sz w:val="24"/>
                <w:highlight w:val="none"/>
              </w:rPr>
            </w:pPr>
            <w:r>
              <w:rPr>
                <w:rFonts w:hint="default" w:eastAsia="宋体"/>
                <w:color w:val="auto"/>
                <w:sz w:val="24"/>
                <w:highlight w:val="none"/>
              </w:rPr>
              <w:t>项目平面布置功能分区合理、布局紧凑，各个建筑物的布置均满足工艺需要。</w:t>
            </w:r>
          </w:p>
          <w:p w14:paraId="47B4C81A">
            <w:pPr>
              <w:pStyle w:val="30"/>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宋体"/>
                <w:bCs/>
                <w:color w:val="auto"/>
                <w:szCs w:val="21"/>
                <w:highlight w:val="none"/>
              </w:rPr>
            </w:pPr>
            <w:r>
              <w:rPr>
                <w:rFonts w:hint="default" w:eastAsia="宋体"/>
                <w:color w:val="auto"/>
                <w:sz w:val="24"/>
                <w:highlight w:val="none"/>
              </w:rPr>
              <w:t>项目所在地道路系统完善，有利于原料及产品的运输。因此，本项目平面布置合理。</w:t>
            </w:r>
          </w:p>
        </w:tc>
      </w:tr>
      <w:tr w14:paraId="0E6EA5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6" w:hRule="atLeast"/>
          <w:jc w:val="center"/>
        </w:trPr>
        <w:tc>
          <w:tcPr>
            <w:tcW w:w="651" w:type="dxa"/>
            <w:vAlign w:val="center"/>
          </w:tcPr>
          <w:p w14:paraId="7D1D88EA">
            <w:pPr>
              <w:pStyle w:val="10"/>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宋体"/>
                <w:color w:val="auto"/>
                <w:szCs w:val="24"/>
                <w:highlight w:val="none"/>
              </w:rPr>
            </w:pPr>
            <w:r>
              <w:rPr>
                <w:rFonts w:hint="eastAsia" w:ascii="Times New Roman" w:hAnsi="Times New Roman" w:eastAsia="宋体" w:cs="宋体"/>
                <w:bCs/>
                <w:color w:val="auto"/>
                <w:kern w:val="2"/>
                <w:sz w:val="21"/>
                <w:szCs w:val="21"/>
                <w:highlight w:val="none"/>
              </w:rPr>
              <w:t>工艺流程和产排污环节</w:t>
            </w:r>
          </w:p>
        </w:tc>
        <w:tc>
          <w:tcPr>
            <w:tcW w:w="8409" w:type="dxa"/>
          </w:tcPr>
          <w:p w14:paraId="13BFEE43">
            <w:pPr>
              <w:pStyle w:val="14"/>
              <w:keepNext w:val="0"/>
              <w:keepLines w:val="0"/>
              <w:suppressLineNumbers w:val="0"/>
              <w:spacing w:before="0" w:beforeAutospacing="0" w:after="0" w:afterAutospacing="0" w:line="360" w:lineRule="auto"/>
              <w:ind w:left="0" w:leftChars="0" w:right="0" w:firstLine="0" w:firstLineChars="0"/>
              <w:rPr>
                <w:rFonts w:hint="default" w:ascii="Times New Roman" w:hAnsi="Times New Roman" w:eastAsia="宋体" w:cs="Times New Roman"/>
                <w:b/>
                <w:bCs/>
                <w:color w:val="auto"/>
                <w:kern w:val="2"/>
                <w:sz w:val="24"/>
                <w:szCs w:val="20"/>
                <w:highlight w:val="none"/>
                <w:lang w:val="en-US" w:eastAsia="zh-CN" w:bidi="ar-SA"/>
              </w:rPr>
            </w:pPr>
            <w:bookmarkStart w:id="5" w:name="_Toc388882371"/>
            <w:bookmarkStart w:id="6" w:name="_Toc404437928"/>
            <w:bookmarkStart w:id="7" w:name="_Toc404437502"/>
            <w:bookmarkStart w:id="8" w:name="_Toc414816027"/>
            <w:bookmarkStart w:id="9" w:name="_Toc407620579"/>
            <w:r>
              <w:rPr>
                <w:rFonts w:hint="default" w:ascii="Times New Roman" w:hAnsi="Times New Roman" w:eastAsia="宋体" w:cs="Times New Roman"/>
                <w:b/>
                <w:bCs/>
                <w:color w:val="auto"/>
                <w:kern w:val="2"/>
                <w:sz w:val="24"/>
                <w:szCs w:val="20"/>
                <w:highlight w:val="none"/>
                <w:lang w:val="en-US" w:eastAsia="zh-CN" w:bidi="ar-SA"/>
              </w:rPr>
              <w:t>工艺流程简述：</w:t>
            </w:r>
          </w:p>
          <w:bookmarkEnd w:id="5"/>
          <w:bookmarkEnd w:id="6"/>
          <w:bookmarkEnd w:id="7"/>
          <w:bookmarkEnd w:id="8"/>
          <w:bookmarkEnd w:id="9"/>
          <w:p w14:paraId="07835B6F">
            <w:pPr>
              <w:pStyle w:val="30"/>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eastAsia="zh-CN"/>
              </w:rPr>
            </w:pPr>
            <w:bookmarkStart w:id="10" w:name="_Hlk84352697"/>
            <w:r>
              <w:rPr>
                <w:rFonts w:hint="eastAsia" w:cs="Times New Roman"/>
                <w:color w:val="auto"/>
                <w:sz w:val="24"/>
                <w:highlight w:val="none"/>
                <w:lang w:val="en-US" w:eastAsia="zh-CN"/>
              </w:rPr>
              <w:t>1、施工期工艺流程及产排污环节</w:t>
            </w:r>
          </w:p>
          <w:p w14:paraId="3BD24562">
            <w:pPr>
              <w:pStyle w:val="13"/>
              <w:numPr>
                <w:ilvl w:val="0"/>
                <w:numId w:val="0"/>
              </w:numPr>
              <w:jc w:val="center"/>
              <w:rPr>
                <w:color w:val="auto"/>
              </w:rPr>
            </w:pPr>
            <w:r>
              <w:rPr>
                <w:color w:val="auto"/>
              </w:rPr>
              <w:drawing>
                <wp:inline distT="0" distB="0" distL="114300" distR="114300">
                  <wp:extent cx="3782060" cy="1239520"/>
                  <wp:effectExtent l="0" t="0" r="8890" b="17780"/>
                  <wp:docPr id="8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5"/>
                          <pic:cNvPicPr>
                            <a:picLocks noChangeAspect="1"/>
                          </pic:cNvPicPr>
                        </pic:nvPicPr>
                        <pic:blipFill>
                          <a:blip r:embed="rId11"/>
                          <a:stretch>
                            <a:fillRect/>
                          </a:stretch>
                        </pic:blipFill>
                        <pic:spPr>
                          <a:xfrm>
                            <a:off x="0" y="0"/>
                            <a:ext cx="3782060" cy="1239520"/>
                          </a:xfrm>
                          <a:prstGeom prst="rect">
                            <a:avLst/>
                          </a:prstGeom>
                          <a:noFill/>
                          <a:ln>
                            <a:noFill/>
                          </a:ln>
                        </pic:spPr>
                      </pic:pic>
                    </a:graphicData>
                  </a:graphic>
                </wp:inline>
              </w:drawing>
            </w:r>
          </w:p>
          <w:p w14:paraId="50CFEF07">
            <w:pPr>
              <w:pStyle w:val="8"/>
              <w:spacing w:line="240" w:lineRule="auto"/>
              <w:ind w:left="0" w:leftChars="0" w:firstLine="0" w:firstLineChars="0"/>
              <w:jc w:val="center"/>
              <w:rPr>
                <w:color w:val="auto"/>
                <w:kern w:val="2"/>
                <w:sz w:val="21"/>
                <w:szCs w:val="21"/>
              </w:rPr>
            </w:pPr>
            <w:r>
              <w:rPr>
                <w:b/>
                <w:color w:val="auto"/>
                <w:kern w:val="2"/>
                <w:sz w:val="21"/>
                <w:szCs w:val="21"/>
              </w:rPr>
              <w:t>图2</w:t>
            </w:r>
            <w:r>
              <w:rPr>
                <w:rFonts w:hint="eastAsia"/>
                <w:b/>
                <w:color w:val="auto"/>
                <w:kern w:val="2"/>
                <w:sz w:val="21"/>
                <w:szCs w:val="21"/>
              </w:rPr>
              <w:t>-</w:t>
            </w:r>
            <w:r>
              <w:rPr>
                <w:rFonts w:hint="eastAsia"/>
                <w:b/>
                <w:color w:val="auto"/>
                <w:kern w:val="2"/>
                <w:sz w:val="21"/>
                <w:szCs w:val="21"/>
                <w:lang w:val="en-US" w:eastAsia="zh-CN"/>
              </w:rPr>
              <w:t>2</w:t>
            </w:r>
            <w:r>
              <w:rPr>
                <w:b/>
                <w:color w:val="auto"/>
                <w:kern w:val="2"/>
                <w:sz w:val="21"/>
                <w:szCs w:val="21"/>
              </w:rPr>
              <w:t xml:space="preserve"> </w:t>
            </w:r>
            <w:r>
              <w:rPr>
                <w:rFonts w:hint="eastAsia"/>
                <w:b/>
                <w:color w:val="auto"/>
                <w:kern w:val="2"/>
                <w:sz w:val="21"/>
                <w:szCs w:val="21"/>
                <w:lang w:val="en-US" w:eastAsia="zh-CN"/>
              </w:rPr>
              <w:t xml:space="preserve"> </w:t>
            </w:r>
            <w:r>
              <w:rPr>
                <w:b/>
                <w:color w:val="auto"/>
                <w:kern w:val="2"/>
                <w:sz w:val="21"/>
                <w:szCs w:val="21"/>
              </w:rPr>
              <w:t>施工期工艺流程及产污节点图</w:t>
            </w:r>
          </w:p>
          <w:p w14:paraId="05F1D90B">
            <w:pPr>
              <w:pStyle w:val="30"/>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本项目施工期间会对环境造成一定影响，主要表现在以下几个方面：</w:t>
            </w:r>
          </w:p>
          <w:p w14:paraId="7BF57D07">
            <w:pPr>
              <w:pStyle w:val="30"/>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（1）场地平整、各类建材及土石方进出施工现场带来的扬尘影响；</w:t>
            </w:r>
          </w:p>
          <w:p w14:paraId="43CA42C4">
            <w:pPr>
              <w:pStyle w:val="30"/>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（2）施工作业产生的含泥沙废水以及人员生活污水排放对环境造成的影响；</w:t>
            </w:r>
          </w:p>
          <w:p w14:paraId="13EF2229">
            <w:pPr>
              <w:pStyle w:val="30"/>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（3）各类建筑机械噪声对周围声环境造成一定影响；</w:t>
            </w:r>
          </w:p>
          <w:p w14:paraId="233798E5">
            <w:pPr>
              <w:pStyle w:val="30"/>
              <w:keepNext w:val="0"/>
              <w:keepLines w:val="0"/>
              <w:suppressLineNumbers w:val="0"/>
              <w:adjustRightInd w:val="0"/>
              <w:snapToGrid w:val="0"/>
              <w:spacing w:before="0" w:beforeAutospacing="0" w:after="0" w:afterAutospacing="0" w:line="360" w:lineRule="auto"/>
              <w:ind w:left="0" w:right="0" w:firstLine="480" w:firstLineChars="200"/>
              <w:rPr>
                <w:rFonts w:hint="eastAsia" w:eastAsia="宋体"/>
                <w:color w:val="auto"/>
                <w:sz w:val="24"/>
                <w:highlight w:val="none"/>
                <w:lang w:val="en-US" w:eastAsia="zh-CN"/>
              </w:rPr>
            </w:pPr>
            <w:r>
              <w:rPr>
                <w:rFonts w:hint="eastAsia" w:ascii="Times New Roman" w:hAnsi="Times New Roman" w:eastAsia="宋体" w:cs="Times New Roman"/>
                <w:color w:val="auto"/>
                <w:sz w:val="24"/>
                <w:highlight w:val="none"/>
                <w:lang w:val="en-US" w:eastAsia="zh-CN"/>
              </w:rPr>
              <w:t>（4）因土方开挖而产生的土方，以及建设过程中产生的建筑垃圾对环境造成的影响。</w:t>
            </w:r>
          </w:p>
          <w:p w14:paraId="0C72D3BD">
            <w:pPr>
              <w:pStyle w:val="30"/>
              <w:keepNext w:val="0"/>
              <w:keepLines w:val="0"/>
              <w:suppressLineNumbers w:val="0"/>
              <w:adjustRightInd w:val="0"/>
              <w:snapToGrid w:val="0"/>
              <w:spacing w:before="0" w:beforeAutospacing="0" w:after="0" w:afterAutospacing="0" w:line="360" w:lineRule="auto"/>
              <w:ind w:left="0" w:right="0" w:firstLine="480" w:firstLineChars="200"/>
              <w:rPr>
                <w:rFonts w:hint="eastAsia" w:eastAsia="宋体"/>
                <w:color w:val="auto"/>
                <w:sz w:val="24"/>
                <w:highlight w:val="none"/>
                <w:lang w:val="en-US" w:eastAsia="zh-CN"/>
              </w:rPr>
            </w:pPr>
            <w:r>
              <w:rPr>
                <w:rFonts w:hint="eastAsia"/>
                <w:color w:val="auto"/>
                <w:sz w:val="24"/>
                <w:highlight w:val="none"/>
                <w:lang w:val="en-US" w:eastAsia="zh-CN"/>
              </w:rPr>
              <w:t>2、运营期</w:t>
            </w:r>
            <w:r>
              <w:rPr>
                <w:rFonts w:hint="eastAsia" w:eastAsia="宋体"/>
                <w:color w:val="auto"/>
                <w:sz w:val="24"/>
                <w:highlight w:val="none"/>
                <w:lang w:val="en-US" w:eastAsia="zh-CN"/>
              </w:rPr>
              <w:t>工艺流程简述：</w:t>
            </w:r>
          </w:p>
          <w:p w14:paraId="5CF1A969">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eastAsia="宋体"/>
                <w:color w:val="auto"/>
                <w:sz w:val="24"/>
                <w:highlight w:val="none"/>
                <w:lang w:eastAsia="zh-CN"/>
              </w:rPr>
            </w:pPr>
            <w:r>
              <w:rPr>
                <w:rFonts w:hint="eastAsia"/>
                <w:color w:val="auto"/>
                <w:sz w:val="24"/>
                <w:highlight w:val="none"/>
                <w:lang w:eastAsia="zh-CN"/>
              </w:rPr>
              <w:t>（</w:t>
            </w:r>
            <w:r>
              <w:rPr>
                <w:rFonts w:hint="eastAsia"/>
                <w:color w:val="auto"/>
                <w:sz w:val="24"/>
                <w:highlight w:val="none"/>
                <w:lang w:val="en-US" w:eastAsia="zh-CN"/>
              </w:rPr>
              <w:t>1</w:t>
            </w:r>
            <w:r>
              <w:rPr>
                <w:rFonts w:hint="eastAsia"/>
                <w:color w:val="auto"/>
                <w:sz w:val="24"/>
                <w:highlight w:val="none"/>
                <w:lang w:eastAsia="zh-CN"/>
              </w:rPr>
              <w:t>）</w:t>
            </w:r>
            <w:r>
              <w:rPr>
                <w:rFonts w:hint="eastAsia" w:eastAsia="宋体"/>
                <w:color w:val="auto"/>
                <w:sz w:val="24"/>
                <w:highlight w:val="none"/>
                <w:lang w:eastAsia="zh-CN"/>
              </w:rPr>
              <w:t>原料</w:t>
            </w:r>
          </w:p>
          <w:p w14:paraId="68347108">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eastAsia="宋体"/>
                <w:color w:val="auto"/>
                <w:sz w:val="24"/>
                <w:highlight w:val="none"/>
                <w:lang w:eastAsia="zh-CN"/>
              </w:rPr>
            </w:pPr>
            <w:r>
              <w:rPr>
                <w:rFonts w:hint="eastAsia" w:eastAsia="宋体"/>
                <w:color w:val="auto"/>
                <w:sz w:val="24"/>
                <w:highlight w:val="none"/>
                <w:lang w:eastAsia="zh-CN"/>
              </w:rPr>
              <w:t>采收的玉米在运输和搬运过程中防止暴晒和雨淋，最大限度地减少机械损伤。玉米运到工厂后应及时摊铺在通风凉爽的地方作短时存放，使原料尽快散发田间热</w:t>
            </w:r>
            <w:r>
              <w:rPr>
                <w:rFonts w:hint="eastAsia"/>
                <w:color w:val="auto"/>
                <w:sz w:val="24"/>
                <w:highlight w:val="none"/>
                <w:lang w:eastAsia="zh-CN"/>
              </w:rPr>
              <w:t>（</w:t>
            </w:r>
            <w:r>
              <w:rPr>
                <w:rFonts w:hint="eastAsia" w:eastAsia="宋体"/>
                <w:color w:val="auto"/>
                <w:sz w:val="24"/>
                <w:highlight w:val="none"/>
                <w:lang w:eastAsia="zh-CN"/>
              </w:rPr>
              <w:t>必要时可以机械通风</w:t>
            </w:r>
            <w:r>
              <w:rPr>
                <w:rFonts w:hint="eastAsia"/>
                <w:color w:val="auto"/>
                <w:sz w:val="24"/>
                <w:highlight w:val="none"/>
                <w:lang w:eastAsia="zh-CN"/>
              </w:rPr>
              <w:t>）</w:t>
            </w:r>
            <w:r>
              <w:rPr>
                <w:rFonts w:hint="eastAsia" w:eastAsia="宋体"/>
                <w:color w:val="auto"/>
                <w:sz w:val="24"/>
                <w:highlight w:val="none"/>
                <w:lang w:eastAsia="zh-CN"/>
              </w:rPr>
              <w:t>，以抑制原料品质的劣化。切不可将原料堆积，以免造成腐烂。</w:t>
            </w:r>
          </w:p>
          <w:p w14:paraId="44234B5B">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eastAsia="宋体"/>
                <w:color w:val="auto"/>
                <w:sz w:val="24"/>
                <w:highlight w:val="none"/>
                <w:lang w:eastAsia="zh-CN"/>
              </w:rPr>
            </w:pPr>
            <w:r>
              <w:rPr>
                <w:rFonts w:hint="eastAsia"/>
                <w:color w:val="auto"/>
                <w:sz w:val="24"/>
                <w:highlight w:val="none"/>
                <w:lang w:eastAsia="zh-CN"/>
              </w:rPr>
              <w:t>（</w:t>
            </w:r>
            <w:r>
              <w:rPr>
                <w:rFonts w:hint="eastAsia"/>
                <w:color w:val="auto"/>
                <w:sz w:val="24"/>
                <w:highlight w:val="none"/>
                <w:lang w:val="en-US" w:eastAsia="zh-CN"/>
              </w:rPr>
              <w:t>2</w:t>
            </w:r>
            <w:r>
              <w:rPr>
                <w:rFonts w:hint="eastAsia"/>
                <w:color w:val="auto"/>
                <w:sz w:val="24"/>
                <w:highlight w:val="none"/>
                <w:lang w:eastAsia="zh-CN"/>
              </w:rPr>
              <w:t>）</w:t>
            </w:r>
            <w:r>
              <w:rPr>
                <w:rFonts w:hint="eastAsia" w:eastAsia="宋体"/>
                <w:color w:val="auto"/>
                <w:sz w:val="24"/>
                <w:highlight w:val="none"/>
                <w:lang w:eastAsia="zh-CN"/>
              </w:rPr>
              <w:t>剥皮去须</w:t>
            </w:r>
          </w:p>
          <w:p w14:paraId="25241102">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eastAsia="宋体"/>
                <w:color w:val="auto"/>
                <w:sz w:val="24"/>
                <w:highlight w:val="none"/>
                <w:lang w:eastAsia="zh-CN"/>
              </w:rPr>
            </w:pPr>
            <w:r>
              <w:rPr>
                <w:rFonts w:hint="eastAsia" w:eastAsia="宋体"/>
                <w:color w:val="auto"/>
                <w:sz w:val="24"/>
                <w:highlight w:val="none"/>
                <w:lang w:eastAsia="zh-CN"/>
              </w:rPr>
              <w:t>采用</w:t>
            </w:r>
            <w:r>
              <w:rPr>
                <w:rFonts w:hint="eastAsia"/>
                <w:color w:val="auto"/>
                <w:sz w:val="24"/>
                <w:highlight w:val="none"/>
                <w:lang w:val="en-US" w:eastAsia="zh-CN"/>
              </w:rPr>
              <w:t>扒皮机</w:t>
            </w:r>
            <w:r>
              <w:rPr>
                <w:rFonts w:hint="eastAsia" w:eastAsia="宋体"/>
                <w:color w:val="auto"/>
                <w:sz w:val="24"/>
                <w:highlight w:val="none"/>
                <w:lang w:eastAsia="zh-CN"/>
              </w:rPr>
              <w:t>剥皮，直接剥去苞叶，在剥苞叶过程中除净玉米须。</w:t>
            </w:r>
          </w:p>
          <w:p w14:paraId="3C455D0B">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eastAsia="宋体"/>
                <w:color w:val="auto"/>
                <w:sz w:val="24"/>
                <w:highlight w:val="none"/>
                <w:lang w:eastAsia="zh-CN"/>
              </w:rPr>
            </w:pPr>
            <w:r>
              <w:rPr>
                <w:rFonts w:hint="eastAsia"/>
                <w:color w:val="auto"/>
                <w:sz w:val="24"/>
                <w:highlight w:val="none"/>
                <w:lang w:eastAsia="zh-CN"/>
              </w:rPr>
              <w:t>（</w:t>
            </w:r>
            <w:r>
              <w:rPr>
                <w:rFonts w:hint="eastAsia"/>
                <w:color w:val="auto"/>
                <w:sz w:val="24"/>
                <w:highlight w:val="none"/>
                <w:lang w:val="en-US" w:eastAsia="zh-CN"/>
              </w:rPr>
              <w:t>3</w:t>
            </w:r>
            <w:r>
              <w:rPr>
                <w:rFonts w:hint="eastAsia"/>
                <w:color w:val="auto"/>
                <w:sz w:val="24"/>
                <w:highlight w:val="none"/>
                <w:lang w:eastAsia="zh-CN"/>
              </w:rPr>
              <w:t>）</w:t>
            </w:r>
            <w:r>
              <w:rPr>
                <w:rFonts w:hint="eastAsia" w:eastAsia="宋体"/>
                <w:color w:val="auto"/>
                <w:sz w:val="24"/>
                <w:highlight w:val="none"/>
                <w:lang w:eastAsia="zh-CN"/>
              </w:rPr>
              <w:t>分拣挑选</w:t>
            </w:r>
          </w:p>
          <w:p w14:paraId="6BB973F2">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eastAsia="宋体"/>
                <w:color w:val="auto"/>
                <w:sz w:val="24"/>
                <w:highlight w:val="none"/>
                <w:lang w:eastAsia="zh-CN"/>
              </w:rPr>
            </w:pPr>
            <w:r>
              <w:rPr>
                <w:rFonts w:hint="eastAsia" w:eastAsia="宋体"/>
                <w:color w:val="auto"/>
                <w:sz w:val="24"/>
                <w:highlight w:val="none"/>
                <w:lang w:eastAsia="zh-CN"/>
              </w:rPr>
              <w:t>根据产品标准，人工分拣去除畸形，短小等不能加工的果穗，同时挑出成熟度不适宜及严重脱粒、干瘪、有病虫害的青穗，挑选后经带式输送</w:t>
            </w:r>
            <w:r>
              <w:rPr>
                <w:rFonts w:hint="eastAsia"/>
                <w:color w:val="auto"/>
                <w:sz w:val="24"/>
                <w:highlight w:val="none"/>
                <w:lang w:val="en-US" w:eastAsia="zh-CN"/>
              </w:rPr>
              <w:t>带</w:t>
            </w:r>
            <w:r>
              <w:rPr>
                <w:rFonts w:hint="eastAsia" w:eastAsia="宋体"/>
                <w:color w:val="auto"/>
                <w:sz w:val="24"/>
                <w:highlight w:val="none"/>
                <w:lang w:eastAsia="zh-CN"/>
              </w:rPr>
              <w:t>输送到下一工序。</w:t>
            </w:r>
          </w:p>
          <w:p w14:paraId="17A3DF21">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eastAsia="宋体"/>
                <w:color w:val="auto"/>
                <w:sz w:val="24"/>
                <w:highlight w:val="none"/>
                <w:lang w:eastAsia="zh-CN"/>
              </w:rPr>
            </w:pPr>
            <w:r>
              <w:rPr>
                <w:rFonts w:hint="eastAsia"/>
                <w:color w:val="auto"/>
                <w:sz w:val="24"/>
                <w:highlight w:val="none"/>
                <w:lang w:eastAsia="zh-CN"/>
              </w:rPr>
              <w:t>（</w:t>
            </w:r>
            <w:r>
              <w:rPr>
                <w:rFonts w:hint="eastAsia"/>
                <w:color w:val="auto"/>
                <w:sz w:val="24"/>
                <w:highlight w:val="none"/>
                <w:lang w:val="en-US" w:eastAsia="zh-CN"/>
              </w:rPr>
              <w:t>4</w:t>
            </w:r>
            <w:r>
              <w:rPr>
                <w:rFonts w:hint="eastAsia"/>
                <w:color w:val="auto"/>
                <w:sz w:val="24"/>
                <w:highlight w:val="none"/>
                <w:lang w:eastAsia="zh-CN"/>
              </w:rPr>
              <w:t>）</w:t>
            </w:r>
            <w:r>
              <w:rPr>
                <w:rFonts w:hint="eastAsia" w:eastAsia="宋体"/>
                <w:color w:val="auto"/>
                <w:sz w:val="24"/>
                <w:highlight w:val="none"/>
                <w:lang w:eastAsia="zh-CN"/>
              </w:rPr>
              <w:t>切头去尾</w:t>
            </w:r>
          </w:p>
          <w:p w14:paraId="6CFA9BC8">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eastAsia="宋体"/>
                <w:color w:val="auto"/>
                <w:sz w:val="24"/>
                <w:highlight w:val="none"/>
                <w:lang w:eastAsia="zh-CN"/>
              </w:rPr>
            </w:pPr>
            <w:r>
              <w:rPr>
                <w:rFonts w:hint="eastAsia"/>
                <w:color w:val="auto"/>
                <w:sz w:val="24"/>
                <w:highlight w:val="none"/>
                <w:lang w:val="en-US" w:eastAsia="zh-CN"/>
              </w:rPr>
              <w:t>采用切头机</w:t>
            </w:r>
            <w:r>
              <w:rPr>
                <w:rFonts w:hint="eastAsia" w:eastAsia="宋体"/>
                <w:color w:val="auto"/>
                <w:sz w:val="24"/>
                <w:highlight w:val="none"/>
                <w:lang w:eastAsia="zh-CN"/>
              </w:rPr>
              <w:t>去除多余的玉米穗尖和穗柄。</w:t>
            </w:r>
          </w:p>
          <w:p w14:paraId="6B68A157">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default" w:eastAsia="宋体"/>
                <w:color w:val="auto"/>
                <w:sz w:val="24"/>
                <w:highlight w:val="none"/>
                <w:lang w:val="en-US" w:eastAsia="zh-CN"/>
              </w:rPr>
            </w:pPr>
            <w:r>
              <w:rPr>
                <w:rFonts w:hint="eastAsia"/>
                <w:color w:val="auto"/>
                <w:sz w:val="24"/>
                <w:highlight w:val="none"/>
                <w:lang w:eastAsia="zh-CN"/>
              </w:rPr>
              <w:t>（</w:t>
            </w:r>
            <w:r>
              <w:rPr>
                <w:rFonts w:hint="eastAsia"/>
                <w:color w:val="auto"/>
                <w:sz w:val="24"/>
                <w:highlight w:val="none"/>
                <w:lang w:val="en-US" w:eastAsia="zh-CN"/>
              </w:rPr>
              <w:t>5</w:t>
            </w:r>
            <w:r>
              <w:rPr>
                <w:rFonts w:hint="eastAsia"/>
                <w:color w:val="auto"/>
                <w:sz w:val="24"/>
                <w:highlight w:val="none"/>
                <w:lang w:eastAsia="zh-CN"/>
              </w:rPr>
              <w:t>）</w:t>
            </w:r>
            <w:r>
              <w:rPr>
                <w:rFonts w:hint="eastAsia"/>
                <w:color w:val="auto"/>
                <w:sz w:val="24"/>
                <w:highlight w:val="none"/>
                <w:lang w:val="en-US" w:eastAsia="zh-CN"/>
              </w:rPr>
              <w:t>刷毛</w:t>
            </w:r>
          </w:p>
          <w:p w14:paraId="60CF92C7">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eastAsia="宋体"/>
                <w:color w:val="auto"/>
                <w:sz w:val="24"/>
                <w:highlight w:val="none"/>
                <w:lang w:eastAsia="zh-CN"/>
              </w:rPr>
            </w:pPr>
            <w:r>
              <w:rPr>
                <w:rFonts w:hint="eastAsia"/>
                <w:color w:val="auto"/>
                <w:sz w:val="24"/>
                <w:highlight w:val="none"/>
                <w:lang w:val="en-US" w:eastAsia="zh-CN"/>
              </w:rPr>
              <w:t>在清洗机内</w:t>
            </w:r>
            <w:r>
              <w:rPr>
                <w:rFonts w:hint="eastAsia" w:eastAsia="宋体"/>
                <w:color w:val="auto"/>
                <w:sz w:val="24"/>
                <w:highlight w:val="none"/>
                <w:lang w:eastAsia="zh-CN"/>
              </w:rPr>
              <w:t>去除果穗上前道工序未除尽的玉米须。</w:t>
            </w:r>
          </w:p>
          <w:p w14:paraId="233115F4">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eastAsia="宋体"/>
                <w:color w:val="auto"/>
                <w:sz w:val="24"/>
                <w:highlight w:val="none"/>
                <w:lang w:eastAsia="zh-CN"/>
              </w:rPr>
            </w:pPr>
            <w:r>
              <w:rPr>
                <w:rFonts w:hint="eastAsia"/>
                <w:color w:val="auto"/>
                <w:sz w:val="24"/>
                <w:highlight w:val="none"/>
                <w:lang w:eastAsia="zh-CN"/>
              </w:rPr>
              <w:t>（</w:t>
            </w:r>
            <w:r>
              <w:rPr>
                <w:rFonts w:hint="eastAsia"/>
                <w:color w:val="auto"/>
                <w:sz w:val="24"/>
                <w:highlight w:val="none"/>
                <w:lang w:val="en-US" w:eastAsia="zh-CN"/>
              </w:rPr>
              <w:t>6</w:t>
            </w:r>
            <w:r>
              <w:rPr>
                <w:rFonts w:hint="eastAsia"/>
                <w:color w:val="auto"/>
                <w:sz w:val="24"/>
                <w:highlight w:val="none"/>
                <w:lang w:eastAsia="zh-CN"/>
              </w:rPr>
              <w:t>）</w:t>
            </w:r>
            <w:r>
              <w:rPr>
                <w:rFonts w:hint="eastAsia" w:eastAsia="宋体"/>
                <w:color w:val="auto"/>
                <w:sz w:val="24"/>
                <w:highlight w:val="none"/>
                <w:lang w:eastAsia="zh-CN"/>
              </w:rPr>
              <w:t>清洗</w:t>
            </w:r>
          </w:p>
          <w:p w14:paraId="73E8771E">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eastAsia="宋体"/>
                <w:color w:val="auto"/>
                <w:sz w:val="24"/>
                <w:highlight w:val="none"/>
                <w:lang w:eastAsia="zh-CN"/>
              </w:rPr>
            </w:pPr>
            <w:r>
              <w:rPr>
                <w:rFonts w:hint="eastAsia"/>
                <w:color w:val="auto"/>
                <w:sz w:val="24"/>
                <w:highlight w:val="none"/>
                <w:lang w:val="en-US" w:eastAsia="zh-CN"/>
              </w:rPr>
              <w:t>在清洗机内</w:t>
            </w:r>
            <w:r>
              <w:rPr>
                <w:rFonts w:hint="eastAsia" w:eastAsia="宋体"/>
                <w:color w:val="auto"/>
                <w:sz w:val="24"/>
                <w:highlight w:val="none"/>
                <w:lang w:eastAsia="zh-CN"/>
              </w:rPr>
              <w:t>去除玉米表面浮尘和杂质，用清水进行高压清洗。</w:t>
            </w:r>
          </w:p>
          <w:p w14:paraId="6578D592">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eastAsia="宋体"/>
                <w:color w:val="auto"/>
                <w:sz w:val="24"/>
                <w:highlight w:val="none"/>
                <w:lang w:eastAsia="zh-CN"/>
              </w:rPr>
            </w:pPr>
            <w:r>
              <w:rPr>
                <w:rFonts w:hint="eastAsia"/>
                <w:color w:val="auto"/>
                <w:sz w:val="24"/>
                <w:highlight w:val="none"/>
                <w:lang w:eastAsia="zh-CN"/>
              </w:rPr>
              <w:t>（</w:t>
            </w:r>
            <w:r>
              <w:rPr>
                <w:rFonts w:hint="eastAsia"/>
                <w:color w:val="auto"/>
                <w:sz w:val="24"/>
                <w:highlight w:val="none"/>
                <w:lang w:val="en-US" w:eastAsia="zh-CN"/>
              </w:rPr>
              <w:t>7</w:t>
            </w:r>
            <w:r>
              <w:rPr>
                <w:rFonts w:hint="eastAsia"/>
                <w:color w:val="auto"/>
                <w:sz w:val="24"/>
                <w:highlight w:val="none"/>
                <w:lang w:eastAsia="zh-CN"/>
              </w:rPr>
              <w:t>）</w:t>
            </w:r>
            <w:r>
              <w:rPr>
                <w:rFonts w:hint="eastAsia" w:eastAsia="宋体"/>
                <w:color w:val="auto"/>
                <w:sz w:val="24"/>
                <w:highlight w:val="none"/>
                <w:lang w:eastAsia="zh-CN"/>
              </w:rPr>
              <w:t>装袋</w:t>
            </w:r>
          </w:p>
          <w:p w14:paraId="12DA2D6F">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eastAsia="宋体"/>
                <w:color w:val="auto"/>
                <w:sz w:val="24"/>
                <w:highlight w:val="none"/>
                <w:lang w:eastAsia="zh-CN"/>
              </w:rPr>
            </w:pPr>
            <w:r>
              <w:rPr>
                <w:rFonts w:hint="eastAsia" w:cs="Times New Roman"/>
                <w:color w:val="auto"/>
                <w:sz w:val="24"/>
                <w:highlight w:val="none"/>
                <w:lang w:val="en-US" w:eastAsia="zh-CN"/>
              </w:rPr>
              <w:t>洗净</w:t>
            </w:r>
            <w:r>
              <w:rPr>
                <w:rFonts w:hint="eastAsia" w:ascii="Times New Roman" w:hAnsi="Times New Roman" w:eastAsia="宋体" w:cs="Times New Roman"/>
                <w:color w:val="auto"/>
                <w:sz w:val="24"/>
                <w:highlight w:val="none"/>
                <w:lang w:val="en-US" w:eastAsia="zh-CN"/>
              </w:rPr>
              <w:t>的玉米通过给袋式包装机进行真空包装。一般采用聚乙烯塑料袋包装，根据要求每袋装1穗或2穗。在封口处标注生产日期，然后装箱入库。</w:t>
            </w:r>
          </w:p>
          <w:p w14:paraId="3C36637D">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eastAsia="宋体"/>
                <w:color w:val="auto"/>
                <w:sz w:val="24"/>
                <w:highlight w:val="none"/>
                <w:lang w:eastAsia="zh-CN"/>
              </w:rPr>
            </w:pPr>
            <w:r>
              <w:rPr>
                <w:rFonts w:hint="eastAsia"/>
                <w:color w:val="auto"/>
                <w:sz w:val="24"/>
                <w:highlight w:val="none"/>
                <w:lang w:eastAsia="zh-CN"/>
              </w:rPr>
              <w:t>（</w:t>
            </w:r>
            <w:r>
              <w:rPr>
                <w:rFonts w:hint="eastAsia"/>
                <w:color w:val="auto"/>
                <w:sz w:val="24"/>
                <w:highlight w:val="none"/>
                <w:lang w:val="en-US" w:eastAsia="zh-CN"/>
              </w:rPr>
              <w:t>8</w:t>
            </w:r>
            <w:r>
              <w:rPr>
                <w:rFonts w:hint="eastAsia"/>
                <w:color w:val="auto"/>
                <w:sz w:val="24"/>
                <w:highlight w:val="none"/>
                <w:lang w:eastAsia="zh-CN"/>
              </w:rPr>
              <w:t>）</w:t>
            </w:r>
            <w:r>
              <w:rPr>
                <w:rFonts w:hint="eastAsia" w:eastAsia="宋体"/>
                <w:color w:val="auto"/>
                <w:sz w:val="24"/>
                <w:highlight w:val="none"/>
                <w:lang w:eastAsia="zh-CN"/>
              </w:rPr>
              <w:t>蒸煮灭菌</w:t>
            </w:r>
          </w:p>
          <w:p w14:paraId="5787CAC5">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default" w:eastAsia="宋体"/>
                <w:color w:val="auto"/>
                <w:sz w:val="24"/>
                <w:highlight w:val="none"/>
                <w:lang w:val="en-US" w:eastAsia="zh-CN"/>
              </w:rPr>
            </w:pPr>
            <w:r>
              <w:rPr>
                <w:rFonts w:hint="eastAsia" w:eastAsia="宋体"/>
                <w:color w:val="auto"/>
                <w:sz w:val="24"/>
                <w:highlight w:val="none"/>
                <w:lang w:eastAsia="zh-CN"/>
              </w:rPr>
              <w:t>将真空包装后的果穗装入</w:t>
            </w:r>
            <w:r>
              <w:rPr>
                <w:rFonts w:hint="eastAsia"/>
                <w:color w:val="auto"/>
                <w:sz w:val="24"/>
                <w:highlight w:val="none"/>
                <w:lang w:val="en-US" w:eastAsia="zh-CN"/>
              </w:rPr>
              <w:t>杀菌锅</w:t>
            </w:r>
            <w:r>
              <w:rPr>
                <w:rFonts w:hint="eastAsia" w:eastAsia="宋体"/>
                <w:color w:val="auto"/>
                <w:sz w:val="24"/>
                <w:highlight w:val="none"/>
                <w:lang w:eastAsia="zh-CN"/>
              </w:rPr>
              <w:t>，加热温度为95</w:t>
            </w:r>
            <w:r>
              <w:rPr>
                <w:rFonts w:hint="eastAsia"/>
                <w:color w:val="auto"/>
                <w:sz w:val="24"/>
                <w:highlight w:val="none"/>
                <w:lang w:val="en-US" w:eastAsia="zh-CN"/>
              </w:rPr>
              <w:t>℃</w:t>
            </w:r>
            <w:r>
              <w:rPr>
                <w:rFonts w:hint="eastAsia" w:eastAsia="宋体"/>
                <w:color w:val="auto"/>
                <w:sz w:val="24"/>
                <w:highlight w:val="none"/>
                <w:lang w:eastAsia="zh-CN"/>
              </w:rPr>
              <w:t>-100</w:t>
            </w:r>
            <w:r>
              <w:rPr>
                <w:rFonts w:hint="eastAsia"/>
                <w:color w:val="auto"/>
                <w:sz w:val="24"/>
                <w:highlight w:val="none"/>
                <w:lang w:val="en-US" w:eastAsia="zh-CN"/>
              </w:rPr>
              <w:t>℃</w:t>
            </w:r>
            <w:r>
              <w:rPr>
                <w:rFonts w:hint="eastAsia" w:eastAsia="宋体"/>
                <w:color w:val="auto"/>
                <w:sz w:val="24"/>
                <w:highlight w:val="none"/>
                <w:lang w:eastAsia="zh-CN"/>
              </w:rPr>
              <w:t>，时间</w:t>
            </w:r>
            <w:r>
              <w:rPr>
                <w:rFonts w:hint="eastAsia"/>
                <w:color w:val="auto"/>
                <w:sz w:val="24"/>
                <w:highlight w:val="none"/>
                <w:lang w:val="en-US" w:eastAsia="zh-CN"/>
              </w:rPr>
              <w:t>10-15</w:t>
            </w:r>
            <w:r>
              <w:rPr>
                <w:rFonts w:hint="eastAsia" w:eastAsia="宋体"/>
                <w:color w:val="auto"/>
                <w:sz w:val="24"/>
                <w:highlight w:val="none"/>
                <w:lang w:eastAsia="zh-CN"/>
              </w:rPr>
              <w:t>分钟左右。防止鲜玉米加工产品的老化，增加口感，然后进入下一道工序。</w:t>
            </w:r>
          </w:p>
          <w:p w14:paraId="702EC334">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9</w:t>
            </w:r>
            <w:r>
              <w:rPr>
                <w:rFonts w:hint="eastAsia" w:ascii="Times New Roman" w:hAnsi="Times New Roman" w:eastAsia="宋体" w:cs="Times New Roman"/>
                <w:color w:val="auto"/>
                <w:sz w:val="24"/>
                <w:highlight w:val="none"/>
                <w:lang w:eastAsia="zh-CN"/>
              </w:rPr>
              <w:t>）冷却沥干</w:t>
            </w:r>
          </w:p>
          <w:p w14:paraId="17958D4E">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灭菌</w:t>
            </w:r>
            <w:r>
              <w:rPr>
                <w:rFonts w:hint="eastAsia" w:ascii="Times New Roman" w:hAnsi="Times New Roman" w:eastAsia="宋体" w:cs="Times New Roman"/>
                <w:color w:val="auto"/>
                <w:sz w:val="24"/>
                <w:highlight w:val="none"/>
                <w:lang w:eastAsia="zh-CN"/>
              </w:rPr>
              <w:t>后的</w:t>
            </w:r>
            <w:r>
              <w:rPr>
                <w:rFonts w:hint="eastAsia" w:ascii="Times New Roman" w:hAnsi="Times New Roman" w:eastAsia="宋体" w:cs="Times New Roman"/>
                <w:color w:val="auto"/>
                <w:sz w:val="24"/>
                <w:highlight w:val="none"/>
                <w:lang w:val="en-US" w:eastAsia="zh-CN"/>
              </w:rPr>
              <w:t>果穗</w:t>
            </w:r>
            <w:r>
              <w:rPr>
                <w:rFonts w:hint="eastAsia" w:ascii="Times New Roman" w:hAnsi="Times New Roman" w:eastAsia="宋体" w:cs="Times New Roman"/>
                <w:color w:val="auto"/>
                <w:sz w:val="24"/>
                <w:highlight w:val="none"/>
                <w:lang w:eastAsia="zh-CN"/>
              </w:rPr>
              <w:t>立即进行冷却，可以分两次进行。首先用清水喷淋冷却，使</w:t>
            </w:r>
            <w:r>
              <w:rPr>
                <w:rFonts w:hint="eastAsia" w:ascii="Times New Roman" w:hAnsi="Times New Roman" w:eastAsia="宋体" w:cs="Times New Roman"/>
                <w:color w:val="auto"/>
                <w:sz w:val="24"/>
                <w:highlight w:val="none"/>
                <w:lang w:val="en-US" w:eastAsia="zh-CN"/>
              </w:rPr>
              <w:t>果穗</w:t>
            </w:r>
            <w:r>
              <w:rPr>
                <w:rFonts w:hint="eastAsia" w:ascii="Times New Roman" w:hAnsi="Times New Roman" w:eastAsia="宋体" w:cs="Times New Roman"/>
                <w:color w:val="auto"/>
                <w:sz w:val="24"/>
                <w:highlight w:val="none"/>
                <w:lang w:eastAsia="zh-CN"/>
              </w:rPr>
              <w:t>的温度降到30</w:t>
            </w:r>
            <w:r>
              <w:rPr>
                <w:rFonts w:hint="eastAsia"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eastAsia="zh-CN"/>
              </w:rPr>
              <w:t>左右，然后用</w:t>
            </w:r>
            <w:r>
              <w:rPr>
                <w:rFonts w:hint="eastAsia" w:ascii="Times New Roman" w:hAnsi="Times New Roman" w:eastAsia="宋体" w:cs="Times New Roman"/>
                <w:color w:val="auto"/>
                <w:sz w:val="24"/>
                <w:highlight w:val="none"/>
                <w:lang w:val="en-US" w:eastAsia="zh-CN"/>
              </w:rPr>
              <w:t>0~5℃</w:t>
            </w:r>
            <w:r>
              <w:rPr>
                <w:rFonts w:hint="eastAsia" w:ascii="Times New Roman" w:hAnsi="Times New Roman" w:eastAsia="宋体" w:cs="Times New Roman"/>
                <w:color w:val="auto"/>
                <w:sz w:val="24"/>
                <w:highlight w:val="none"/>
                <w:lang w:eastAsia="zh-CN"/>
              </w:rPr>
              <w:t>的冰水冷却，使玉米穗中心的温度降到5</w:t>
            </w:r>
            <w:r>
              <w:rPr>
                <w:rFonts w:hint="eastAsia"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eastAsia="zh-CN"/>
              </w:rPr>
              <w:t>以</w:t>
            </w:r>
            <w:r>
              <w:rPr>
                <w:rFonts w:hint="eastAsia" w:ascii="Times New Roman" w:hAnsi="Times New Roman" w:eastAsia="宋体" w:cs="Times New Roman"/>
                <w:color w:val="auto"/>
                <w:sz w:val="24"/>
                <w:highlight w:val="none"/>
                <w:lang w:val="en-US" w:eastAsia="zh-CN"/>
              </w:rPr>
              <w:t>下。用冷风吹干玉米穗表面的水分，然后进入速冻</w:t>
            </w:r>
            <w:r>
              <w:rPr>
                <w:rFonts w:hint="eastAsia" w:cs="Times New Roman"/>
                <w:color w:val="auto"/>
                <w:sz w:val="24"/>
                <w:highlight w:val="none"/>
                <w:lang w:val="en-US" w:eastAsia="zh-CN"/>
              </w:rPr>
              <w:t>间</w:t>
            </w:r>
            <w:r>
              <w:rPr>
                <w:rFonts w:hint="eastAsia" w:ascii="Times New Roman" w:hAnsi="Times New Roman" w:eastAsia="宋体" w:cs="Times New Roman"/>
                <w:color w:val="auto"/>
                <w:sz w:val="24"/>
                <w:highlight w:val="none"/>
                <w:lang w:val="en-US" w:eastAsia="zh-CN"/>
              </w:rPr>
              <w:t>进行速冻。</w:t>
            </w:r>
            <w:r>
              <w:rPr>
                <w:rFonts w:hint="eastAsia" w:cs="Times New Roman"/>
                <w:color w:val="auto"/>
                <w:sz w:val="24"/>
                <w:highlight w:val="none"/>
                <w:lang w:val="en-US" w:eastAsia="zh-CN"/>
              </w:rPr>
              <w:t>本项目速冻间制冷剂采</w:t>
            </w:r>
            <w:r>
              <w:rPr>
                <w:rFonts w:hint="eastAsia" w:ascii="Times New Roman" w:hAnsi="Times New Roman" w:eastAsia="宋体" w:cs="Times New Roman"/>
                <w:color w:val="auto"/>
                <w:sz w:val="24"/>
                <w:highlight w:val="none"/>
                <w:lang w:val="en-US" w:eastAsia="zh-CN"/>
              </w:rPr>
              <w:t>用R404A制冷剂，不属于《蒙特利尔议定书》中规定禁用的制冷剂。</w:t>
            </w:r>
          </w:p>
          <w:p w14:paraId="626D932B">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eastAsia="宋体"/>
                <w:color w:val="auto"/>
                <w:sz w:val="24"/>
                <w:highlight w:val="none"/>
                <w:lang w:eastAsia="zh-CN"/>
              </w:rPr>
            </w:pP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10</w:t>
            </w:r>
            <w:r>
              <w:rPr>
                <w:rFonts w:hint="eastAsia" w:ascii="Times New Roman" w:hAnsi="Times New Roman" w:eastAsia="宋体" w:cs="Times New Roman"/>
                <w:color w:val="auto"/>
                <w:sz w:val="24"/>
                <w:highlight w:val="none"/>
                <w:lang w:eastAsia="zh-CN"/>
              </w:rPr>
              <w:t>）</w:t>
            </w:r>
            <w:r>
              <w:rPr>
                <w:rFonts w:hint="eastAsia" w:eastAsia="宋体"/>
                <w:color w:val="auto"/>
                <w:sz w:val="24"/>
                <w:highlight w:val="none"/>
                <w:lang w:eastAsia="zh-CN"/>
              </w:rPr>
              <w:t>检验</w:t>
            </w:r>
          </w:p>
          <w:p w14:paraId="039D60F4">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人工对速冻后的真空包装糯玉米进行检验，对不符合质量要求的，挑选后重新处理；符合质量标准要求的，入库冷藏。</w:t>
            </w:r>
          </w:p>
          <w:p w14:paraId="4AC17D08">
            <w:pPr>
              <w:pStyle w:val="15"/>
              <w:keepNext w:val="0"/>
              <w:keepLines w:val="0"/>
              <w:pageBreakBefore w:val="0"/>
              <w:widowControl w:val="0"/>
              <w:numPr>
                <w:ilvl w:val="0"/>
                <w:numId w:val="3"/>
              </w:numPr>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val="en-US" w:eastAsia="zh-CN"/>
              </w:rPr>
              <w:t>入库</w:t>
            </w:r>
            <w:r>
              <w:rPr>
                <w:rFonts w:hint="eastAsia" w:ascii="Times New Roman" w:hAnsi="Times New Roman" w:eastAsia="宋体" w:cs="Times New Roman"/>
                <w:color w:val="auto"/>
                <w:sz w:val="24"/>
                <w:highlight w:val="none"/>
                <w:lang w:eastAsia="zh-CN"/>
              </w:rPr>
              <w:t>冷藏</w:t>
            </w:r>
          </w:p>
          <w:p w14:paraId="50FFA016">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冷库的温度应在-18℃以下，相对湿度95%-98%。冷库内温度的波动范围不能超过±2℃，否则温度波动过大会出现重结晶和冰升华，使玉米组织内部的冰晶增大而破坏细胞组织，影响产品质量。码放时垛与垛之间要留有足够的空隙，以利空气流通。</w:t>
            </w:r>
            <w:r>
              <w:rPr>
                <w:rFonts w:hint="eastAsia" w:cs="Times New Roman"/>
                <w:color w:val="auto"/>
                <w:sz w:val="24"/>
                <w:highlight w:val="none"/>
                <w:lang w:val="en-US" w:eastAsia="zh-CN"/>
              </w:rPr>
              <w:t>本项目冷库制冷剂采</w:t>
            </w:r>
            <w:r>
              <w:rPr>
                <w:rFonts w:hint="eastAsia" w:ascii="Times New Roman" w:hAnsi="Times New Roman" w:eastAsia="宋体" w:cs="Times New Roman"/>
                <w:color w:val="auto"/>
                <w:sz w:val="24"/>
                <w:highlight w:val="none"/>
                <w:lang w:val="en-US" w:eastAsia="zh-CN"/>
              </w:rPr>
              <w:t>用R404A制冷剂，不属于《蒙特利尔议定书》中规定禁用的制冷剂。</w:t>
            </w:r>
          </w:p>
          <w:p w14:paraId="1A3FC48F">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center"/>
              <w:rPr>
                <w:rFonts w:hint="eastAsia" w:eastAsia="宋体"/>
                <w:color w:val="auto"/>
                <w:sz w:val="24"/>
                <w:highlight w:val="none"/>
                <w:lang w:eastAsia="zh-CN"/>
              </w:rPr>
            </w:pPr>
            <w:r>
              <w:rPr>
                <w:rFonts w:hint="eastAsia" w:eastAsia="宋体"/>
                <w:color w:val="auto"/>
                <w:sz w:val="24"/>
                <w:highlight w:val="none"/>
                <w:lang w:eastAsia="zh-CN"/>
              </w:rPr>
              <w:drawing>
                <wp:inline distT="0" distB="0" distL="114300" distR="114300">
                  <wp:extent cx="2573655" cy="5444490"/>
                  <wp:effectExtent l="0" t="0" r="17145" b="3810"/>
                  <wp:docPr id="1" name="图片 1" descr="工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工艺"/>
                          <pic:cNvPicPr>
                            <a:picLocks noChangeAspect="1"/>
                          </pic:cNvPicPr>
                        </pic:nvPicPr>
                        <pic:blipFill>
                          <a:blip r:embed="rId12"/>
                          <a:stretch>
                            <a:fillRect/>
                          </a:stretch>
                        </pic:blipFill>
                        <pic:spPr>
                          <a:xfrm>
                            <a:off x="0" y="0"/>
                            <a:ext cx="2573655" cy="5444490"/>
                          </a:xfrm>
                          <a:prstGeom prst="rect">
                            <a:avLst/>
                          </a:prstGeom>
                        </pic:spPr>
                      </pic:pic>
                    </a:graphicData>
                  </a:graphic>
                </wp:inline>
              </w:drawing>
            </w:r>
          </w:p>
          <w:p w14:paraId="11AE1346">
            <w:pPr>
              <w:keepNext w:val="0"/>
              <w:keepLines w:val="0"/>
              <w:suppressLineNumbers w:val="0"/>
              <w:spacing w:before="0" w:beforeAutospacing="0" w:after="0" w:afterAutospacing="0" w:line="240" w:lineRule="auto"/>
              <w:ind w:left="0" w:right="0"/>
              <w:jc w:val="center"/>
              <w:rPr>
                <w:rFonts w:hint="eastAsia" w:eastAsia="宋体"/>
                <w:b/>
                <w:bCs w:val="0"/>
                <w:color w:val="auto"/>
                <w:sz w:val="21"/>
                <w:szCs w:val="21"/>
                <w:highlight w:val="none"/>
                <w:lang w:val="en-US" w:eastAsia="zh-CN"/>
              </w:rPr>
            </w:pPr>
            <w:r>
              <w:rPr>
                <w:rFonts w:hint="eastAsia" w:eastAsia="宋体"/>
                <w:b/>
                <w:bCs w:val="0"/>
                <w:color w:val="auto"/>
                <w:sz w:val="21"/>
                <w:szCs w:val="21"/>
                <w:highlight w:val="none"/>
                <w:lang w:eastAsia="zh-CN"/>
              </w:rPr>
              <w:t>图</w:t>
            </w:r>
            <w:r>
              <w:rPr>
                <w:rFonts w:hint="eastAsia" w:eastAsia="宋体"/>
                <w:b/>
                <w:bCs w:val="0"/>
                <w:color w:val="auto"/>
                <w:sz w:val="21"/>
                <w:szCs w:val="21"/>
                <w:highlight w:val="none"/>
                <w:lang w:val="en-US" w:eastAsia="zh-CN"/>
              </w:rPr>
              <w:t>2-</w:t>
            </w:r>
            <w:r>
              <w:rPr>
                <w:rFonts w:hint="eastAsia"/>
                <w:b/>
                <w:bCs w:val="0"/>
                <w:color w:val="auto"/>
                <w:sz w:val="21"/>
                <w:szCs w:val="21"/>
                <w:highlight w:val="none"/>
                <w:lang w:val="en-US" w:eastAsia="zh-CN"/>
              </w:rPr>
              <w:t>3</w:t>
            </w:r>
            <w:r>
              <w:rPr>
                <w:rFonts w:hint="eastAsia" w:eastAsia="宋体"/>
                <w:b/>
                <w:bCs w:val="0"/>
                <w:color w:val="auto"/>
                <w:sz w:val="21"/>
                <w:szCs w:val="21"/>
                <w:highlight w:val="none"/>
                <w:lang w:val="en-US" w:eastAsia="zh-CN"/>
              </w:rPr>
              <w:t xml:space="preserve">  生产工艺流程图</w:t>
            </w:r>
          </w:p>
          <w:p w14:paraId="7D410C95">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软化水处理设备工作流程：</w:t>
            </w:r>
          </w:p>
          <w:p w14:paraId="5976999E">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default" w:ascii="Times New Roman" w:hAnsi="Times New Roman" w:eastAsia="宋体" w:cs="Times New Roman"/>
                <w:color w:val="auto"/>
                <w:kern w:val="2"/>
                <w:sz w:val="24"/>
                <w:szCs w:val="32"/>
                <w:highlight w:val="none"/>
                <w:lang w:val="en-US" w:eastAsia="zh-CN" w:bidi="ar-SA"/>
              </w:rPr>
            </w:pPr>
            <w:r>
              <w:rPr>
                <w:rFonts w:hint="eastAsia" w:ascii="Times New Roman" w:hAnsi="Times New Roman" w:cs="Times New Roman"/>
                <w:color w:val="auto"/>
                <w:kern w:val="2"/>
                <w:sz w:val="24"/>
                <w:szCs w:val="32"/>
                <w:highlight w:val="none"/>
                <w:lang w:val="en-US" w:eastAsia="zh-CN" w:bidi="ar-SA"/>
              </w:rPr>
              <w:t>本项目软化水处理设备不涉及树脂再生（酸碱）工序。</w:t>
            </w:r>
          </w:p>
          <w:p w14:paraId="0DC19890">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eastAsia" w:ascii="Times New Roman" w:hAnsi="Times New Roman" w:eastAsia="宋体" w:cs="Times New Roman"/>
                <w:color w:val="auto"/>
                <w:kern w:val="2"/>
                <w:sz w:val="24"/>
                <w:szCs w:val="32"/>
                <w:highlight w:val="none"/>
                <w:lang w:val="en-US" w:eastAsia="zh-CN" w:bidi="ar-SA"/>
              </w:rPr>
            </w:pPr>
            <w:r>
              <w:rPr>
                <w:rFonts w:hint="eastAsia" w:ascii="Times New Roman" w:hAnsi="Times New Roman" w:eastAsia="宋体" w:cs="Times New Roman"/>
                <w:color w:val="auto"/>
                <w:kern w:val="2"/>
                <w:sz w:val="24"/>
                <w:szCs w:val="32"/>
                <w:highlight w:val="none"/>
                <w:lang w:val="en-US" w:eastAsia="zh-CN" w:bidi="ar-SA"/>
              </w:rPr>
              <w:t>（1）运行（工作）</w:t>
            </w:r>
          </w:p>
          <w:p w14:paraId="0DCF6EFB">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eastAsia" w:ascii="Times New Roman" w:hAnsi="Times New Roman" w:eastAsia="宋体" w:cs="Times New Roman"/>
                <w:color w:val="auto"/>
                <w:kern w:val="2"/>
                <w:sz w:val="24"/>
                <w:szCs w:val="32"/>
                <w:highlight w:val="none"/>
                <w:lang w:val="en-US" w:eastAsia="zh-CN" w:bidi="ar-SA"/>
              </w:rPr>
            </w:pPr>
            <w:r>
              <w:rPr>
                <w:rFonts w:hint="eastAsia" w:ascii="Times New Roman" w:hAnsi="Times New Roman" w:eastAsia="宋体" w:cs="Times New Roman"/>
                <w:color w:val="auto"/>
                <w:kern w:val="2"/>
                <w:sz w:val="24"/>
                <w:szCs w:val="32"/>
                <w:highlight w:val="none"/>
                <w:lang w:val="en-US" w:eastAsia="zh-CN" w:bidi="ar-SA"/>
              </w:rPr>
              <w:t>原水在一定的压力（0.1-0.6MPa）流量下，通过多路阀腔，进入装有离子交换树脂的容器（树脂罐），离子交换树脂中所含的钠（Na）与水中的阳离子（Ca</w:t>
            </w:r>
            <w:r>
              <w:rPr>
                <w:rFonts w:hint="eastAsia" w:ascii="Times New Roman" w:hAnsi="Times New Roman" w:eastAsia="宋体" w:cs="Times New Roman"/>
                <w:color w:val="auto"/>
                <w:kern w:val="2"/>
                <w:sz w:val="24"/>
                <w:szCs w:val="32"/>
                <w:highlight w:val="none"/>
                <w:vertAlign w:val="superscript"/>
                <w:lang w:val="en-US" w:eastAsia="zh-CN" w:bidi="ar-SA"/>
              </w:rPr>
              <w:t>2+</w:t>
            </w:r>
            <w:r>
              <w:rPr>
                <w:rFonts w:hint="eastAsia" w:ascii="Times New Roman" w:hAnsi="Times New Roman" w:eastAsia="宋体" w:cs="Times New Roman"/>
                <w:color w:val="auto"/>
                <w:kern w:val="2"/>
                <w:sz w:val="24"/>
                <w:szCs w:val="32"/>
                <w:highlight w:val="none"/>
                <w:lang w:val="en-US" w:eastAsia="zh-CN" w:bidi="ar-SA"/>
              </w:rPr>
              <w:t>，Mg</w:t>
            </w:r>
            <w:r>
              <w:rPr>
                <w:rFonts w:hint="eastAsia" w:ascii="Times New Roman" w:hAnsi="Times New Roman" w:eastAsia="宋体" w:cs="Times New Roman"/>
                <w:color w:val="auto"/>
                <w:kern w:val="2"/>
                <w:sz w:val="24"/>
                <w:szCs w:val="32"/>
                <w:highlight w:val="none"/>
                <w:vertAlign w:val="superscript"/>
                <w:lang w:val="en-US" w:eastAsia="zh-CN" w:bidi="ar-SA"/>
              </w:rPr>
              <w:t>2+</w:t>
            </w:r>
            <w:r>
              <w:rPr>
                <w:rFonts w:hint="eastAsia" w:ascii="Times New Roman" w:hAnsi="Times New Roman" w:eastAsia="宋体" w:cs="Times New Roman"/>
                <w:color w:val="auto"/>
                <w:kern w:val="2"/>
                <w:sz w:val="24"/>
                <w:szCs w:val="32"/>
                <w:highlight w:val="none"/>
                <w:lang w:val="en-US" w:eastAsia="zh-CN" w:bidi="ar-SA"/>
              </w:rPr>
              <w:t>，Fe</w:t>
            </w:r>
            <w:r>
              <w:rPr>
                <w:rFonts w:hint="eastAsia" w:ascii="Times New Roman" w:hAnsi="Times New Roman" w:eastAsia="宋体" w:cs="Times New Roman"/>
                <w:color w:val="auto"/>
                <w:kern w:val="2"/>
                <w:sz w:val="24"/>
                <w:szCs w:val="32"/>
                <w:highlight w:val="none"/>
                <w:vertAlign w:val="superscript"/>
                <w:lang w:val="en-US" w:eastAsia="zh-CN" w:bidi="ar-SA"/>
              </w:rPr>
              <w:t>2+</w:t>
            </w:r>
            <w:r>
              <w:rPr>
                <w:rFonts w:hint="eastAsia" w:ascii="Times New Roman" w:hAnsi="Times New Roman" w:eastAsia="宋体" w:cs="Times New Roman"/>
                <w:color w:val="auto"/>
                <w:kern w:val="2"/>
                <w:sz w:val="24"/>
                <w:szCs w:val="32"/>
                <w:highlight w:val="none"/>
                <w:lang w:val="en-US" w:eastAsia="zh-CN" w:bidi="ar-SA"/>
              </w:rPr>
              <w:t>等）进行置换，通过多路阀废水口排出钙、镁离子，实现硬水的软化。</w:t>
            </w:r>
          </w:p>
          <w:p w14:paraId="06E46AC7">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eastAsia" w:ascii="Times New Roman" w:hAnsi="Times New Roman" w:eastAsia="宋体" w:cs="Times New Roman"/>
                <w:color w:val="auto"/>
                <w:kern w:val="2"/>
                <w:sz w:val="24"/>
                <w:szCs w:val="32"/>
                <w:highlight w:val="none"/>
                <w:lang w:val="en-US" w:eastAsia="zh-CN" w:bidi="ar-SA"/>
              </w:rPr>
            </w:pPr>
            <w:r>
              <w:rPr>
                <w:rFonts w:hint="eastAsia" w:ascii="Times New Roman" w:hAnsi="Times New Roman" w:eastAsia="宋体" w:cs="Times New Roman"/>
                <w:color w:val="auto"/>
                <w:kern w:val="2"/>
                <w:sz w:val="24"/>
                <w:szCs w:val="32"/>
                <w:highlight w:val="none"/>
                <w:lang w:val="en-US" w:eastAsia="zh-CN" w:bidi="ar-SA"/>
              </w:rPr>
              <w:t>（2）反冲洗</w:t>
            </w:r>
          </w:p>
          <w:p w14:paraId="6E35F545">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eastAsia" w:ascii="Times New Roman" w:hAnsi="Times New Roman" w:eastAsia="宋体" w:cs="Times New Roman"/>
                <w:color w:val="auto"/>
                <w:kern w:val="2"/>
                <w:sz w:val="24"/>
                <w:szCs w:val="32"/>
                <w:highlight w:val="none"/>
                <w:lang w:val="en-US" w:eastAsia="zh-CN" w:bidi="ar-SA"/>
              </w:rPr>
            </w:pPr>
            <w:r>
              <w:rPr>
                <w:rFonts w:hint="eastAsia" w:ascii="Times New Roman" w:hAnsi="Times New Roman" w:eastAsia="宋体" w:cs="Times New Roman"/>
                <w:color w:val="auto"/>
                <w:kern w:val="2"/>
                <w:sz w:val="24"/>
                <w:szCs w:val="32"/>
                <w:highlight w:val="none"/>
                <w:lang w:val="en-US" w:eastAsia="zh-CN" w:bidi="ar-SA"/>
              </w:rPr>
              <w:t>离子交换树脂吸附饱和失效后，在进行再生之前，先用水自下而上进行反洗。反冲洗的目的有两个：①通过反冲洗，使运行中压紧的树脂层松动，有利于树脂颗粒与再生液充分接触；②使树脂表面积累的悬浮物及碎树脂随反冲洗水排出，从而使软化水设备的水流阻力不会越来越大。</w:t>
            </w:r>
          </w:p>
          <w:p w14:paraId="49A154F8">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eastAsia" w:ascii="Times New Roman" w:hAnsi="Times New Roman" w:eastAsia="宋体" w:cs="Times New Roman"/>
                <w:color w:val="auto"/>
                <w:kern w:val="2"/>
                <w:sz w:val="24"/>
                <w:szCs w:val="32"/>
                <w:highlight w:val="none"/>
                <w:lang w:val="en-US" w:eastAsia="zh-CN" w:bidi="ar-SA"/>
              </w:rPr>
            </w:pPr>
            <w:r>
              <w:rPr>
                <w:rFonts w:hint="eastAsia" w:ascii="Times New Roman" w:hAnsi="Times New Roman" w:eastAsia="宋体" w:cs="Times New Roman"/>
                <w:color w:val="auto"/>
                <w:kern w:val="2"/>
                <w:sz w:val="24"/>
                <w:szCs w:val="32"/>
                <w:highlight w:val="none"/>
                <w:lang w:val="en-US" w:eastAsia="zh-CN" w:bidi="ar-SA"/>
              </w:rPr>
              <w:t>（3）吸盐慢洗（再生置换）</w:t>
            </w:r>
          </w:p>
          <w:p w14:paraId="6982EE41">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eastAsia" w:ascii="Times New Roman" w:hAnsi="Times New Roman" w:eastAsia="宋体" w:cs="Times New Roman"/>
                <w:color w:val="auto"/>
                <w:kern w:val="2"/>
                <w:sz w:val="24"/>
                <w:szCs w:val="32"/>
                <w:highlight w:val="none"/>
                <w:lang w:val="en-US" w:eastAsia="zh-CN" w:bidi="ar-SA"/>
              </w:rPr>
            </w:pPr>
            <w:r>
              <w:rPr>
                <w:rFonts w:hint="eastAsia" w:ascii="Times New Roman" w:hAnsi="Times New Roman" w:eastAsia="宋体" w:cs="Times New Roman"/>
                <w:color w:val="auto"/>
                <w:kern w:val="2"/>
                <w:sz w:val="24"/>
                <w:szCs w:val="32"/>
                <w:highlight w:val="none"/>
                <w:lang w:val="en-US" w:eastAsia="zh-CN" w:bidi="ar-SA"/>
              </w:rPr>
              <w:t>再生剂即饱和盐水进入树脂罐流经树脂层，高浓度盐水溶液的钠（Na）离子置换出树脂中吸附的钙（Ca）、镁（Mg）离子，通过废水口排出，使失效的树脂恢复再吸附的能力。盐水吸完后的软化水设备内尚有未参与再生交换的盐水，采用小于或等于再生液流速的清水进行清洗（慢速清洗），以充分利用盐水的再生作用并减轻正洗的负荷。</w:t>
            </w:r>
          </w:p>
          <w:p w14:paraId="4F0F5D77">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eastAsia" w:ascii="Times New Roman" w:hAnsi="Times New Roman" w:eastAsia="宋体" w:cs="Times New Roman"/>
                <w:color w:val="auto"/>
                <w:kern w:val="2"/>
                <w:sz w:val="24"/>
                <w:szCs w:val="32"/>
                <w:highlight w:val="none"/>
                <w:lang w:val="en-US" w:eastAsia="zh-CN" w:bidi="ar-SA"/>
              </w:rPr>
            </w:pPr>
            <w:r>
              <w:rPr>
                <w:rFonts w:hint="eastAsia" w:ascii="Times New Roman" w:hAnsi="Times New Roman" w:eastAsia="宋体" w:cs="Times New Roman"/>
                <w:color w:val="auto"/>
                <w:kern w:val="2"/>
                <w:sz w:val="24"/>
                <w:szCs w:val="32"/>
                <w:highlight w:val="none"/>
                <w:lang w:val="en-US" w:eastAsia="zh-CN" w:bidi="ar-SA"/>
              </w:rPr>
              <w:t>（4）盐箱注水</w:t>
            </w:r>
          </w:p>
          <w:p w14:paraId="320A95BE">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eastAsia" w:ascii="Times New Roman" w:hAnsi="Times New Roman" w:eastAsia="宋体" w:cs="Times New Roman"/>
                <w:color w:val="auto"/>
                <w:kern w:val="2"/>
                <w:sz w:val="24"/>
                <w:szCs w:val="32"/>
                <w:highlight w:val="none"/>
                <w:lang w:val="en-US" w:eastAsia="zh-CN" w:bidi="ar-SA"/>
              </w:rPr>
            </w:pPr>
            <w:r>
              <w:rPr>
                <w:rFonts w:hint="eastAsia" w:ascii="Times New Roman" w:hAnsi="Times New Roman" w:eastAsia="宋体" w:cs="Times New Roman"/>
                <w:color w:val="auto"/>
                <w:kern w:val="2"/>
                <w:sz w:val="24"/>
                <w:szCs w:val="32"/>
                <w:highlight w:val="none"/>
                <w:lang w:val="en-US" w:eastAsia="zh-CN" w:bidi="ar-SA"/>
              </w:rPr>
              <w:t>多路阀通过人工或时间控制向盐箱中注入再生一次所需盐水量的水。</w:t>
            </w:r>
          </w:p>
          <w:p w14:paraId="24345F17">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eastAsia" w:ascii="Times New Roman" w:hAnsi="Times New Roman" w:eastAsia="宋体" w:cs="Times New Roman"/>
                <w:color w:val="auto"/>
                <w:kern w:val="2"/>
                <w:sz w:val="24"/>
                <w:szCs w:val="32"/>
                <w:highlight w:val="none"/>
                <w:lang w:val="en-US" w:eastAsia="zh-CN" w:bidi="ar-SA"/>
              </w:rPr>
            </w:pPr>
            <w:r>
              <w:rPr>
                <w:rFonts w:hint="eastAsia" w:ascii="Times New Roman" w:hAnsi="Times New Roman" w:eastAsia="宋体" w:cs="Times New Roman"/>
                <w:color w:val="auto"/>
                <w:kern w:val="2"/>
                <w:sz w:val="24"/>
                <w:szCs w:val="32"/>
                <w:highlight w:val="none"/>
                <w:lang w:val="en-US" w:eastAsia="zh-CN" w:bidi="ar-SA"/>
              </w:rPr>
              <w:t>（5）正洗（快速清洗）</w:t>
            </w:r>
          </w:p>
          <w:p w14:paraId="55243331">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default" w:ascii="Times New Roman" w:hAnsi="Times New Roman" w:eastAsia="宋体" w:cs="Times New Roman"/>
                <w:color w:val="auto"/>
                <w:kern w:val="2"/>
                <w:sz w:val="24"/>
                <w:szCs w:val="32"/>
                <w:highlight w:val="none"/>
                <w:lang w:val="en-US" w:eastAsia="zh-CN" w:bidi="ar-SA"/>
              </w:rPr>
            </w:pPr>
            <w:r>
              <w:rPr>
                <w:rFonts w:hint="eastAsia" w:ascii="Times New Roman" w:hAnsi="Times New Roman" w:eastAsia="宋体" w:cs="Times New Roman"/>
                <w:color w:val="auto"/>
                <w:kern w:val="2"/>
                <w:sz w:val="24"/>
                <w:szCs w:val="32"/>
                <w:highlight w:val="none"/>
                <w:lang w:val="en-US" w:eastAsia="zh-CN" w:bidi="ar-SA"/>
              </w:rPr>
              <w:t>目的是清除树脂层中残留的再生废盐水，通常以正常流速清洗至出水合格为止。</w:t>
            </w:r>
          </w:p>
          <w:p w14:paraId="151ED5E4">
            <w:pPr>
              <w:pStyle w:val="1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w:t>
            </w:r>
            <w:r>
              <w:rPr>
                <w:rFonts w:hint="default" w:ascii="Times New Roman" w:hAnsi="Times New Roman" w:eastAsia="宋体" w:cs="Times New Roman"/>
                <w:color w:val="auto"/>
                <w:sz w:val="24"/>
                <w:highlight w:val="none"/>
                <w:lang w:val="en-US" w:eastAsia="zh-CN"/>
              </w:rPr>
              <w:t>生产过程中污染物产生环节见表2</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9</w:t>
            </w:r>
            <w:r>
              <w:rPr>
                <w:rFonts w:hint="default" w:ascii="Times New Roman" w:hAnsi="Times New Roman" w:eastAsia="宋体" w:cs="Times New Roman"/>
                <w:color w:val="auto"/>
                <w:sz w:val="24"/>
                <w:highlight w:val="none"/>
                <w:lang w:val="en-US" w:eastAsia="zh-CN"/>
              </w:rPr>
              <w:t>。</w:t>
            </w:r>
          </w:p>
          <w:bookmarkEnd w:id="10"/>
          <w:p w14:paraId="65A863CB">
            <w:pPr>
              <w:pStyle w:val="111"/>
              <w:keepNext w:val="0"/>
              <w:keepLines w:val="0"/>
              <w:suppressLineNumbers w:val="0"/>
              <w:adjustRightInd w:val="0"/>
              <w:snapToGrid w:val="0"/>
              <w:spacing w:before="0" w:beforeAutospacing="0" w:after="0" w:afterAutospacing="0" w:line="360" w:lineRule="exact"/>
              <w:ind w:left="0" w:right="0"/>
              <w:rPr>
                <w:rFonts w:hint="default" w:ascii="Times New Roman" w:hAnsi="Times New Roman" w:eastAsia="宋体" w:cs="Times New Roman"/>
                <w:b/>
                <w:bCs/>
                <w:iCs/>
                <w:color w:val="auto"/>
                <w:kern w:val="0"/>
                <w:sz w:val="21"/>
                <w:szCs w:val="21"/>
                <w:highlight w:val="none"/>
                <w:lang w:val="en-US" w:eastAsia="zh-CN" w:bidi="ar-SA"/>
              </w:rPr>
            </w:pPr>
            <w:r>
              <w:rPr>
                <w:rFonts w:hint="default" w:ascii="Times New Roman" w:hAnsi="Times New Roman" w:eastAsia="宋体" w:cs="Times New Roman"/>
                <w:b/>
                <w:bCs/>
                <w:iCs/>
                <w:color w:val="auto"/>
                <w:kern w:val="0"/>
                <w:sz w:val="21"/>
                <w:szCs w:val="21"/>
                <w:highlight w:val="none"/>
                <w:lang w:val="en-US" w:eastAsia="zh-CN" w:bidi="ar-SA"/>
              </w:rPr>
              <w:t>表2-</w:t>
            </w:r>
            <w:r>
              <w:rPr>
                <w:rFonts w:hint="eastAsia" w:ascii="Times New Roman" w:cs="Times New Roman"/>
                <w:b/>
                <w:bCs/>
                <w:iCs/>
                <w:color w:val="auto"/>
                <w:kern w:val="0"/>
                <w:sz w:val="21"/>
                <w:szCs w:val="21"/>
                <w:highlight w:val="none"/>
                <w:lang w:val="en-US" w:eastAsia="zh-CN" w:bidi="ar-SA"/>
              </w:rPr>
              <w:t>9</w:t>
            </w:r>
            <w:r>
              <w:rPr>
                <w:rFonts w:hint="default" w:ascii="Times New Roman" w:hAnsi="Times New Roman" w:eastAsia="宋体" w:cs="Times New Roman"/>
                <w:b/>
                <w:bCs/>
                <w:iCs/>
                <w:color w:val="auto"/>
                <w:kern w:val="0"/>
                <w:sz w:val="21"/>
                <w:szCs w:val="21"/>
                <w:highlight w:val="none"/>
                <w:lang w:val="en-US" w:eastAsia="zh-CN" w:bidi="ar-SA"/>
              </w:rPr>
              <w:t xml:space="preserve">  营运期主要污染工序一览表</w:t>
            </w:r>
          </w:p>
          <w:tbl>
            <w:tblPr>
              <w:tblStyle w:val="3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6"/>
              <w:gridCol w:w="1331"/>
              <w:gridCol w:w="3074"/>
              <w:gridCol w:w="2208"/>
            </w:tblGrid>
            <w:tr w14:paraId="6D7E13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6" w:type="dxa"/>
                  <w:noWrap w:val="0"/>
                  <w:vAlign w:val="center"/>
                </w:tcPr>
                <w:p w14:paraId="6BBF7013">
                  <w:pPr>
                    <w:keepNext w:val="0"/>
                    <w:keepLines w:val="0"/>
                    <w:suppressLineNumbers w:val="0"/>
                    <w:adjustRightInd w:val="0"/>
                    <w:snapToGrid w:val="0"/>
                    <w:spacing w:before="0" w:beforeAutospacing="0" w:after="0" w:afterAutospacing="0" w:line="360" w:lineRule="exact"/>
                    <w:ind w:left="0" w:right="0"/>
                    <w:jc w:val="center"/>
                    <w:rPr>
                      <w:rFonts w:hint="default"/>
                      <w:b/>
                      <w:bCs/>
                      <w:color w:val="auto"/>
                      <w:szCs w:val="21"/>
                      <w:highlight w:val="none"/>
                    </w:rPr>
                  </w:pPr>
                  <w:r>
                    <w:rPr>
                      <w:rFonts w:hint="default"/>
                      <w:b/>
                      <w:bCs/>
                      <w:color w:val="auto"/>
                      <w:szCs w:val="21"/>
                      <w:highlight w:val="none"/>
                    </w:rPr>
                    <w:t>污染类别</w:t>
                  </w:r>
                </w:p>
              </w:tc>
              <w:tc>
                <w:tcPr>
                  <w:tcW w:w="1331" w:type="dxa"/>
                  <w:noWrap w:val="0"/>
                  <w:vAlign w:val="center"/>
                </w:tcPr>
                <w:p w14:paraId="743C8038">
                  <w:pPr>
                    <w:keepNext w:val="0"/>
                    <w:keepLines w:val="0"/>
                    <w:suppressLineNumbers w:val="0"/>
                    <w:adjustRightInd w:val="0"/>
                    <w:snapToGrid w:val="0"/>
                    <w:spacing w:before="0" w:beforeAutospacing="0" w:after="0" w:afterAutospacing="0" w:line="360" w:lineRule="exact"/>
                    <w:ind w:left="0" w:right="0"/>
                    <w:jc w:val="center"/>
                    <w:rPr>
                      <w:rFonts w:hint="default"/>
                      <w:b/>
                      <w:bCs/>
                      <w:color w:val="auto"/>
                      <w:szCs w:val="21"/>
                      <w:highlight w:val="none"/>
                    </w:rPr>
                  </w:pPr>
                  <w:r>
                    <w:rPr>
                      <w:rFonts w:hint="default"/>
                      <w:b/>
                      <w:bCs/>
                      <w:color w:val="auto"/>
                      <w:szCs w:val="21"/>
                      <w:highlight w:val="none"/>
                    </w:rPr>
                    <w:t>主要污染源</w:t>
                  </w:r>
                </w:p>
              </w:tc>
              <w:tc>
                <w:tcPr>
                  <w:tcW w:w="3074" w:type="dxa"/>
                  <w:noWrap w:val="0"/>
                  <w:vAlign w:val="center"/>
                </w:tcPr>
                <w:p w14:paraId="02189EF0">
                  <w:pPr>
                    <w:keepNext w:val="0"/>
                    <w:keepLines w:val="0"/>
                    <w:suppressLineNumbers w:val="0"/>
                    <w:adjustRightInd w:val="0"/>
                    <w:snapToGrid w:val="0"/>
                    <w:spacing w:before="0" w:beforeAutospacing="0" w:after="0" w:afterAutospacing="0" w:line="360" w:lineRule="exact"/>
                    <w:ind w:left="0" w:right="0"/>
                    <w:jc w:val="center"/>
                    <w:rPr>
                      <w:rFonts w:hint="default"/>
                      <w:b/>
                      <w:bCs/>
                      <w:color w:val="auto"/>
                      <w:szCs w:val="21"/>
                      <w:highlight w:val="none"/>
                    </w:rPr>
                  </w:pPr>
                  <w:r>
                    <w:rPr>
                      <w:rFonts w:hint="default"/>
                      <w:b/>
                      <w:bCs/>
                      <w:color w:val="auto"/>
                      <w:szCs w:val="21"/>
                      <w:highlight w:val="none"/>
                    </w:rPr>
                    <w:t>产生工序</w:t>
                  </w:r>
                </w:p>
              </w:tc>
              <w:tc>
                <w:tcPr>
                  <w:tcW w:w="2208" w:type="dxa"/>
                  <w:noWrap w:val="0"/>
                  <w:vAlign w:val="center"/>
                </w:tcPr>
                <w:p w14:paraId="3200AF3F">
                  <w:pPr>
                    <w:keepNext w:val="0"/>
                    <w:keepLines w:val="0"/>
                    <w:suppressLineNumbers w:val="0"/>
                    <w:adjustRightInd w:val="0"/>
                    <w:snapToGrid w:val="0"/>
                    <w:spacing w:before="0" w:beforeAutospacing="0" w:after="0" w:afterAutospacing="0" w:line="360" w:lineRule="exact"/>
                    <w:ind w:left="0" w:right="0"/>
                    <w:jc w:val="center"/>
                    <w:rPr>
                      <w:rFonts w:hint="default"/>
                      <w:b/>
                      <w:bCs/>
                      <w:color w:val="auto"/>
                      <w:szCs w:val="21"/>
                      <w:highlight w:val="none"/>
                    </w:rPr>
                  </w:pPr>
                  <w:r>
                    <w:rPr>
                      <w:rFonts w:hint="default"/>
                      <w:b/>
                      <w:bCs/>
                      <w:color w:val="auto"/>
                      <w:szCs w:val="21"/>
                      <w:highlight w:val="none"/>
                    </w:rPr>
                    <w:t>主要污染因子</w:t>
                  </w:r>
                </w:p>
              </w:tc>
            </w:tr>
            <w:tr w14:paraId="3E261F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546" w:type="dxa"/>
                  <w:vMerge w:val="restart"/>
                  <w:noWrap w:val="0"/>
                  <w:vAlign w:val="center"/>
                </w:tcPr>
                <w:p w14:paraId="3A182381">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r>
                    <w:rPr>
                      <w:rFonts w:hint="default"/>
                      <w:color w:val="auto"/>
                      <w:szCs w:val="21"/>
                      <w:highlight w:val="none"/>
                    </w:rPr>
                    <w:t>废气</w:t>
                  </w:r>
                </w:p>
              </w:tc>
              <w:tc>
                <w:tcPr>
                  <w:tcW w:w="1331" w:type="dxa"/>
                  <w:vMerge w:val="restart"/>
                  <w:noWrap w:val="0"/>
                  <w:vAlign w:val="center"/>
                </w:tcPr>
                <w:p w14:paraId="1FDD3358">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r>
                    <w:rPr>
                      <w:rFonts w:hint="default"/>
                      <w:color w:val="auto"/>
                      <w:szCs w:val="21"/>
                      <w:highlight w:val="none"/>
                    </w:rPr>
                    <w:t>生产区</w:t>
                  </w:r>
                </w:p>
              </w:tc>
              <w:tc>
                <w:tcPr>
                  <w:tcW w:w="3074" w:type="dxa"/>
                  <w:noWrap w:val="0"/>
                  <w:vAlign w:val="center"/>
                </w:tcPr>
                <w:p w14:paraId="0A1EF24D">
                  <w:pPr>
                    <w:keepNext w:val="0"/>
                    <w:keepLines w:val="0"/>
                    <w:suppressLineNumbers w:val="0"/>
                    <w:adjustRightInd w:val="0"/>
                    <w:snapToGrid w:val="0"/>
                    <w:spacing w:before="0" w:beforeAutospacing="0" w:after="0" w:afterAutospacing="0" w:line="360" w:lineRule="exact"/>
                    <w:ind w:left="0" w:leftChars="0" w:right="0" w:rightChars="0"/>
                    <w:jc w:val="center"/>
                    <w:rPr>
                      <w:rFonts w:hint="default" w:eastAsia="宋体"/>
                      <w:color w:val="auto"/>
                      <w:szCs w:val="21"/>
                      <w:highlight w:val="none"/>
                      <w:lang w:val="en-US" w:eastAsia="zh-CN"/>
                    </w:rPr>
                  </w:pPr>
                  <w:r>
                    <w:rPr>
                      <w:rFonts w:hint="eastAsia"/>
                      <w:color w:val="auto"/>
                      <w:szCs w:val="21"/>
                      <w:highlight w:val="none"/>
                      <w:lang w:val="en-US" w:eastAsia="zh-CN"/>
                    </w:rPr>
                    <w:t>燃生物质</w:t>
                  </w:r>
                  <w:r>
                    <w:rPr>
                      <w:rFonts w:hint="eastAsia"/>
                      <w:color w:val="auto"/>
                      <w:szCs w:val="21"/>
                      <w:highlight w:val="none"/>
                      <w:lang w:eastAsia="zh-CN"/>
                    </w:rPr>
                    <w:t>蒸汽锅炉</w:t>
                  </w:r>
                </w:p>
              </w:tc>
              <w:tc>
                <w:tcPr>
                  <w:tcW w:w="2208" w:type="dxa"/>
                  <w:noWrap w:val="0"/>
                  <w:vAlign w:val="center"/>
                </w:tcPr>
                <w:p w14:paraId="019603AD">
                  <w:pPr>
                    <w:keepNext w:val="0"/>
                    <w:keepLines w:val="0"/>
                    <w:suppressLineNumbers w:val="0"/>
                    <w:adjustRightInd w:val="0"/>
                    <w:snapToGrid w:val="0"/>
                    <w:spacing w:before="0" w:beforeAutospacing="0" w:after="0" w:afterAutospacing="0" w:line="360" w:lineRule="exact"/>
                    <w:ind w:left="0" w:leftChars="0" w:right="0" w:rightChars="0"/>
                    <w:jc w:val="center"/>
                    <w:rPr>
                      <w:rFonts w:hint="eastAsia" w:eastAsia="宋体"/>
                      <w:color w:val="auto"/>
                      <w:szCs w:val="21"/>
                      <w:highlight w:val="none"/>
                      <w:lang w:eastAsia="zh-CN"/>
                    </w:rPr>
                  </w:pPr>
                  <w:r>
                    <w:rPr>
                      <w:rFonts w:hint="eastAsia"/>
                      <w:color w:val="auto"/>
                      <w:szCs w:val="21"/>
                      <w:highlight w:val="none"/>
                      <w:lang w:eastAsia="zh-CN"/>
                    </w:rPr>
                    <w:t>颗粒物、二氧化硫、氮氧化物、</w:t>
                  </w:r>
                  <w:r>
                    <w:rPr>
                      <w:rFonts w:hint="eastAsia"/>
                      <w:color w:val="auto"/>
                      <w:szCs w:val="21"/>
                      <w:highlight w:val="none"/>
                      <w:lang w:val="en-US" w:eastAsia="zh-CN"/>
                    </w:rPr>
                    <w:t>烟气黑度</w:t>
                  </w:r>
                </w:p>
              </w:tc>
            </w:tr>
            <w:tr w14:paraId="3536BB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546" w:type="dxa"/>
                  <w:vMerge w:val="continue"/>
                  <w:noWrap w:val="0"/>
                  <w:vAlign w:val="center"/>
                </w:tcPr>
                <w:p w14:paraId="4ED2DE41">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1331" w:type="dxa"/>
                  <w:vMerge w:val="continue"/>
                  <w:noWrap w:val="0"/>
                  <w:vAlign w:val="center"/>
                </w:tcPr>
                <w:p w14:paraId="2681752D">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3074" w:type="dxa"/>
                  <w:noWrap w:val="0"/>
                  <w:vAlign w:val="center"/>
                </w:tcPr>
                <w:p w14:paraId="153E7937">
                  <w:pPr>
                    <w:keepNext w:val="0"/>
                    <w:keepLines w:val="0"/>
                    <w:suppressLineNumbers w:val="0"/>
                    <w:adjustRightInd w:val="0"/>
                    <w:snapToGrid w:val="0"/>
                    <w:spacing w:before="0" w:beforeAutospacing="0" w:after="0" w:afterAutospacing="0" w:line="360" w:lineRule="exact"/>
                    <w:ind w:left="0" w:leftChars="0" w:right="0" w:rightChars="0"/>
                    <w:jc w:val="center"/>
                    <w:rPr>
                      <w:rFonts w:hint="default"/>
                      <w:color w:val="auto"/>
                      <w:szCs w:val="21"/>
                      <w:highlight w:val="none"/>
                      <w:lang w:val="en-US" w:eastAsia="zh-CN"/>
                    </w:rPr>
                  </w:pPr>
                  <w:r>
                    <w:rPr>
                      <w:rFonts w:hint="eastAsia"/>
                      <w:color w:val="auto"/>
                      <w:szCs w:val="21"/>
                      <w:highlight w:val="none"/>
                      <w:lang w:val="en-US" w:eastAsia="zh-CN"/>
                    </w:rPr>
                    <w:t>蒸煮过程</w:t>
                  </w:r>
                </w:p>
              </w:tc>
              <w:tc>
                <w:tcPr>
                  <w:tcW w:w="2208" w:type="dxa"/>
                  <w:noWrap w:val="0"/>
                  <w:vAlign w:val="center"/>
                </w:tcPr>
                <w:p w14:paraId="292244C5">
                  <w:pPr>
                    <w:keepNext w:val="0"/>
                    <w:keepLines w:val="0"/>
                    <w:suppressLineNumbers w:val="0"/>
                    <w:adjustRightInd w:val="0"/>
                    <w:snapToGrid w:val="0"/>
                    <w:spacing w:before="0" w:beforeAutospacing="0" w:after="0" w:afterAutospacing="0" w:line="360" w:lineRule="exact"/>
                    <w:ind w:left="0" w:leftChars="0" w:right="0" w:rightChars="0"/>
                    <w:jc w:val="center"/>
                    <w:rPr>
                      <w:rFonts w:hint="default"/>
                      <w:color w:val="auto"/>
                      <w:szCs w:val="21"/>
                      <w:highlight w:val="none"/>
                      <w:lang w:val="en-US" w:eastAsia="zh-CN"/>
                    </w:rPr>
                  </w:pPr>
                  <w:r>
                    <w:rPr>
                      <w:rFonts w:hint="eastAsia"/>
                      <w:color w:val="auto"/>
                      <w:szCs w:val="21"/>
                      <w:highlight w:val="none"/>
                      <w:lang w:val="en-US" w:eastAsia="zh-CN"/>
                    </w:rPr>
                    <w:t>臭气浓度</w:t>
                  </w:r>
                </w:p>
              </w:tc>
            </w:tr>
            <w:tr w14:paraId="2F9F82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 w:hRule="atLeast"/>
                <w:jc w:val="center"/>
              </w:trPr>
              <w:tc>
                <w:tcPr>
                  <w:tcW w:w="1546" w:type="dxa"/>
                  <w:vMerge w:val="restart"/>
                  <w:noWrap w:val="0"/>
                  <w:vAlign w:val="center"/>
                </w:tcPr>
                <w:p w14:paraId="41FB42CC">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r>
                    <w:rPr>
                      <w:rFonts w:hint="default"/>
                      <w:color w:val="auto"/>
                      <w:szCs w:val="21"/>
                      <w:highlight w:val="none"/>
                    </w:rPr>
                    <w:t>废水</w:t>
                  </w:r>
                </w:p>
              </w:tc>
              <w:tc>
                <w:tcPr>
                  <w:tcW w:w="1331" w:type="dxa"/>
                  <w:noWrap w:val="0"/>
                  <w:vAlign w:val="center"/>
                </w:tcPr>
                <w:p w14:paraId="78F61FAF">
                  <w:pPr>
                    <w:keepNext w:val="0"/>
                    <w:keepLines w:val="0"/>
                    <w:suppressLineNumbers w:val="0"/>
                    <w:adjustRightInd w:val="0"/>
                    <w:snapToGrid w:val="0"/>
                    <w:spacing w:before="0" w:beforeAutospacing="0" w:after="0" w:afterAutospacing="0" w:line="360" w:lineRule="exact"/>
                    <w:ind w:left="0" w:leftChars="0" w:right="0" w:rightChars="0"/>
                    <w:jc w:val="center"/>
                    <w:rPr>
                      <w:rFonts w:hint="eastAsia"/>
                      <w:color w:val="auto"/>
                      <w:szCs w:val="21"/>
                      <w:highlight w:val="none"/>
                      <w:lang w:eastAsia="zh-CN"/>
                    </w:rPr>
                  </w:pPr>
                  <w:r>
                    <w:rPr>
                      <w:rFonts w:hint="eastAsia"/>
                      <w:color w:val="auto"/>
                      <w:szCs w:val="21"/>
                      <w:highlight w:val="none"/>
                      <w:lang w:eastAsia="zh-CN"/>
                    </w:rPr>
                    <w:t>生活办公区</w:t>
                  </w:r>
                </w:p>
              </w:tc>
              <w:tc>
                <w:tcPr>
                  <w:tcW w:w="3074" w:type="dxa"/>
                  <w:noWrap w:val="0"/>
                  <w:vAlign w:val="center"/>
                </w:tcPr>
                <w:p w14:paraId="63AFE294">
                  <w:pPr>
                    <w:keepNext w:val="0"/>
                    <w:keepLines w:val="0"/>
                    <w:suppressLineNumbers w:val="0"/>
                    <w:adjustRightInd w:val="0"/>
                    <w:snapToGrid w:val="0"/>
                    <w:spacing w:before="0" w:beforeAutospacing="0" w:after="0" w:afterAutospacing="0" w:line="360" w:lineRule="exact"/>
                    <w:ind w:left="0" w:leftChars="0" w:right="0" w:rightChars="0"/>
                    <w:jc w:val="center"/>
                    <w:rPr>
                      <w:rFonts w:hint="eastAsia"/>
                      <w:color w:val="auto"/>
                      <w:szCs w:val="21"/>
                      <w:highlight w:val="none"/>
                      <w:lang w:eastAsia="zh-CN"/>
                    </w:rPr>
                  </w:pPr>
                  <w:r>
                    <w:rPr>
                      <w:rFonts w:hint="eastAsia"/>
                      <w:color w:val="auto"/>
                      <w:szCs w:val="21"/>
                      <w:highlight w:val="none"/>
                      <w:lang w:eastAsia="zh-CN"/>
                    </w:rPr>
                    <w:t>职工生活</w:t>
                  </w:r>
                </w:p>
              </w:tc>
              <w:tc>
                <w:tcPr>
                  <w:tcW w:w="2208" w:type="dxa"/>
                  <w:noWrap w:val="0"/>
                  <w:vAlign w:val="center"/>
                </w:tcPr>
                <w:p w14:paraId="5018AE22">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r>
                    <w:rPr>
                      <w:rFonts w:hint="default"/>
                      <w:color w:val="auto"/>
                      <w:kern w:val="0"/>
                      <w:szCs w:val="21"/>
                      <w:highlight w:val="none"/>
                    </w:rPr>
                    <w:t>COD</w:t>
                  </w:r>
                  <w:r>
                    <w:rPr>
                      <w:rFonts w:hint="eastAsia"/>
                      <w:color w:val="auto"/>
                      <w:kern w:val="0"/>
                      <w:szCs w:val="21"/>
                      <w:highlight w:val="none"/>
                      <w:lang w:eastAsia="zh-CN"/>
                    </w:rPr>
                    <w:t>、</w:t>
                  </w:r>
                  <w:r>
                    <w:rPr>
                      <w:rFonts w:hint="default"/>
                      <w:color w:val="auto"/>
                      <w:kern w:val="0"/>
                      <w:szCs w:val="21"/>
                      <w:highlight w:val="none"/>
                    </w:rPr>
                    <w:t>NH</w:t>
                  </w:r>
                  <w:r>
                    <w:rPr>
                      <w:rFonts w:hint="default"/>
                      <w:color w:val="auto"/>
                      <w:kern w:val="0"/>
                      <w:szCs w:val="21"/>
                      <w:highlight w:val="none"/>
                      <w:vertAlign w:val="subscript"/>
                    </w:rPr>
                    <w:t>3</w:t>
                  </w:r>
                  <w:r>
                    <w:rPr>
                      <w:rFonts w:hint="default"/>
                      <w:color w:val="auto"/>
                      <w:kern w:val="0"/>
                      <w:szCs w:val="21"/>
                      <w:highlight w:val="none"/>
                    </w:rPr>
                    <w:t>-N</w:t>
                  </w:r>
                </w:p>
              </w:tc>
            </w:tr>
            <w:tr w14:paraId="6D3343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1546" w:type="dxa"/>
                  <w:vMerge w:val="continue"/>
                  <w:noWrap w:val="0"/>
                  <w:vAlign w:val="center"/>
                </w:tcPr>
                <w:p w14:paraId="614C8A2F">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1331" w:type="dxa"/>
                  <w:vMerge w:val="restart"/>
                  <w:noWrap w:val="0"/>
                  <w:vAlign w:val="center"/>
                </w:tcPr>
                <w:p w14:paraId="41350AE3">
                  <w:pPr>
                    <w:keepNext w:val="0"/>
                    <w:keepLines w:val="0"/>
                    <w:suppressLineNumbers w:val="0"/>
                    <w:adjustRightInd w:val="0"/>
                    <w:snapToGrid w:val="0"/>
                    <w:spacing w:before="0" w:beforeAutospacing="0" w:after="0" w:afterAutospacing="0" w:line="360" w:lineRule="exact"/>
                    <w:ind w:left="0" w:leftChars="0" w:right="0" w:rightChars="0"/>
                    <w:jc w:val="center"/>
                    <w:rPr>
                      <w:rFonts w:hint="eastAsia"/>
                      <w:color w:val="auto"/>
                      <w:szCs w:val="21"/>
                      <w:highlight w:val="none"/>
                      <w:lang w:eastAsia="zh-CN"/>
                    </w:rPr>
                  </w:pPr>
                  <w:r>
                    <w:rPr>
                      <w:rFonts w:hint="eastAsia"/>
                      <w:color w:val="auto"/>
                      <w:szCs w:val="21"/>
                      <w:highlight w:val="none"/>
                      <w:lang w:eastAsia="zh-CN"/>
                    </w:rPr>
                    <w:t>生产区</w:t>
                  </w:r>
                </w:p>
              </w:tc>
              <w:tc>
                <w:tcPr>
                  <w:tcW w:w="3074" w:type="dxa"/>
                  <w:noWrap w:val="0"/>
                  <w:vAlign w:val="center"/>
                </w:tcPr>
                <w:p w14:paraId="2E2159F0">
                  <w:pPr>
                    <w:keepNext w:val="0"/>
                    <w:keepLines w:val="0"/>
                    <w:suppressLineNumbers w:val="0"/>
                    <w:adjustRightInd w:val="0"/>
                    <w:snapToGrid w:val="0"/>
                    <w:spacing w:before="0" w:beforeAutospacing="0" w:after="0" w:afterAutospacing="0" w:line="360" w:lineRule="exact"/>
                    <w:ind w:left="0" w:leftChars="0" w:right="0" w:rightChars="0"/>
                    <w:jc w:val="center"/>
                    <w:rPr>
                      <w:rFonts w:hint="eastAsia"/>
                      <w:color w:val="auto"/>
                      <w:szCs w:val="21"/>
                      <w:highlight w:val="none"/>
                      <w:lang w:eastAsia="zh-CN"/>
                    </w:rPr>
                  </w:pPr>
                  <w:r>
                    <w:rPr>
                      <w:rFonts w:hint="eastAsia"/>
                      <w:color w:val="auto"/>
                      <w:szCs w:val="21"/>
                      <w:highlight w:val="none"/>
                      <w:lang w:eastAsia="zh-CN"/>
                    </w:rPr>
                    <w:t>清洗</w:t>
                  </w:r>
                </w:p>
              </w:tc>
              <w:tc>
                <w:tcPr>
                  <w:tcW w:w="2208" w:type="dxa"/>
                  <w:noWrap w:val="0"/>
                  <w:vAlign w:val="center"/>
                </w:tcPr>
                <w:p w14:paraId="1F5DFC17">
                  <w:pPr>
                    <w:keepNext w:val="0"/>
                    <w:keepLines w:val="0"/>
                    <w:suppressLineNumbers w:val="0"/>
                    <w:adjustRightInd w:val="0"/>
                    <w:snapToGrid w:val="0"/>
                    <w:spacing w:before="0" w:beforeAutospacing="0" w:after="0" w:afterAutospacing="0" w:line="360" w:lineRule="exact"/>
                    <w:ind w:left="0" w:right="0"/>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COD、BOD</w:t>
                  </w:r>
                  <w:r>
                    <w:rPr>
                      <w:rFonts w:hint="eastAsia"/>
                      <w:color w:val="auto"/>
                      <w:kern w:val="0"/>
                      <w:szCs w:val="21"/>
                      <w:highlight w:val="none"/>
                      <w:vertAlign w:val="subscript"/>
                      <w:lang w:val="en-US" w:eastAsia="zh-CN"/>
                    </w:rPr>
                    <w:t>5、</w:t>
                  </w:r>
                  <w:r>
                    <w:rPr>
                      <w:rFonts w:hint="default"/>
                      <w:color w:val="auto"/>
                      <w:kern w:val="0"/>
                      <w:szCs w:val="21"/>
                      <w:highlight w:val="none"/>
                    </w:rPr>
                    <w:t>NH</w:t>
                  </w:r>
                  <w:r>
                    <w:rPr>
                      <w:rFonts w:hint="default"/>
                      <w:color w:val="auto"/>
                      <w:kern w:val="0"/>
                      <w:szCs w:val="21"/>
                      <w:highlight w:val="none"/>
                      <w:vertAlign w:val="subscript"/>
                    </w:rPr>
                    <w:t>3</w:t>
                  </w:r>
                  <w:r>
                    <w:rPr>
                      <w:rFonts w:hint="default"/>
                      <w:color w:val="auto"/>
                      <w:kern w:val="0"/>
                      <w:szCs w:val="21"/>
                      <w:highlight w:val="none"/>
                    </w:rPr>
                    <w:t>-N</w:t>
                  </w:r>
                  <w:r>
                    <w:rPr>
                      <w:rFonts w:hint="eastAsia"/>
                      <w:color w:val="auto"/>
                      <w:kern w:val="0"/>
                      <w:szCs w:val="21"/>
                      <w:highlight w:val="none"/>
                      <w:lang w:eastAsia="zh-CN"/>
                    </w:rPr>
                    <w:t>、</w:t>
                  </w:r>
                  <w:r>
                    <w:rPr>
                      <w:rFonts w:hint="eastAsia"/>
                      <w:color w:val="auto"/>
                      <w:kern w:val="0"/>
                      <w:szCs w:val="21"/>
                      <w:highlight w:val="none"/>
                      <w:lang w:val="en-US" w:eastAsia="zh-CN"/>
                    </w:rPr>
                    <w:t>SS</w:t>
                  </w:r>
                </w:p>
              </w:tc>
            </w:tr>
            <w:tr w14:paraId="16BB4C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1546" w:type="dxa"/>
                  <w:vMerge w:val="continue"/>
                  <w:noWrap w:val="0"/>
                  <w:vAlign w:val="center"/>
                </w:tcPr>
                <w:p w14:paraId="1BFE96DF">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1331" w:type="dxa"/>
                  <w:vMerge w:val="continue"/>
                  <w:noWrap w:val="0"/>
                  <w:vAlign w:val="center"/>
                </w:tcPr>
                <w:p w14:paraId="08B52D3C">
                  <w:pPr>
                    <w:keepNext w:val="0"/>
                    <w:keepLines w:val="0"/>
                    <w:suppressLineNumbers w:val="0"/>
                    <w:adjustRightInd w:val="0"/>
                    <w:snapToGrid w:val="0"/>
                    <w:spacing w:before="0" w:beforeAutospacing="0" w:after="0" w:afterAutospacing="0" w:line="360" w:lineRule="exact"/>
                    <w:ind w:left="0" w:leftChars="0" w:right="0" w:rightChars="0"/>
                    <w:jc w:val="center"/>
                    <w:rPr>
                      <w:rFonts w:hint="eastAsia"/>
                      <w:color w:val="auto"/>
                      <w:szCs w:val="21"/>
                      <w:highlight w:val="none"/>
                      <w:lang w:eastAsia="zh-CN"/>
                    </w:rPr>
                  </w:pPr>
                </w:p>
              </w:tc>
              <w:tc>
                <w:tcPr>
                  <w:tcW w:w="3074" w:type="dxa"/>
                  <w:noWrap w:val="0"/>
                  <w:vAlign w:val="center"/>
                </w:tcPr>
                <w:p w14:paraId="72583500">
                  <w:pPr>
                    <w:keepNext w:val="0"/>
                    <w:keepLines w:val="0"/>
                    <w:suppressLineNumbers w:val="0"/>
                    <w:adjustRightInd w:val="0"/>
                    <w:snapToGrid w:val="0"/>
                    <w:spacing w:before="0" w:beforeAutospacing="0" w:after="0" w:afterAutospacing="0" w:line="360" w:lineRule="exact"/>
                    <w:ind w:left="0" w:leftChars="0" w:right="0" w:rightChars="0"/>
                    <w:jc w:val="center"/>
                    <w:rPr>
                      <w:rFonts w:hint="default"/>
                      <w:color w:val="auto"/>
                      <w:szCs w:val="21"/>
                      <w:highlight w:val="none"/>
                      <w:lang w:eastAsia="zh-CN"/>
                    </w:rPr>
                  </w:pPr>
                  <w:r>
                    <w:rPr>
                      <w:rFonts w:hint="eastAsia"/>
                      <w:color w:val="auto"/>
                      <w:szCs w:val="21"/>
                      <w:highlight w:val="none"/>
                      <w:lang w:eastAsia="zh-CN"/>
                    </w:rPr>
                    <w:t>软</w:t>
                  </w:r>
                  <w:r>
                    <w:rPr>
                      <w:rFonts w:hint="eastAsia"/>
                      <w:color w:val="auto"/>
                      <w:szCs w:val="21"/>
                      <w:highlight w:val="none"/>
                      <w:lang w:val="en-US" w:eastAsia="zh-CN"/>
                    </w:rPr>
                    <w:t>化</w:t>
                  </w:r>
                  <w:r>
                    <w:rPr>
                      <w:rFonts w:hint="eastAsia"/>
                      <w:color w:val="auto"/>
                      <w:szCs w:val="21"/>
                      <w:highlight w:val="none"/>
                      <w:lang w:eastAsia="zh-CN"/>
                    </w:rPr>
                    <w:t>水制备废水及锅炉排污水</w:t>
                  </w:r>
                </w:p>
              </w:tc>
              <w:tc>
                <w:tcPr>
                  <w:tcW w:w="2208" w:type="dxa"/>
                  <w:noWrap w:val="0"/>
                  <w:vAlign w:val="center"/>
                </w:tcPr>
                <w:p w14:paraId="5057E274">
                  <w:pPr>
                    <w:keepNext w:val="0"/>
                    <w:keepLines w:val="0"/>
                    <w:suppressLineNumbers w:val="0"/>
                    <w:adjustRightInd w:val="0"/>
                    <w:snapToGrid w:val="0"/>
                    <w:spacing w:before="0" w:beforeAutospacing="0" w:after="0" w:afterAutospacing="0" w:line="360" w:lineRule="exact"/>
                    <w:ind w:left="0" w:right="0"/>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COD</w:t>
                  </w:r>
                  <w:r>
                    <w:rPr>
                      <w:rFonts w:hint="eastAsia"/>
                      <w:color w:val="auto"/>
                      <w:lang w:eastAsia="zh-CN"/>
                    </w:rPr>
                    <w:t>、</w:t>
                  </w:r>
                  <w:r>
                    <w:rPr>
                      <w:rFonts w:hint="eastAsia"/>
                      <w:color w:val="auto"/>
                      <w:lang w:val="en-US" w:eastAsia="zh-CN"/>
                    </w:rPr>
                    <w:t>溶解性总固体</w:t>
                  </w:r>
                </w:p>
              </w:tc>
            </w:tr>
            <w:tr w14:paraId="34DC0D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546" w:type="dxa"/>
                  <w:noWrap w:val="0"/>
                  <w:vAlign w:val="center"/>
                </w:tcPr>
                <w:p w14:paraId="6BA3BE2A">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r>
                    <w:rPr>
                      <w:rFonts w:hint="default"/>
                      <w:color w:val="auto"/>
                      <w:szCs w:val="21"/>
                      <w:highlight w:val="none"/>
                    </w:rPr>
                    <w:t>噪声</w:t>
                  </w:r>
                </w:p>
              </w:tc>
              <w:tc>
                <w:tcPr>
                  <w:tcW w:w="1331" w:type="dxa"/>
                  <w:noWrap w:val="0"/>
                  <w:vAlign w:val="center"/>
                </w:tcPr>
                <w:p w14:paraId="292E7619">
                  <w:pPr>
                    <w:keepNext w:val="0"/>
                    <w:keepLines w:val="0"/>
                    <w:suppressLineNumbers w:val="0"/>
                    <w:autoSpaceDE w:val="0"/>
                    <w:autoSpaceDN w:val="0"/>
                    <w:adjustRightInd w:val="0"/>
                    <w:snapToGrid w:val="0"/>
                    <w:spacing w:before="0" w:beforeAutospacing="0" w:after="0" w:afterAutospacing="0" w:line="360" w:lineRule="exact"/>
                    <w:ind w:left="0" w:right="0"/>
                    <w:jc w:val="center"/>
                    <w:rPr>
                      <w:rFonts w:hint="eastAsia" w:eastAsia="宋体"/>
                      <w:color w:val="auto"/>
                      <w:kern w:val="0"/>
                      <w:szCs w:val="21"/>
                      <w:highlight w:val="none"/>
                      <w:lang w:eastAsia="zh-CN"/>
                    </w:rPr>
                  </w:pPr>
                  <w:r>
                    <w:rPr>
                      <w:rFonts w:hint="eastAsia"/>
                      <w:color w:val="auto"/>
                      <w:kern w:val="0"/>
                      <w:szCs w:val="21"/>
                      <w:highlight w:val="none"/>
                      <w:lang w:eastAsia="zh-CN"/>
                    </w:rPr>
                    <w:t>生产区</w:t>
                  </w:r>
                </w:p>
              </w:tc>
              <w:tc>
                <w:tcPr>
                  <w:tcW w:w="3074" w:type="dxa"/>
                  <w:noWrap w:val="0"/>
                  <w:vAlign w:val="center"/>
                </w:tcPr>
                <w:p w14:paraId="2FCD61DE">
                  <w:pPr>
                    <w:keepNext w:val="0"/>
                    <w:keepLines w:val="0"/>
                    <w:suppressLineNumbers w:val="0"/>
                    <w:adjustRightInd w:val="0"/>
                    <w:snapToGrid w:val="0"/>
                    <w:spacing w:before="0" w:beforeAutospacing="0" w:after="0" w:afterAutospacing="0" w:line="360" w:lineRule="exact"/>
                    <w:ind w:left="0" w:leftChars="0" w:right="0" w:rightChars="0"/>
                    <w:jc w:val="center"/>
                    <w:rPr>
                      <w:rFonts w:hint="default"/>
                      <w:color w:val="auto"/>
                      <w:kern w:val="0"/>
                      <w:szCs w:val="21"/>
                      <w:highlight w:val="none"/>
                      <w:lang w:val="en-US"/>
                    </w:rPr>
                  </w:pPr>
                  <w:r>
                    <w:rPr>
                      <w:rFonts w:hint="eastAsia"/>
                      <w:color w:val="auto"/>
                      <w:szCs w:val="21"/>
                      <w:highlight w:val="none"/>
                      <w:lang w:val="en-US" w:eastAsia="zh-CN"/>
                    </w:rPr>
                    <w:t>制冷机组、玉米扒皮机、玉米切头机、玉米清洗机、给袋式包装机、杀菌锅、水处理设备、燃生物质蒸汽锅炉、螺杆机、风机</w:t>
                  </w:r>
                </w:p>
              </w:tc>
              <w:tc>
                <w:tcPr>
                  <w:tcW w:w="2208" w:type="dxa"/>
                  <w:noWrap w:val="0"/>
                  <w:vAlign w:val="center"/>
                </w:tcPr>
                <w:p w14:paraId="559F0457">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r>
                    <w:rPr>
                      <w:rFonts w:hint="default"/>
                      <w:color w:val="auto"/>
                      <w:szCs w:val="21"/>
                      <w:highlight w:val="none"/>
                    </w:rPr>
                    <w:t>噪声</w:t>
                  </w:r>
                </w:p>
              </w:tc>
            </w:tr>
            <w:tr w14:paraId="52EE5D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546" w:type="dxa"/>
                  <w:vMerge w:val="restart"/>
                  <w:noWrap w:val="0"/>
                  <w:vAlign w:val="center"/>
                </w:tcPr>
                <w:p w14:paraId="7CFD1345">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r>
                    <w:rPr>
                      <w:rFonts w:hint="default"/>
                      <w:color w:val="auto"/>
                      <w:szCs w:val="21"/>
                      <w:highlight w:val="none"/>
                    </w:rPr>
                    <w:t>固体废物</w:t>
                  </w:r>
                </w:p>
              </w:tc>
              <w:tc>
                <w:tcPr>
                  <w:tcW w:w="1331" w:type="dxa"/>
                  <w:vMerge w:val="restart"/>
                  <w:noWrap w:val="0"/>
                  <w:vAlign w:val="center"/>
                </w:tcPr>
                <w:p w14:paraId="605C12E0">
                  <w:pPr>
                    <w:keepNext w:val="0"/>
                    <w:keepLines w:val="0"/>
                    <w:suppressLineNumbers w:val="0"/>
                    <w:adjustRightInd w:val="0"/>
                    <w:snapToGrid w:val="0"/>
                    <w:spacing w:before="0" w:beforeAutospacing="0" w:after="0" w:afterAutospacing="0" w:line="360" w:lineRule="exact"/>
                    <w:ind w:left="0" w:right="0"/>
                    <w:jc w:val="center"/>
                    <w:rPr>
                      <w:rFonts w:hint="eastAsia" w:eastAsia="宋体"/>
                      <w:color w:val="auto"/>
                      <w:szCs w:val="21"/>
                      <w:highlight w:val="none"/>
                      <w:lang w:eastAsia="zh-CN"/>
                    </w:rPr>
                  </w:pPr>
                  <w:r>
                    <w:rPr>
                      <w:rFonts w:hint="eastAsia"/>
                      <w:color w:val="auto"/>
                      <w:szCs w:val="21"/>
                      <w:highlight w:val="none"/>
                      <w:lang w:eastAsia="zh-CN"/>
                    </w:rPr>
                    <w:t>生产区</w:t>
                  </w:r>
                </w:p>
              </w:tc>
              <w:tc>
                <w:tcPr>
                  <w:tcW w:w="3074" w:type="dxa"/>
                  <w:noWrap w:val="0"/>
                  <w:vAlign w:val="center"/>
                </w:tcPr>
                <w:p w14:paraId="6375B15F">
                  <w:pPr>
                    <w:keepNext w:val="0"/>
                    <w:keepLines w:val="0"/>
                    <w:pageBreakBefore w:val="0"/>
                    <w:widowControl w:val="0"/>
                    <w:kinsoku/>
                    <w:wordWrap/>
                    <w:overflowPunct/>
                    <w:topLinePunct w:val="0"/>
                    <w:bidi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剥皮去须</w:t>
                  </w:r>
                </w:p>
              </w:tc>
              <w:tc>
                <w:tcPr>
                  <w:tcW w:w="2208" w:type="dxa"/>
                  <w:noWrap w:val="0"/>
                  <w:vAlign w:val="center"/>
                </w:tcPr>
                <w:p w14:paraId="1B9B0FE5">
                  <w:pPr>
                    <w:keepNext w:val="0"/>
                    <w:keepLines w:val="0"/>
                    <w:pageBreakBefore w:val="0"/>
                    <w:widowControl w:val="0"/>
                    <w:kinsoku/>
                    <w:wordWrap/>
                    <w:overflowPunct/>
                    <w:topLinePunct w:val="0"/>
                    <w:autoSpaceDE w:val="0"/>
                    <w:autoSpaceDN w:val="0"/>
                    <w:bidi w:val="0"/>
                    <w:adjustRightIn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eastAsiaTheme="minorEastAsia"/>
                      <w:color w:val="auto"/>
                      <w:kern w:val="0"/>
                      <w:szCs w:val="21"/>
                      <w:lang w:val="en-US" w:eastAsia="zh-CN"/>
                    </w:rPr>
                    <w:t>工艺废料</w:t>
                  </w:r>
                </w:p>
              </w:tc>
            </w:tr>
            <w:tr w14:paraId="2E7BC2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1546" w:type="dxa"/>
                  <w:vMerge w:val="continue"/>
                  <w:noWrap w:val="0"/>
                  <w:vAlign w:val="center"/>
                </w:tcPr>
                <w:p w14:paraId="5701E442">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1331" w:type="dxa"/>
                  <w:vMerge w:val="continue"/>
                  <w:noWrap w:val="0"/>
                  <w:vAlign w:val="center"/>
                </w:tcPr>
                <w:p w14:paraId="55033797">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3074" w:type="dxa"/>
                  <w:noWrap w:val="0"/>
                  <w:vAlign w:val="center"/>
                </w:tcPr>
                <w:p w14:paraId="65B111D2">
                  <w:pPr>
                    <w:keepNext w:val="0"/>
                    <w:keepLines w:val="0"/>
                    <w:pageBreakBefore w:val="0"/>
                    <w:widowControl w:val="0"/>
                    <w:kinsoku/>
                    <w:wordWrap/>
                    <w:overflowPunct/>
                    <w:topLinePunct w:val="0"/>
                    <w:bidi w:val="0"/>
                    <w:spacing w:beforeAutospacing="0" w:afterAutospacing="0" w:line="240" w:lineRule="auto"/>
                    <w:ind w:left="0" w:leftChars="0" w:right="0" w:rightChars="0" w:firstLine="0" w:firstLineChars="0"/>
                    <w:jc w:val="center"/>
                    <w:textAlignment w:val="auto"/>
                    <w:rPr>
                      <w:rFonts w:hint="default"/>
                      <w:color w:val="auto"/>
                      <w:szCs w:val="21"/>
                      <w:highlight w:val="none"/>
                      <w:lang w:val="en-US" w:eastAsia="zh-CN"/>
                    </w:rPr>
                  </w:pPr>
                  <w:r>
                    <w:rPr>
                      <w:rFonts w:hint="eastAsia"/>
                      <w:color w:val="auto"/>
                      <w:szCs w:val="21"/>
                      <w:highlight w:val="none"/>
                      <w:lang w:val="en-US" w:eastAsia="zh-CN"/>
                    </w:rPr>
                    <w:t>分拣挑选</w:t>
                  </w:r>
                </w:p>
              </w:tc>
              <w:tc>
                <w:tcPr>
                  <w:tcW w:w="2208" w:type="dxa"/>
                  <w:noWrap w:val="0"/>
                  <w:vAlign w:val="center"/>
                </w:tcPr>
                <w:p w14:paraId="4C84FF40">
                  <w:pPr>
                    <w:keepNext w:val="0"/>
                    <w:keepLines w:val="0"/>
                    <w:pageBreakBefore w:val="0"/>
                    <w:widowControl w:val="0"/>
                    <w:kinsoku/>
                    <w:wordWrap/>
                    <w:overflowPunct/>
                    <w:topLinePunct w:val="0"/>
                    <w:autoSpaceDE w:val="0"/>
                    <w:autoSpaceDN w:val="0"/>
                    <w:bidi w:val="0"/>
                    <w:adjustRightInd w:val="0"/>
                    <w:spacing w:beforeAutospacing="0" w:afterAutospacing="0" w:line="240" w:lineRule="auto"/>
                    <w:ind w:left="0" w:leftChars="0" w:right="0" w:rightChars="0" w:firstLine="0" w:firstLineChars="0"/>
                    <w:jc w:val="center"/>
                    <w:textAlignment w:val="auto"/>
                    <w:rPr>
                      <w:rFonts w:hint="default"/>
                      <w:color w:val="auto"/>
                      <w:szCs w:val="21"/>
                      <w:highlight w:val="none"/>
                      <w:lang w:val="en-US" w:eastAsia="zh-CN"/>
                    </w:rPr>
                  </w:pPr>
                  <w:r>
                    <w:rPr>
                      <w:rFonts w:hint="eastAsia" w:cs="Times New Roman" w:eastAsiaTheme="minorEastAsia"/>
                      <w:color w:val="auto"/>
                      <w:kern w:val="0"/>
                      <w:szCs w:val="21"/>
                      <w:lang w:val="en-US" w:eastAsia="zh-CN"/>
                    </w:rPr>
                    <w:t>工艺废料</w:t>
                  </w:r>
                </w:p>
              </w:tc>
            </w:tr>
            <w:tr w14:paraId="1BE08F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1546" w:type="dxa"/>
                  <w:vMerge w:val="continue"/>
                  <w:noWrap w:val="0"/>
                  <w:vAlign w:val="center"/>
                </w:tcPr>
                <w:p w14:paraId="1D3C98B9">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1331" w:type="dxa"/>
                  <w:vMerge w:val="continue"/>
                  <w:noWrap w:val="0"/>
                  <w:vAlign w:val="center"/>
                </w:tcPr>
                <w:p w14:paraId="45C1A619">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3074" w:type="dxa"/>
                  <w:noWrap w:val="0"/>
                  <w:vAlign w:val="center"/>
                </w:tcPr>
                <w:p w14:paraId="71B917A9">
                  <w:pPr>
                    <w:keepNext w:val="0"/>
                    <w:keepLines w:val="0"/>
                    <w:pageBreakBefore w:val="0"/>
                    <w:widowControl w:val="0"/>
                    <w:kinsoku/>
                    <w:wordWrap/>
                    <w:overflowPunct/>
                    <w:topLinePunct w:val="0"/>
                    <w:bidi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切头去尾</w:t>
                  </w:r>
                </w:p>
              </w:tc>
              <w:tc>
                <w:tcPr>
                  <w:tcW w:w="2208" w:type="dxa"/>
                  <w:noWrap w:val="0"/>
                  <w:vAlign w:val="center"/>
                </w:tcPr>
                <w:p w14:paraId="6B6AF2DB">
                  <w:pPr>
                    <w:keepNext w:val="0"/>
                    <w:keepLines w:val="0"/>
                    <w:pageBreakBefore w:val="0"/>
                    <w:widowControl w:val="0"/>
                    <w:kinsoku/>
                    <w:wordWrap/>
                    <w:overflowPunct/>
                    <w:topLinePunct w:val="0"/>
                    <w:autoSpaceDE w:val="0"/>
                    <w:autoSpaceDN w:val="0"/>
                    <w:bidi w:val="0"/>
                    <w:adjustRightInd w:val="0"/>
                    <w:spacing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eastAsiaTheme="minorEastAsia"/>
                      <w:color w:val="auto"/>
                      <w:kern w:val="0"/>
                      <w:szCs w:val="21"/>
                      <w:lang w:val="en-US" w:eastAsia="zh-CN"/>
                    </w:rPr>
                    <w:t>工艺废料</w:t>
                  </w:r>
                </w:p>
              </w:tc>
            </w:tr>
            <w:tr w14:paraId="628763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1546" w:type="dxa"/>
                  <w:vMerge w:val="continue"/>
                  <w:noWrap w:val="0"/>
                  <w:vAlign w:val="center"/>
                </w:tcPr>
                <w:p w14:paraId="19935A82">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1331" w:type="dxa"/>
                  <w:vMerge w:val="continue"/>
                  <w:noWrap w:val="0"/>
                  <w:vAlign w:val="center"/>
                </w:tcPr>
                <w:p w14:paraId="386DC473">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3074" w:type="dxa"/>
                  <w:noWrap w:val="0"/>
                  <w:vAlign w:val="center"/>
                </w:tcPr>
                <w:p w14:paraId="6E6E0474">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刷毛</w:t>
                  </w:r>
                </w:p>
              </w:tc>
              <w:tc>
                <w:tcPr>
                  <w:tcW w:w="2208" w:type="dxa"/>
                  <w:noWrap w:val="0"/>
                  <w:vAlign w:val="center"/>
                </w:tcPr>
                <w:p w14:paraId="4129180B">
                  <w:pPr>
                    <w:keepNext w:val="0"/>
                    <w:keepLines w:val="0"/>
                    <w:pageBreakBefore w:val="0"/>
                    <w:widowControl w:val="0"/>
                    <w:kinsoku/>
                    <w:wordWrap/>
                    <w:overflowPunct/>
                    <w:topLinePunct w:val="0"/>
                    <w:autoSpaceDE w:val="0"/>
                    <w:autoSpaceDN w:val="0"/>
                    <w:bidi w:val="0"/>
                    <w:adjustRightInd w:val="0"/>
                    <w:spacing w:beforeAutospacing="0" w:afterAutospacing="0" w:line="240" w:lineRule="auto"/>
                    <w:ind w:left="0" w:leftChars="0" w:right="0" w:rightChars="0" w:firstLine="0" w:firstLineChars="0"/>
                    <w:jc w:val="center"/>
                    <w:textAlignment w:val="auto"/>
                    <w:rPr>
                      <w:rFonts w:hint="eastAsia" w:eastAsia="宋体"/>
                      <w:color w:val="auto"/>
                      <w:szCs w:val="21"/>
                      <w:highlight w:val="none"/>
                      <w:lang w:eastAsia="zh-CN"/>
                    </w:rPr>
                  </w:pPr>
                  <w:r>
                    <w:rPr>
                      <w:rFonts w:hint="eastAsia" w:cs="Times New Roman" w:eastAsiaTheme="minorEastAsia"/>
                      <w:color w:val="auto"/>
                      <w:kern w:val="0"/>
                      <w:szCs w:val="21"/>
                      <w:lang w:val="en-US" w:eastAsia="zh-CN"/>
                    </w:rPr>
                    <w:t>工艺废料</w:t>
                  </w:r>
                </w:p>
              </w:tc>
            </w:tr>
            <w:tr w14:paraId="0E18A6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1546" w:type="dxa"/>
                  <w:vMerge w:val="continue"/>
                  <w:noWrap w:val="0"/>
                  <w:vAlign w:val="center"/>
                </w:tcPr>
                <w:p w14:paraId="16E78970">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1331" w:type="dxa"/>
                  <w:vMerge w:val="continue"/>
                  <w:noWrap w:val="0"/>
                  <w:vAlign w:val="center"/>
                </w:tcPr>
                <w:p w14:paraId="3A65B9F0">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3074" w:type="dxa"/>
                  <w:noWrap w:val="0"/>
                  <w:vAlign w:val="center"/>
                </w:tcPr>
                <w:p w14:paraId="71726A15">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Cs w:val="21"/>
                      <w:lang w:val="en-US" w:eastAsia="zh-CN"/>
                    </w:rPr>
                  </w:pPr>
                  <w:r>
                    <w:rPr>
                      <w:rFonts w:hint="eastAsia" w:cs="Times New Roman" w:eastAsiaTheme="minorEastAsia"/>
                      <w:color w:val="auto"/>
                      <w:kern w:val="0"/>
                      <w:szCs w:val="21"/>
                      <w:lang w:val="en-US" w:eastAsia="zh-CN"/>
                    </w:rPr>
                    <w:t>检验</w:t>
                  </w:r>
                </w:p>
              </w:tc>
              <w:tc>
                <w:tcPr>
                  <w:tcW w:w="2208" w:type="dxa"/>
                  <w:noWrap w:val="0"/>
                  <w:vAlign w:val="center"/>
                </w:tcPr>
                <w:p w14:paraId="133A05A1">
                  <w:pPr>
                    <w:keepNext w:val="0"/>
                    <w:keepLines w:val="0"/>
                    <w:pageBreakBefore w:val="0"/>
                    <w:widowControl w:val="0"/>
                    <w:kinsoku/>
                    <w:wordWrap/>
                    <w:overflowPunct/>
                    <w:topLinePunct w:val="0"/>
                    <w:autoSpaceDE w:val="0"/>
                    <w:autoSpaceDN w:val="0"/>
                    <w:bidi w:val="0"/>
                    <w:adjustRightIn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Cs w:val="21"/>
                      <w:lang w:val="en-US" w:eastAsia="zh-CN"/>
                    </w:rPr>
                  </w:pPr>
                  <w:r>
                    <w:rPr>
                      <w:rFonts w:hint="eastAsia" w:cs="Times New Roman" w:eastAsiaTheme="minorEastAsia"/>
                      <w:color w:val="auto"/>
                      <w:kern w:val="0"/>
                      <w:szCs w:val="21"/>
                      <w:lang w:val="en-US" w:eastAsia="zh-CN"/>
                    </w:rPr>
                    <w:t>不合格产品</w:t>
                  </w:r>
                </w:p>
              </w:tc>
            </w:tr>
            <w:tr w14:paraId="5E0C90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1546" w:type="dxa"/>
                  <w:vMerge w:val="continue"/>
                  <w:noWrap w:val="0"/>
                  <w:vAlign w:val="center"/>
                </w:tcPr>
                <w:p w14:paraId="3671AD39">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1331" w:type="dxa"/>
                  <w:vMerge w:val="continue"/>
                  <w:noWrap w:val="0"/>
                  <w:vAlign w:val="center"/>
                </w:tcPr>
                <w:p w14:paraId="6F8DA249">
                  <w:pPr>
                    <w:keepNext w:val="0"/>
                    <w:keepLines w:val="0"/>
                    <w:suppressLineNumbers w:val="0"/>
                    <w:adjustRightInd w:val="0"/>
                    <w:snapToGrid w:val="0"/>
                    <w:spacing w:before="0" w:beforeAutospacing="0" w:after="0" w:afterAutospacing="0" w:line="360" w:lineRule="exact"/>
                    <w:ind w:left="0" w:right="0"/>
                    <w:jc w:val="center"/>
                    <w:rPr>
                      <w:rFonts w:hint="eastAsia" w:eastAsia="宋体"/>
                      <w:color w:val="auto"/>
                      <w:szCs w:val="21"/>
                      <w:highlight w:val="none"/>
                      <w:lang w:eastAsia="zh-CN"/>
                    </w:rPr>
                  </w:pPr>
                </w:p>
              </w:tc>
              <w:tc>
                <w:tcPr>
                  <w:tcW w:w="3074" w:type="dxa"/>
                  <w:vMerge w:val="restart"/>
                  <w:noWrap w:val="0"/>
                  <w:vAlign w:val="center"/>
                </w:tcPr>
                <w:p w14:paraId="12B2AE97">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eastAsia="宋体"/>
                      <w:color w:val="auto"/>
                      <w:szCs w:val="21"/>
                      <w:highlight w:val="none"/>
                      <w:lang w:eastAsia="zh-CN"/>
                    </w:rPr>
                  </w:pPr>
                  <w:r>
                    <w:rPr>
                      <w:rFonts w:hint="eastAsia"/>
                      <w:color w:val="auto"/>
                      <w:szCs w:val="21"/>
                      <w:highlight w:val="none"/>
                      <w:lang w:val="en-US" w:eastAsia="zh-CN"/>
                    </w:rPr>
                    <w:t>燃生物质</w:t>
                  </w:r>
                  <w:r>
                    <w:rPr>
                      <w:rFonts w:hint="eastAsia" w:ascii="Times New Roman" w:hAnsi="Times New Roman" w:cs="Times New Roman" w:eastAsiaTheme="minorEastAsia"/>
                      <w:color w:val="auto"/>
                      <w:kern w:val="0"/>
                      <w:szCs w:val="21"/>
                      <w:lang w:eastAsia="zh-CN"/>
                    </w:rPr>
                    <w:t>蒸汽锅炉</w:t>
                  </w:r>
                </w:p>
              </w:tc>
              <w:tc>
                <w:tcPr>
                  <w:tcW w:w="2208" w:type="dxa"/>
                  <w:noWrap w:val="0"/>
                  <w:vAlign w:val="center"/>
                </w:tcPr>
                <w:p w14:paraId="439EF704">
                  <w:pPr>
                    <w:keepNext w:val="0"/>
                    <w:keepLines w:val="0"/>
                    <w:pageBreakBefore w:val="0"/>
                    <w:widowControl w:val="0"/>
                    <w:kinsoku/>
                    <w:wordWrap/>
                    <w:overflowPunct/>
                    <w:topLinePunct w:val="0"/>
                    <w:autoSpaceDE w:val="0"/>
                    <w:autoSpaceDN w:val="0"/>
                    <w:bidi w:val="0"/>
                    <w:adjustRightInd w:val="0"/>
                    <w:spacing w:beforeAutospacing="0" w:afterAutospacing="0" w:line="240" w:lineRule="auto"/>
                    <w:ind w:left="0" w:leftChars="0" w:right="0" w:rightChars="0" w:firstLine="0" w:firstLineChars="0"/>
                    <w:jc w:val="center"/>
                    <w:textAlignment w:val="auto"/>
                    <w:rPr>
                      <w:rFonts w:hint="default"/>
                      <w:color w:val="auto"/>
                      <w:highlight w:val="none"/>
                    </w:rPr>
                  </w:pPr>
                  <w:r>
                    <w:rPr>
                      <w:rFonts w:hint="eastAsia" w:ascii="Times New Roman" w:hAnsi="Times New Roman" w:cs="Times New Roman" w:eastAsiaTheme="minorEastAsia"/>
                      <w:color w:val="auto"/>
                      <w:kern w:val="0"/>
                      <w:szCs w:val="21"/>
                      <w:lang w:eastAsia="zh-CN"/>
                    </w:rPr>
                    <w:t>锅炉除尘灰及锅炉灰渣</w:t>
                  </w:r>
                </w:p>
              </w:tc>
            </w:tr>
            <w:tr w14:paraId="76B39A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1546" w:type="dxa"/>
                  <w:vMerge w:val="continue"/>
                  <w:noWrap w:val="0"/>
                  <w:vAlign w:val="center"/>
                </w:tcPr>
                <w:p w14:paraId="6C9E5383">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1331" w:type="dxa"/>
                  <w:vMerge w:val="continue"/>
                  <w:noWrap w:val="0"/>
                  <w:vAlign w:val="center"/>
                </w:tcPr>
                <w:p w14:paraId="149318ED">
                  <w:pPr>
                    <w:keepNext w:val="0"/>
                    <w:keepLines w:val="0"/>
                    <w:suppressLineNumbers w:val="0"/>
                    <w:adjustRightInd w:val="0"/>
                    <w:snapToGrid w:val="0"/>
                    <w:spacing w:before="0" w:beforeAutospacing="0" w:after="0" w:afterAutospacing="0" w:line="360" w:lineRule="exact"/>
                    <w:ind w:left="0" w:right="0"/>
                    <w:jc w:val="center"/>
                    <w:rPr>
                      <w:rFonts w:hint="eastAsia"/>
                      <w:color w:val="auto"/>
                      <w:szCs w:val="21"/>
                      <w:highlight w:val="none"/>
                      <w:lang w:eastAsia="zh-CN"/>
                    </w:rPr>
                  </w:pPr>
                </w:p>
              </w:tc>
              <w:tc>
                <w:tcPr>
                  <w:tcW w:w="3074" w:type="dxa"/>
                  <w:vMerge w:val="continue"/>
                  <w:noWrap w:val="0"/>
                  <w:vAlign w:val="center"/>
                </w:tcPr>
                <w:p w14:paraId="36B98523">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color w:val="auto"/>
                      <w:szCs w:val="21"/>
                      <w:highlight w:val="none"/>
                      <w:lang w:eastAsia="zh-CN"/>
                    </w:rPr>
                  </w:pPr>
                </w:p>
              </w:tc>
              <w:tc>
                <w:tcPr>
                  <w:tcW w:w="2208" w:type="dxa"/>
                  <w:noWrap w:val="0"/>
                  <w:vAlign w:val="center"/>
                </w:tcPr>
                <w:p w14:paraId="021910E2">
                  <w:pPr>
                    <w:keepNext w:val="0"/>
                    <w:keepLines w:val="0"/>
                    <w:pageBreakBefore w:val="0"/>
                    <w:widowControl w:val="0"/>
                    <w:kinsoku/>
                    <w:wordWrap/>
                    <w:overflowPunct/>
                    <w:topLinePunct w:val="0"/>
                    <w:autoSpaceDE w:val="0"/>
                    <w:autoSpaceDN w:val="0"/>
                    <w:bidi w:val="0"/>
                    <w:adjustRightInd w:val="0"/>
                    <w:spacing w:beforeAutospacing="0" w:afterAutospacing="0" w:line="240" w:lineRule="auto"/>
                    <w:ind w:left="0" w:leftChars="0" w:right="0" w:rightChars="0" w:firstLine="0" w:firstLineChars="0"/>
                    <w:jc w:val="center"/>
                    <w:textAlignment w:val="auto"/>
                    <w:rPr>
                      <w:rFonts w:hint="default"/>
                      <w:color w:val="auto"/>
                      <w:szCs w:val="21"/>
                      <w:highlight w:val="none"/>
                    </w:rPr>
                  </w:pPr>
                  <w:r>
                    <w:rPr>
                      <w:rFonts w:hint="eastAsia" w:ascii="Times New Roman" w:hAnsi="Times New Roman" w:cs="Times New Roman" w:eastAsiaTheme="minorEastAsia"/>
                      <w:color w:val="auto"/>
                      <w:kern w:val="0"/>
                      <w:szCs w:val="21"/>
                      <w:lang w:eastAsia="zh-CN"/>
                    </w:rPr>
                    <w:t>废布袋</w:t>
                  </w:r>
                </w:p>
              </w:tc>
            </w:tr>
            <w:tr w14:paraId="15CF71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1546" w:type="dxa"/>
                  <w:vMerge w:val="continue"/>
                  <w:noWrap w:val="0"/>
                  <w:vAlign w:val="center"/>
                </w:tcPr>
                <w:p w14:paraId="5AB3F913">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1331" w:type="dxa"/>
                  <w:vMerge w:val="continue"/>
                  <w:noWrap w:val="0"/>
                  <w:vAlign w:val="center"/>
                </w:tcPr>
                <w:p w14:paraId="5E705649">
                  <w:pPr>
                    <w:keepNext w:val="0"/>
                    <w:keepLines w:val="0"/>
                    <w:suppressLineNumbers w:val="0"/>
                    <w:adjustRightInd w:val="0"/>
                    <w:snapToGrid w:val="0"/>
                    <w:spacing w:before="0" w:beforeAutospacing="0" w:after="0" w:afterAutospacing="0" w:line="360" w:lineRule="exact"/>
                    <w:ind w:left="0" w:right="0"/>
                    <w:jc w:val="center"/>
                    <w:rPr>
                      <w:rFonts w:hint="eastAsia"/>
                      <w:color w:val="auto"/>
                      <w:szCs w:val="21"/>
                      <w:highlight w:val="none"/>
                      <w:lang w:eastAsia="zh-CN"/>
                    </w:rPr>
                  </w:pPr>
                </w:p>
              </w:tc>
              <w:tc>
                <w:tcPr>
                  <w:tcW w:w="3074" w:type="dxa"/>
                  <w:noWrap w:val="0"/>
                  <w:vAlign w:val="center"/>
                </w:tcPr>
                <w:p w14:paraId="3BD6E967">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color w:val="auto"/>
                      <w:szCs w:val="21"/>
                      <w:highlight w:val="none"/>
                      <w:lang w:eastAsia="zh-CN"/>
                    </w:rPr>
                  </w:pPr>
                  <w:r>
                    <w:rPr>
                      <w:rFonts w:hint="eastAsia" w:ascii="Times New Roman" w:hAnsi="Times New Roman" w:cs="Times New Roman" w:eastAsiaTheme="minorEastAsia"/>
                      <w:color w:val="auto"/>
                      <w:kern w:val="0"/>
                      <w:szCs w:val="21"/>
                      <w:lang w:eastAsia="zh-CN"/>
                    </w:rPr>
                    <w:t>软化水处理系统</w:t>
                  </w:r>
                </w:p>
              </w:tc>
              <w:tc>
                <w:tcPr>
                  <w:tcW w:w="2208" w:type="dxa"/>
                  <w:noWrap w:val="0"/>
                  <w:vAlign w:val="center"/>
                </w:tcPr>
                <w:p w14:paraId="055DD2A2">
                  <w:pPr>
                    <w:keepNext w:val="0"/>
                    <w:keepLines w:val="0"/>
                    <w:pageBreakBefore w:val="0"/>
                    <w:widowControl w:val="0"/>
                    <w:kinsoku/>
                    <w:wordWrap/>
                    <w:overflowPunct/>
                    <w:topLinePunct w:val="0"/>
                    <w:autoSpaceDE w:val="0"/>
                    <w:autoSpaceDN w:val="0"/>
                    <w:bidi w:val="0"/>
                    <w:adjustRightInd w:val="0"/>
                    <w:spacing w:beforeAutospacing="0" w:afterAutospacing="0" w:line="240" w:lineRule="auto"/>
                    <w:ind w:left="0" w:leftChars="0" w:right="0" w:rightChars="0" w:firstLine="0" w:firstLineChars="0"/>
                    <w:jc w:val="center"/>
                    <w:textAlignment w:val="auto"/>
                    <w:rPr>
                      <w:rFonts w:hint="default"/>
                      <w:color w:val="auto"/>
                      <w:szCs w:val="21"/>
                      <w:highlight w:val="none"/>
                    </w:rPr>
                  </w:pPr>
                  <w:r>
                    <w:rPr>
                      <w:rFonts w:hint="eastAsia" w:ascii="Times New Roman" w:hAnsi="Times New Roman" w:cs="Times New Roman" w:eastAsiaTheme="minorEastAsia"/>
                      <w:color w:val="auto"/>
                      <w:kern w:val="0"/>
                      <w:szCs w:val="21"/>
                      <w:lang w:eastAsia="zh-CN"/>
                    </w:rPr>
                    <w:t>废离子交换树脂</w:t>
                  </w:r>
                </w:p>
              </w:tc>
            </w:tr>
            <w:tr w14:paraId="717454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1546" w:type="dxa"/>
                  <w:vMerge w:val="continue"/>
                  <w:noWrap w:val="0"/>
                  <w:vAlign w:val="center"/>
                </w:tcPr>
                <w:p w14:paraId="76023809">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1331" w:type="dxa"/>
                  <w:vMerge w:val="continue"/>
                  <w:noWrap w:val="0"/>
                  <w:vAlign w:val="center"/>
                </w:tcPr>
                <w:p w14:paraId="4E89B5A8">
                  <w:pPr>
                    <w:keepNext w:val="0"/>
                    <w:keepLines w:val="0"/>
                    <w:suppressLineNumbers w:val="0"/>
                    <w:adjustRightInd w:val="0"/>
                    <w:snapToGrid w:val="0"/>
                    <w:spacing w:before="0" w:beforeAutospacing="0" w:after="0" w:afterAutospacing="0" w:line="360" w:lineRule="exact"/>
                    <w:ind w:left="0" w:right="0"/>
                    <w:jc w:val="center"/>
                    <w:rPr>
                      <w:rFonts w:hint="eastAsia"/>
                      <w:color w:val="auto"/>
                      <w:szCs w:val="21"/>
                      <w:highlight w:val="none"/>
                      <w:lang w:eastAsia="zh-CN"/>
                    </w:rPr>
                  </w:pPr>
                </w:p>
              </w:tc>
              <w:tc>
                <w:tcPr>
                  <w:tcW w:w="3074" w:type="dxa"/>
                  <w:noWrap w:val="0"/>
                  <w:vAlign w:val="center"/>
                </w:tcPr>
                <w:p w14:paraId="411EECF3">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Cs w:val="21"/>
                      <w:lang w:val="en-US" w:eastAsia="zh-CN"/>
                    </w:rPr>
                  </w:pPr>
                  <w:r>
                    <w:rPr>
                      <w:rFonts w:hint="eastAsia" w:cs="Times New Roman" w:eastAsiaTheme="minorEastAsia"/>
                      <w:color w:val="auto"/>
                      <w:kern w:val="0"/>
                      <w:szCs w:val="21"/>
                      <w:lang w:val="en-US" w:eastAsia="zh-CN"/>
                    </w:rPr>
                    <w:t>设备检修</w:t>
                  </w:r>
                </w:p>
              </w:tc>
              <w:tc>
                <w:tcPr>
                  <w:tcW w:w="2208" w:type="dxa"/>
                  <w:noWrap w:val="0"/>
                  <w:vAlign w:val="center"/>
                </w:tcPr>
                <w:p w14:paraId="76277306">
                  <w:pPr>
                    <w:keepNext w:val="0"/>
                    <w:keepLines w:val="0"/>
                    <w:pageBreakBefore w:val="0"/>
                    <w:widowControl w:val="0"/>
                    <w:kinsoku/>
                    <w:wordWrap/>
                    <w:overflowPunct/>
                    <w:topLinePunct w:val="0"/>
                    <w:autoSpaceDE w:val="0"/>
                    <w:autoSpaceDN w:val="0"/>
                    <w:bidi w:val="0"/>
                    <w:adjustRightIn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Cs w:val="21"/>
                      <w:lang w:val="en-US" w:eastAsia="zh-CN"/>
                    </w:rPr>
                  </w:pPr>
                  <w:r>
                    <w:rPr>
                      <w:rFonts w:hint="eastAsia" w:cs="Times New Roman" w:eastAsiaTheme="minorEastAsia"/>
                      <w:color w:val="auto"/>
                      <w:kern w:val="0"/>
                      <w:szCs w:val="21"/>
                      <w:lang w:val="en-US" w:eastAsia="zh-CN"/>
                    </w:rPr>
                    <w:t>废机油</w:t>
                  </w:r>
                </w:p>
              </w:tc>
            </w:tr>
            <w:tr w14:paraId="46DA18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1546" w:type="dxa"/>
                  <w:vMerge w:val="continue"/>
                  <w:noWrap w:val="0"/>
                  <w:vAlign w:val="center"/>
                </w:tcPr>
                <w:p w14:paraId="1224E0A2">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1331" w:type="dxa"/>
                  <w:noWrap w:val="0"/>
                  <w:vAlign w:val="center"/>
                </w:tcPr>
                <w:p w14:paraId="4979FAE4">
                  <w:pPr>
                    <w:keepNext w:val="0"/>
                    <w:keepLines w:val="0"/>
                    <w:suppressLineNumbers w:val="0"/>
                    <w:adjustRightInd w:val="0"/>
                    <w:snapToGrid w:val="0"/>
                    <w:spacing w:before="0" w:beforeAutospacing="0" w:after="0" w:afterAutospacing="0" w:line="360" w:lineRule="exact"/>
                    <w:ind w:left="0" w:right="0"/>
                    <w:jc w:val="center"/>
                    <w:rPr>
                      <w:rFonts w:hint="eastAsia"/>
                      <w:color w:val="auto"/>
                      <w:szCs w:val="21"/>
                      <w:highlight w:val="none"/>
                      <w:lang w:eastAsia="zh-CN"/>
                    </w:rPr>
                  </w:pPr>
                  <w:r>
                    <w:rPr>
                      <w:rFonts w:hint="eastAsia"/>
                      <w:color w:val="auto"/>
                      <w:szCs w:val="21"/>
                      <w:highlight w:val="none"/>
                      <w:lang w:eastAsia="zh-CN"/>
                    </w:rPr>
                    <w:t>生活区</w:t>
                  </w:r>
                </w:p>
              </w:tc>
              <w:tc>
                <w:tcPr>
                  <w:tcW w:w="3074" w:type="dxa"/>
                  <w:noWrap w:val="0"/>
                  <w:vAlign w:val="center"/>
                </w:tcPr>
                <w:p w14:paraId="60939F09">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color w:val="auto"/>
                      <w:szCs w:val="21"/>
                      <w:highlight w:val="none"/>
                      <w:lang w:eastAsia="zh-CN"/>
                    </w:rPr>
                  </w:pPr>
                  <w:r>
                    <w:rPr>
                      <w:rFonts w:hint="eastAsia" w:ascii="Times New Roman" w:hAnsi="Times New Roman" w:cs="Times New Roman" w:eastAsiaTheme="minorEastAsia"/>
                      <w:color w:val="auto"/>
                      <w:kern w:val="0"/>
                      <w:szCs w:val="21"/>
                      <w:lang w:eastAsia="zh-CN"/>
                    </w:rPr>
                    <w:t>员工生活</w:t>
                  </w:r>
                </w:p>
              </w:tc>
              <w:tc>
                <w:tcPr>
                  <w:tcW w:w="2208" w:type="dxa"/>
                  <w:noWrap w:val="0"/>
                  <w:vAlign w:val="center"/>
                </w:tcPr>
                <w:p w14:paraId="5D9233AF">
                  <w:pPr>
                    <w:keepNext w:val="0"/>
                    <w:keepLines w:val="0"/>
                    <w:pageBreakBefore w:val="0"/>
                    <w:widowControl w:val="0"/>
                    <w:kinsoku/>
                    <w:wordWrap/>
                    <w:overflowPunct/>
                    <w:topLinePunct w:val="0"/>
                    <w:autoSpaceDE w:val="0"/>
                    <w:autoSpaceDN w:val="0"/>
                    <w:bidi w:val="0"/>
                    <w:adjustRightInd w:val="0"/>
                    <w:spacing w:beforeAutospacing="0" w:afterAutospacing="0" w:line="240" w:lineRule="auto"/>
                    <w:ind w:left="0" w:leftChars="0" w:right="0" w:rightChars="0" w:firstLine="0" w:firstLineChars="0"/>
                    <w:jc w:val="center"/>
                    <w:textAlignment w:val="auto"/>
                    <w:rPr>
                      <w:rFonts w:hint="default"/>
                      <w:color w:val="auto"/>
                      <w:szCs w:val="21"/>
                      <w:highlight w:val="none"/>
                    </w:rPr>
                  </w:pPr>
                  <w:r>
                    <w:rPr>
                      <w:rFonts w:hint="eastAsia" w:ascii="Times New Roman" w:hAnsi="Times New Roman" w:cs="Times New Roman" w:eastAsiaTheme="minorEastAsia"/>
                      <w:color w:val="auto"/>
                      <w:kern w:val="0"/>
                      <w:szCs w:val="21"/>
                      <w:lang w:eastAsia="zh-CN"/>
                    </w:rPr>
                    <w:t>生活垃圾</w:t>
                  </w:r>
                </w:p>
              </w:tc>
            </w:tr>
          </w:tbl>
          <w:p w14:paraId="1BEAD9A8">
            <w:pPr>
              <w:keepNext w:val="0"/>
              <w:keepLines w:val="0"/>
              <w:suppressLineNumbers w:val="0"/>
              <w:spacing w:before="0" w:beforeAutospacing="0" w:after="0" w:afterAutospacing="0" w:line="360" w:lineRule="auto"/>
              <w:ind w:left="0" w:right="0"/>
              <w:jc w:val="left"/>
              <w:rPr>
                <w:rFonts w:hint="default" w:ascii="Times New Roman" w:hAnsi="Times New Roman" w:eastAsia="宋体"/>
                <w:bCs/>
                <w:color w:val="auto"/>
                <w:sz w:val="24"/>
                <w:highlight w:val="none"/>
              </w:rPr>
            </w:pPr>
          </w:p>
        </w:tc>
      </w:tr>
      <w:tr w14:paraId="5670B2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86" w:hRule="atLeast"/>
          <w:jc w:val="center"/>
        </w:trPr>
        <w:tc>
          <w:tcPr>
            <w:tcW w:w="651" w:type="dxa"/>
            <w:vAlign w:val="center"/>
          </w:tcPr>
          <w:p w14:paraId="139B5003">
            <w:pPr>
              <w:pStyle w:val="10"/>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宋体"/>
                <w:bCs/>
                <w:color w:val="auto"/>
                <w:kern w:val="2"/>
                <w:sz w:val="21"/>
                <w:szCs w:val="21"/>
                <w:highlight w:val="none"/>
              </w:rPr>
            </w:pPr>
            <w:r>
              <w:rPr>
                <w:rFonts w:hint="default" w:ascii="Times New Roman" w:hAnsi="Times New Roman" w:cs="Times New Roman"/>
                <w:bCs/>
                <w:color w:val="auto"/>
                <w:sz w:val="21"/>
                <w:szCs w:val="21"/>
                <w:highlight w:val="none"/>
              </w:rPr>
              <w:t>与项目有关的原有环境污染问题</w:t>
            </w:r>
          </w:p>
        </w:tc>
        <w:tc>
          <w:tcPr>
            <w:tcW w:w="8409" w:type="dxa"/>
          </w:tcPr>
          <w:p w14:paraId="15CA6FF0">
            <w:pPr>
              <w:pStyle w:val="30"/>
              <w:keepNext w:val="0"/>
              <w:keepLines w:val="0"/>
              <w:pageBreakBefore w:val="0"/>
              <w:widowControl w:val="0"/>
              <w:kinsoku/>
              <w:wordWrap w:val="0"/>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、基本情况</w:t>
            </w:r>
          </w:p>
          <w:p w14:paraId="26CB8F0E">
            <w:pPr>
              <w:pStyle w:val="30"/>
              <w:keepNext w:val="0"/>
              <w:keepLines w:val="0"/>
              <w:pageBreakBefore w:val="0"/>
              <w:widowControl w:val="0"/>
              <w:kinsoku/>
              <w:wordWrap w:val="0"/>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本项目位于</w:t>
            </w:r>
            <w:r>
              <w:rPr>
                <w:rFonts w:hint="eastAsia" w:ascii="Times New Roman" w:hAnsi="Times New Roman" w:eastAsia="宋体" w:cs="Times New Roman"/>
                <w:color w:val="auto"/>
                <w:spacing w:val="4"/>
                <w:sz w:val="24"/>
                <w:highlight w:val="none"/>
                <w:lang w:val="en-US" w:eastAsia="zh-CN"/>
              </w:rPr>
              <w:t>双鸭山市尖山区安邦乡公立村</w:t>
            </w:r>
            <w:r>
              <w:rPr>
                <w:rFonts w:hint="eastAsia" w:ascii="Times New Roman" w:hAnsi="Times New Roman" w:eastAsia="宋体" w:cs="Times New Roman"/>
                <w:color w:val="auto"/>
                <w:sz w:val="24"/>
                <w:szCs w:val="24"/>
                <w:lang w:val="en-US" w:eastAsia="zh-CN"/>
              </w:rPr>
              <w:t>，租赁</w:t>
            </w:r>
            <w:r>
              <w:rPr>
                <w:rFonts w:hint="eastAsia" w:cs="Times New Roman"/>
                <w:color w:val="auto"/>
                <w:spacing w:val="4"/>
                <w:sz w:val="24"/>
                <w:highlight w:val="none"/>
                <w:lang w:val="en-US" w:eastAsia="zh-CN"/>
              </w:rPr>
              <w:t>双鸭山市安邦乡公立村小学场地建设</w:t>
            </w:r>
            <w:r>
              <w:rPr>
                <w:rFonts w:hint="eastAsia"/>
                <w:color w:val="auto"/>
                <w:spacing w:val="4"/>
                <w:sz w:val="24"/>
                <w:szCs w:val="24"/>
              </w:rPr>
              <w:t>，</w:t>
            </w:r>
            <w:r>
              <w:rPr>
                <w:rFonts w:hint="eastAsia"/>
                <w:color w:val="auto"/>
                <w:sz w:val="24"/>
                <w:szCs w:val="24"/>
              </w:rPr>
              <w:t>用地性质为工业用地。</w:t>
            </w:r>
            <w:r>
              <w:rPr>
                <w:rFonts w:hint="eastAsia"/>
                <w:color w:val="auto"/>
                <w:sz w:val="24"/>
                <w:szCs w:val="24"/>
                <w:lang w:val="en-US" w:eastAsia="zh-CN"/>
              </w:rPr>
              <w:t>该地块原是</w:t>
            </w:r>
            <w:r>
              <w:rPr>
                <w:rFonts w:hint="eastAsia" w:cs="Times New Roman"/>
                <w:color w:val="auto"/>
                <w:spacing w:val="4"/>
                <w:sz w:val="24"/>
                <w:highlight w:val="none"/>
                <w:lang w:val="en-US" w:eastAsia="zh-CN"/>
              </w:rPr>
              <w:t>双鸭山市安邦乡公立村小学</w:t>
            </w:r>
            <w:r>
              <w:rPr>
                <w:rFonts w:hint="eastAsia" w:ascii="Times New Roman" w:hAnsi="Times New Roman" w:eastAsia="宋体" w:cs="Times New Roman"/>
                <w:color w:val="auto"/>
                <w:sz w:val="24"/>
                <w:szCs w:val="24"/>
                <w:lang w:val="en-US" w:eastAsia="zh-CN"/>
              </w:rPr>
              <w:t>，后于</w:t>
            </w:r>
            <w:r>
              <w:rPr>
                <w:rFonts w:hint="eastAsia" w:ascii="Times New Roman" w:hAnsi="Times New Roman" w:cs="Times New Roman"/>
                <w:color w:val="auto"/>
                <w:sz w:val="24"/>
                <w:szCs w:val="24"/>
                <w:lang w:val="en-US" w:eastAsia="zh-CN"/>
              </w:rPr>
              <w:t>2019</w:t>
            </w:r>
            <w:r>
              <w:rPr>
                <w:rFonts w:hint="eastAsia" w:ascii="Times New Roman" w:hAnsi="Times New Roman" w:eastAsia="宋体" w:cs="Times New Roman"/>
                <w:color w:val="auto"/>
                <w:sz w:val="24"/>
                <w:szCs w:val="24"/>
                <w:lang w:val="en-US" w:eastAsia="zh-CN"/>
              </w:rPr>
              <w:t>年停止</w:t>
            </w:r>
            <w:r>
              <w:rPr>
                <w:rFonts w:hint="eastAsia" w:ascii="Times New Roman" w:hAnsi="Times New Roman" w:cs="Times New Roman"/>
                <w:color w:val="auto"/>
                <w:sz w:val="24"/>
                <w:szCs w:val="24"/>
                <w:lang w:val="en-US" w:eastAsia="zh-CN"/>
              </w:rPr>
              <w:t>办学</w:t>
            </w:r>
            <w:r>
              <w:rPr>
                <w:rFonts w:hint="eastAsia" w:ascii="Times New Roman" w:hAnsi="Times New Roman" w:eastAsia="宋体" w:cs="Times New Roman"/>
                <w:color w:val="auto"/>
                <w:sz w:val="24"/>
                <w:szCs w:val="24"/>
                <w:lang w:val="en-US" w:eastAsia="zh-CN"/>
              </w:rPr>
              <w:t>，</w:t>
            </w:r>
            <w:r>
              <w:rPr>
                <w:rFonts w:hint="eastAsia" w:ascii="Times New Roman" w:hAnsi="Times New Roman" w:cs="Times New Roman"/>
                <w:color w:val="auto"/>
                <w:sz w:val="24"/>
                <w:szCs w:val="24"/>
                <w:lang w:val="en-US" w:eastAsia="zh-CN"/>
              </w:rPr>
              <w:t>停办</w:t>
            </w:r>
            <w:r>
              <w:rPr>
                <w:rFonts w:hint="eastAsia" w:ascii="Times New Roman" w:hAnsi="Times New Roman" w:eastAsia="宋体" w:cs="Times New Roman"/>
                <w:color w:val="auto"/>
                <w:sz w:val="24"/>
                <w:szCs w:val="24"/>
                <w:lang w:val="en-US" w:eastAsia="zh-CN"/>
              </w:rPr>
              <w:t>后场地闲置。20</w:t>
            </w:r>
            <w:r>
              <w:rPr>
                <w:rFonts w:hint="eastAsia" w:ascii="Times New Roman" w:hAnsi="Times New Roman" w:cs="Times New Roman"/>
                <w:color w:val="auto"/>
                <w:sz w:val="24"/>
                <w:szCs w:val="24"/>
                <w:lang w:val="en-US" w:eastAsia="zh-CN"/>
              </w:rPr>
              <w:t>20</w:t>
            </w:r>
            <w:r>
              <w:rPr>
                <w:rFonts w:hint="eastAsia" w:ascii="Times New Roman" w:hAnsi="Times New Roman" w:eastAsia="宋体" w:cs="Times New Roman"/>
                <w:color w:val="auto"/>
                <w:sz w:val="24"/>
                <w:szCs w:val="24"/>
                <w:lang w:val="en-US" w:eastAsia="zh-CN"/>
              </w:rPr>
              <w:t>年</w:t>
            </w:r>
            <w:r>
              <w:rPr>
                <w:rFonts w:hint="eastAsia" w:ascii="Times New Roman" w:hAnsi="Times New Roman" w:cs="Times New Roman"/>
                <w:color w:val="auto"/>
                <w:sz w:val="24"/>
                <w:szCs w:val="24"/>
                <w:lang w:val="en-US" w:eastAsia="zh-CN"/>
              </w:rPr>
              <w:t>7</w:t>
            </w:r>
            <w:r>
              <w:rPr>
                <w:rFonts w:hint="eastAsia" w:ascii="Times New Roman" w:hAnsi="Times New Roman" w:eastAsia="宋体" w:cs="Times New Roman"/>
                <w:color w:val="auto"/>
                <w:sz w:val="24"/>
                <w:szCs w:val="24"/>
                <w:lang w:val="en-US" w:eastAsia="zh-CN"/>
              </w:rPr>
              <w:t>月</w:t>
            </w:r>
            <w:r>
              <w:rPr>
                <w:rFonts w:hint="eastAsia" w:ascii="Times New Roman" w:hAnsi="Times New Roman" w:cs="Times New Roman"/>
                <w:color w:val="auto"/>
                <w:sz w:val="24"/>
                <w:szCs w:val="24"/>
                <w:lang w:val="en-US" w:eastAsia="zh-CN"/>
              </w:rPr>
              <w:t>双鸭山市安邦乡公立村民委员会</w:t>
            </w:r>
            <w:r>
              <w:rPr>
                <w:rFonts w:hint="eastAsia" w:ascii="Times New Roman" w:hAnsi="Times New Roman" w:eastAsia="宋体" w:cs="Times New Roman"/>
                <w:color w:val="auto"/>
                <w:sz w:val="24"/>
                <w:szCs w:val="24"/>
                <w:lang w:val="en-US" w:eastAsia="zh-CN"/>
              </w:rPr>
              <w:t>将场地租赁给双鸭山市尖山区众诚种植养殖农民专业合作社使用。</w:t>
            </w:r>
            <w:r>
              <w:rPr>
                <w:rFonts w:hint="eastAsia" w:ascii="Times New Roman" w:hAnsi="Times New Roman" w:cs="Times New Roman"/>
                <w:color w:val="auto"/>
                <w:sz w:val="24"/>
                <w:szCs w:val="24"/>
                <w:lang w:val="en-US" w:eastAsia="zh-CN"/>
              </w:rPr>
              <w:t>项目于2021年4月开工建设，于2021年6月建设完成。主要建设内容包括：玉米加工车间、库房及加工供热设备。</w:t>
            </w:r>
            <w:r>
              <w:rPr>
                <w:rFonts w:hint="eastAsia" w:cs="Times New Roman"/>
                <w:color w:val="auto"/>
                <w:sz w:val="24"/>
                <w:szCs w:val="24"/>
                <w:lang w:val="en-US" w:eastAsia="zh-CN"/>
              </w:rPr>
              <w:t>建设完成后未进行生产。</w:t>
            </w:r>
            <w:r>
              <w:rPr>
                <w:rFonts w:hint="eastAsia" w:ascii="Times New Roman" w:hAnsi="Times New Roman" w:cs="Times New Roman"/>
                <w:color w:val="auto"/>
                <w:sz w:val="24"/>
                <w:szCs w:val="24"/>
                <w:lang w:val="en-US" w:eastAsia="zh-CN"/>
              </w:rPr>
              <w:t>2024年末双鸭山市尖山生态环境局对其检查发现其“未批先建”违法行为，2025年8月双鸭山市尖山生态环境局对该项目</w:t>
            </w:r>
            <w:r>
              <w:rPr>
                <w:rFonts w:hint="eastAsia"/>
                <w:color w:val="auto"/>
                <w:sz w:val="24"/>
                <w:szCs w:val="24"/>
                <w:lang w:val="en-US" w:eastAsia="zh-CN"/>
              </w:rPr>
              <w:t>“未批先建”行为免于立案处罚。</w:t>
            </w:r>
          </w:p>
          <w:p w14:paraId="0F4A8B47">
            <w:pPr>
              <w:pStyle w:val="30"/>
              <w:keepNext w:val="0"/>
              <w:keepLines w:val="0"/>
              <w:pageBreakBefore w:val="0"/>
              <w:widowControl w:val="0"/>
              <w:kinsoku/>
              <w:wordWrap w:val="0"/>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、现有环境问题</w:t>
            </w:r>
          </w:p>
          <w:p w14:paraId="756A0127">
            <w:pPr>
              <w:pStyle w:val="30"/>
              <w:keepNext w:val="0"/>
              <w:keepLines w:val="0"/>
              <w:pageBreakBefore w:val="0"/>
              <w:widowControl w:val="0"/>
              <w:kinsoku/>
              <w:wordWrap w:val="0"/>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color w:val="auto"/>
                <w:sz w:val="24"/>
                <w:szCs w:val="24"/>
                <w:lang w:val="en-US" w:eastAsia="zh-CN"/>
              </w:rPr>
              <w:t>企业在</w:t>
            </w:r>
            <w:r>
              <w:rPr>
                <w:rFonts w:hint="eastAsia" w:ascii="Times New Roman" w:hAnsi="Times New Roman" w:eastAsia="宋体" w:cs="Times New Roman"/>
                <w:color w:val="auto"/>
                <w:sz w:val="24"/>
                <w:szCs w:val="24"/>
                <w:lang w:val="en-US" w:eastAsia="zh-CN"/>
              </w:rPr>
              <w:t>未办理环评手续情况下</w:t>
            </w:r>
            <w:r>
              <w:rPr>
                <w:rFonts w:hint="eastAsia" w:cs="Times New Roman"/>
                <w:color w:val="auto"/>
                <w:sz w:val="24"/>
                <w:szCs w:val="24"/>
                <w:lang w:val="en-US" w:eastAsia="zh-CN"/>
              </w:rPr>
              <w:t>开始</w:t>
            </w:r>
            <w:r>
              <w:rPr>
                <w:rFonts w:hint="eastAsia" w:ascii="Times New Roman" w:hAnsi="Times New Roman" w:eastAsia="宋体" w:cs="Times New Roman"/>
                <w:color w:val="auto"/>
                <w:sz w:val="24"/>
                <w:szCs w:val="24"/>
                <w:lang w:val="en-US" w:eastAsia="zh-CN"/>
              </w:rPr>
              <w:t>建设项目</w:t>
            </w:r>
            <w:r>
              <w:rPr>
                <w:rFonts w:hint="eastAsia" w:ascii="Times New Roman" w:hAnsi="Times New Roman" w:cs="Times New Roman"/>
                <w:color w:val="auto"/>
                <w:sz w:val="24"/>
                <w:szCs w:val="24"/>
                <w:lang w:val="en-US" w:eastAsia="zh-CN"/>
              </w:rPr>
              <w:t>。</w:t>
            </w:r>
          </w:p>
          <w:p w14:paraId="68DBF8D2">
            <w:pPr>
              <w:pStyle w:val="30"/>
              <w:keepNext w:val="0"/>
              <w:keepLines w:val="0"/>
              <w:pageBreakBefore w:val="0"/>
              <w:widowControl w:val="0"/>
              <w:kinsoku/>
              <w:wordWrap w:val="0"/>
              <w:overflowPunct/>
              <w:topLinePunct w:val="0"/>
              <w:autoSpaceDE/>
              <w:autoSpaceDN/>
              <w:bidi w:val="0"/>
              <w:adjustRightInd w:val="0"/>
              <w:snapToGrid w:val="0"/>
              <w:spacing w:after="0" w:line="360" w:lineRule="auto"/>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3</w:t>
            </w:r>
            <w:r>
              <w:rPr>
                <w:rFonts w:hint="eastAsia" w:ascii="Times New Roman" w:hAnsi="Times New Roman" w:eastAsia="宋体" w:cs="Times New Roman"/>
                <w:color w:val="auto"/>
                <w:sz w:val="24"/>
                <w:szCs w:val="24"/>
                <w:lang w:val="en-US" w:eastAsia="zh-CN"/>
              </w:rPr>
              <w:t>、整改措施</w:t>
            </w:r>
          </w:p>
          <w:p w14:paraId="0CC198BE">
            <w:pPr>
              <w:pStyle w:val="30"/>
              <w:spacing w:after="0" w:line="360" w:lineRule="auto"/>
              <w:ind w:firstLine="480" w:firstLineChars="200"/>
              <w:rPr>
                <w:rFonts w:hint="eastAsia"/>
                <w:color w:val="auto"/>
              </w:rPr>
            </w:pPr>
            <w:r>
              <w:rPr>
                <w:rFonts w:hint="eastAsia" w:ascii="Times New Roman" w:hAnsi="Times New Roman" w:eastAsia="宋体" w:cs="Times New Roman"/>
                <w:color w:val="auto"/>
                <w:sz w:val="24"/>
                <w:szCs w:val="24"/>
                <w:lang w:val="en-US" w:eastAsia="zh-CN"/>
              </w:rPr>
              <w:t>企业立即停止建设，并办理相关环保手续，在取得相关环保手续前不得开工建设</w:t>
            </w:r>
            <w:r>
              <w:rPr>
                <w:rFonts w:hint="eastAsia" w:ascii="Times New Roman" w:hAnsi="Times New Roman" w:cs="Times New Roman"/>
                <w:color w:val="auto"/>
                <w:sz w:val="24"/>
                <w:szCs w:val="24"/>
                <w:lang w:val="en-US" w:eastAsia="zh-CN"/>
              </w:rPr>
              <w:t>。</w:t>
            </w:r>
          </w:p>
          <w:p w14:paraId="4BA1513D">
            <w:pPr>
              <w:pStyle w:val="30"/>
              <w:keepNext w:val="0"/>
              <w:keepLines w:val="0"/>
              <w:pageBreakBefore w:val="0"/>
              <w:widowControl w:val="0"/>
              <w:kinsoku/>
              <w:wordWrap w:val="0"/>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eastAsia="宋体" w:cs="Times New Roman"/>
                <w:color w:val="auto"/>
                <w:sz w:val="24"/>
                <w:szCs w:val="32"/>
                <w:lang w:val="en-US" w:eastAsia="zh-CN"/>
              </w:rPr>
            </w:pPr>
          </w:p>
          <w:p w14:paraId="3DA771E2">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default" w:ascii="Times New Roman" w:hAnsi="Times New Roman" w:eastAsia="宋体" w:cs="Times New Roman"/>
                <w:color w:val="auto"/>
                <w:kern w:val="2"/>
                <w:sz w:val="24"/>
                <w:szCs w:val="32"/>
                <w:highlight w:val="none"/>
                <w:lang w:val="en-US" w:eastAsia="zh-CN" w:bidi="ar-SA"/>
              </w:rPr>
            </w:pPr>
          </w:p>
          <w:p w14:paraId="583A2C8D">
            <w:pPr>
              <w:keepNext w:val="0"/>
              <w:keepLines w:val="0"/>
              <w:suppressLineNumbers w:val="0"/>
              <w:spacing w:before="0" w:beforeAutospacing="0" w:after="0" w:afterAutospacing="0"/>
              <w:ind w:left="0" w:right="0"/>
              <w:rPr>
                <w:rFonts w:hint="default"/>
                <w:color w:val="auto"/>
              </w:rPr>
            </w:pPr>
          </w:p>
          <w:p w14:paraId="3F37C888">
            <w:pPr>
              <w:pStyle w:val="15"/>
              <w:rPr>
                <w:rFonts w:hint="default"/>
                <w:color w:val="auto"/>
                <w:highlight w:val="none"/>
              </w:rPr>
            </w:pPr>
          </w:p>
          <w:p w14:paraId="1C84D887">
            <w:pPr>
              <w:pStyle w:val="15"/>
              <w:rPr>
                <w:rFonts w:hint="default"/>
                <w:color w:val="auto"/>
                <w:highlight w:val="none"/>
              </w:rPr>
            </w:pPr>
          </w:p>
          <w:p w14:paraId="0A85A0BA">
            <w:pPr>
              <w:keepNext w:val="0"/>
              <w:keepLines w:val="0"/>
              <w:suppressLineNumbers w:val="0"/>
              <w:spacing w:before="0" w:beforeAutospacing="0" w:after="0" w:afterAutospacing="0"/>
              <w:ind w:left="0" w:right="0"/>
              <w:rPr>
                <w:rFonts w:hint="default"/>
                <w:color w:val="auto"/>
              </w:rPr>
            </w:pPr>
          </w:p>
          <w:p w14:paraId="4A426C6C">
            <w:pPr>
              <w:pStyle w:val="15"/>
              <w:ind w:left="0" w:leftChars="0" w:firstLine="0" w:firstLineChars="0"/>
              <w:rPr>
                <w:rFonts w:hint="default"/>
                <w:color w:val="auto"/>
                <w:highlight w:val="none"/>
              </w:rPr>
            </w:pPr>
          </w:p>
        </w:tc>
      </w:tr>
      <w:bookmarkEnd w:id="4"/>
    </w:tbl>
    <w:p w14:paraId="61FF5DC5">
      <w:pPr>
        <w:spacing w:line="360" w:lineRule="auto"/>
        <w:outlineLvl w:val="0"/>
        <w:rPr>
          <w:color w:val="auto"/>
          <w:sz w:val="30"/>
        </w:rPr>
        <w:sectPr>
          <w:pgSz w:w="11906" w:h="16838"/>
          <w:pgMar w:top="1701" w:right="1531" w:bottom="1701" w:left="1531" w:header="851" w:footer="1077" w:gutter="0"/>
          <w:pgBorders>
            <w:top w:val="none" w:sz="0" w:space="0"/>
            <w:left w:val="none" w:sz="0" w:space="0"/>
            <w:bottom w:val="none" w:sz="0" w:space="0"/>
            <w:right w:val="none" w:sz="0" w:space="0"/>
          </w:pgBorders>
          <w:pgNumType w:fmt="decimal"/>
          <w:cols w:space="720" w:num="1"/>
          <w:docGrid w:linePitch="312" w:charSpace="0"/>
        </w:sectPr>
      </w:pPr>
    </w:p>
    <w:p w14:paraId="052BD1B4">
      <w:pPr>
        <w:pStyle w:val="27"/>
        <w:spacing w:before="0" w:beforeAutospacing="0" w:after="0" w:afterAutospacing="0"/>
        <w:jc w:val="center"/>
        <w:outlineLvl w:val="0"/>
        <w:rPr>
          <w:rFonts w:ascii="Times New Roman" w:hAnsi="Times New Roman"/>
          <w:b/>
          <w:snapToGrid w:val="0"/>
          <w:color w:val="auto"/>
          <w:sz w:val="30"/>
          <w:szCs w:val="30"/>
        </w:rPr>
      </w:pPr>
      <w:bookmarkStart w:id="11" w:name="_Toc21339"/>
      <w:r>
        <w:rPr>
          <w:rFonts w:ascii="Times New Roman" w:hAnsi="Times New Roman"/>
          <w:b/>
          <w:snapToGrid w:val="0"/>
          <w:color w:val="auto"/>
          <w:sz w:val="30"/>
          <w:szCs w:val="30"/>
        </w:rPr>
        <w:t>三、区域环境质量现状、环境保护目标及评价标准</w:t>
      </w:r>
      <w:bookmarkEnd w:id="11"/>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79"/>
        <w:gridCol w:w="8382"/>
      </w:tblGrid>
      <w:tr w14:paraId="28DA4C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3" w:hRule="atLeast"/>
          <w:jc w:val="center"/>
        </w:trPr>
        <w:tc>
          <w:tcPr>
            <w:tcW w:w="374" w:type="pct"/>
            <w:vAlign w:val="center"/>
          </w:tcPr>
          <w:p w14:paraId="5C8123C2">
            <w:pPr>
              <w:adjustRightInd w:val="0"/>
              <w:snapToGrid w:val="0"/>
              <w:jc w:val="center"/>
              <w:rPr>
                <w:b/>
                <w:bCs/>
                <w:color w:val="auto"/>
                <w:kern w:val="0"/>
                <w:szCs w:val="21"/>
              </w:rPr>
            </w:pPr>
            <w:r>
              <w:rPr>
                <w:b/>
                <w:bCs/>
                <w:color w:val="auto"/>
                <w:kern w:val="0"/>
                <w:szCs w:val="21"/>
              </w:rPr>
              <w:t>区域</w:t>
            </w:r>
          </w:p>
          <w:p w14:paraId="5365A116">
            <w:pPr>
              <w:adjustRightInd w:val="0"/>
              <w:snapToGrid w:val="0"/>
              <w:jc w:val="center"/>
              <w:rPr>
                <w:b/>
                <w:bCs/>
                <w:color w:val="auto"/>
                <w:kern w:val="0"/>
                <w:szCs w:val="21"/>
              </w:rPr>
            </w:pPr>
            <w:r>
              <w:rPr>
                <w:b/>
                <w:bCs/>
                <w:color w:val="auto"/>
                <w:kern w:val="0"/>
                <w:szCs w:val="21"/>
              </w:rPr>
              <w:t>环境</w:t>
            </w:r>
          </w:p>
          <w:p w14:paraId="16606778">
            <w:pPr>
              <w:adjustRightInd w:val="0"/>
              <w:snapToGrid w:val="0"/>
              <w:jc w:val="center"/>
              <w:rPr>
                <w:b/>
                <w:bCs/>
                <w:color w:val="auto"/>
                <w:kern w:val="0"/>
                <w:szCs w:val="21"/>
              </w:rPr>
            </w:pPr>
            <w:r>
              <w:rPr>
                <w:b/>
                <w:bCs/>
                <w:color w:val="auto"/>
                <w:kern w:val="0"/>
                <w:szCs w:val="21"/>
              </w:rPr>
              <w:t>质量</w:t>
            </w:r>
          </w:p>
          <w:p w14:paraId="36E3EA53">
            <w:pPr>
              <w:adjustRightInd w:val="0"/>
              <w:snapToGrid w:val="0"/>
              <w:jc w:val="center"/>
              <w:rPr>
                <w:b/>
                <w:bCs/>
                <w:color w:val="auto"/>
                <w:kern w:val="0"/>
                <w:szCs w:val="21"/>
              </w:rPr>
            </w:pPr>
            <w:r>
              <w:rPr>
                <w:b/>
                <w:bCs/>
                <w:color w:val="auto"/>
                <w:kern w:val="0"/>
                <w:szCs w:val="21"/>
              </w:rPr>
              <w:t>现状</w:t>
            </w:r>
          </w:p>
        </w:tc>
        <w:tc>
          <w:tcPr>
            <w:tcW w:w="4625" w:type="pct"/>
            <w:vAlign w:val="center"/>
          </w:tcPr>
          <w:p w14:paraId="53951D7F">
            <w:pPr>
              <w:pStyle w:val="80"/>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0" w:leftChars="0" w:firstLine="480" w:firstLineChars="200"/>
              <w:textAlignment w:val="auto"/>
              <w:rPr>
                <w:rFonts w:hint="eastAsia" w:ascii="Times New Roman" w:hAnsi="Times New Roman" w:eastAsia="宋体" w:cs="Times New Roman"/>
                <w:color w:val="auto"/>
                <w:kern w:val="0"/>
                <w:sz w:val="24"/>
                <w:szCs w:val="28"/>
                <w:lang w:val="en-US" w:eastAsia="zh-CN" w:bidi="ar-SA"/>
              </w:rPr>
            </w:pPr>
            <w:r>
              <w:rPr>
                <w:rFonts w:hint="eastAsia" w:ascii="Times New Roman" w:hAnsi="Times New Roman" w:eastAsia="宋体" w:cs="Times New Roman"/>
                <w:color w:val="auto"/>
                <w:kern w:val="0"/>
                <w:sz w:val="24"/>
                <w:szCs w:val="28"/>
                <w:lang w:val="en-US" w:eastAsia="zh-CN" w:bidi="ar-SA"/>
              </w:rPr>
              <w:t>1、大气环境质量现状</w:t>
            </w:r>
          </w:p>
          <w:p w14:paraId="46DD82F4">
            <w:pPr>
              <w:pStyle w:val="80"/>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0" w:leftChars="0" w:firstLine="480" w:firstLineChars="200"/>
              <w:textAlignment w:val="auto"/>
              <w:rPr>
                <w:rFonts w:hint="eastAsia" w:ascii="Times New Roman" w:hAnsi="Times New Roman" w:eastAsia="宋体" w:cs="Times New Roman"/>
                <w:color w:val="auto"/>
                <w:kern w:val="0"/>
                <w:sz w:val="24"/>
                <w:szCs w:val="28"/>
                <w:lang w:val="en-US" w:eastAsia="zh-CN" w:bidi="ar-SA"/>
              </w:rPr>
            </w:pPr>
            <w:r>
              <w:rPr>
                <w:rFonts w:hint="eastAsia" w:ascii="Times New Roman" w:hAnsi="Times New Roman" w:eastAsia="宋体" w:cs="Times New Roman"/>
                <w:color w:val="auto"/>
                <w:kern w:val="0"/>
                <w:sz w:val="24"/>
                <w:szCs w:val="28"/>
                <w:lang w:val="en-US" w:eastAsia="zh-CN" w:bidi="ar-SA"/>
              </w:rPr>
              <w:t>（1）项目所在区域环境质量达标情况</w:t>
            </w:r>
          </w:p>
          <w:p w14:paraId="30A8AF17">
            <w:pPr>
              <w:keepNext w:val="0"/>
              <w:keepLines w:val="0"/>
              <w:pageBreakBefore w:val="0"/>
              <w:widowControl/>
              <w:kinsoku/>
              <w:wordWrap w:val="0"/>
              <w:overflowPunct/>
              <w:topLinePunct w:val="0"/>
              <w:autoSpaceDE/>
              <w:autoSpaceDN/>
              <w:bidi w:val="0"/>
              <w:adjustRightInd w:val="0"/>
              <w:snapToGrid w:val="0"/>
              <w:spacing w:line="360" w:lineRule="auto"/>
              <w:ind w:left="0" w:firstLine="480" w:firstLineChars="200"/>
              <w:jc w:val="left"/>
              <w:textAlignment w:val="auto"/>
              <w:rPr>
                <w:rFonts w:hint="default" w:ascii="Times New Roman" w:hAnsi="Times New Roman" w:eastAsia="宋体" w:cs="Times New Roman"/>
                <w:color w:val="auto"/>
                <w:kern w:val="0"/>
                <w:sz w:val="24"/>
                <w:szCs w:val="28"/>
                <w:lang w:val="en-US" w:eastAsia="zh-CN" w:bidi="ar-SA"/>
              </w:rPr>
            </w:pPr>
            <w:r>
              <w:rPr>
                <w:rFonts w:hint="default" w:ascii="Times New Roman" w:hAnsi="Times New Roman" w:eastAsia="宋体" w:cs="Times New Roman"/>
                <w:color w:val="auto"/>
                <w:kern w:val="0"/>
                <w:sz w:val="24"/>
                <w:szCs w:val="28"/>
                <w:lang w:val="en-US" w:eastAsia="zh-CN" w:bidi="ar-SA"/>
              </w:rPr>
              <w:t>根据《2024年黑龙江省生态环境质量状况》给出的数据，双鸭山市空气质量级别达二级标准，达标天数为352天</w:t>
            </w:r>
            <w:r>
              <w:rPr>
                <w:rFonts w:hint="eastAsia" w:ascii="Times New Roman" w:hAnsi="Times New Roman" w:eastAsia="宋体" w:cs="Times New Roman"/>
                <w:color w:val="auto"/>
                <w:kern w:val="0"/>
                <w:sz w:val="24"/>
                <w:szCs w:val="28"/>
                <w:lang w:val="en-US" w:eastAsia="zh-CN" w:bidi="ar-SA"/>
              </w:rPr>
              <w:t>（</w:t>
            </w:r>
            <w:r>
              <w:rPr>
                <w:rFonts w:hint="default" w:ascii="Times New Roman" w:hAnsi="Times New Roman" w:eastAsia="宋体" w:cs="Times New Roman"/>
                <w:color w:val="auto"/>
                <w:kern w:val="0"/>
                <w:sz w:val="24"/>
                <w:szCs w:val="28"/>
                <w:lang w:val="en-US" w:eastAsia="zh-CN" w:bidi="ar-SA"/>
              </w:rPr>
              <w:t>96.2%</w:t>
            </w:r>
            <w:r>
              <w:rPr>
                <w:rFonts w:hint="eastAsia" w:ascii="Times New Roman" w:hAnsi="Times New Roman" w:eastAsia="宋体" w:cs="Times New Roman"/>
                <w:color w:val="auto"/>
                <w:kern w:val="0"/>
                <w:sz w:val="24"/>
                <w:szCs w:val="28"/>
                <w:lang w:val="en-US" w:eastAsia="zh-CN" w:bidi="ar-SA"/>
              </w:rPr>
              <w:t>）</w:t>
            </w:r>
            <w:r>
              <w:rPr>
                <w:rFonts w:hint="default" w:ascii="Times New Roman" w:hAnsi="Times New Roman" w:eastAsia="宋体" w:cs="Times New Roman"/>
                <w:color w:val="auto"/>
                <w:kern w:val="0"/>
                <w:sz w:val="24"/>
                <w:szCs w:val="28"/>
                <w:lang w:val="en-US" w:eastAsia="zh-CN" w:bidi="ar-SA"/>
              </w:rPr>
              <w:t>。PM</w:t>
            </w:r>
            <w:r>
              <w:rPr>
                <w:rFonts w:hint="default" w:ascii="Times New Roman" w:hAnsi="Times New Roman" w:eastAsia="宋体" w:cs="Times New Roman"/>
                <w:color w:val="auto"/>
                <w:kern w:val="0"/>
                <w:sz w:val="24"/>
                <w:szCs w:val="28"/>
                <w:vertAlign w:val="subscript"/>
                <w:lang w:val="en-US" w:eastAsia="zh-CN" w:bidi="ar-SA"/>
              </w:rPr>
              <w:t>2</w:t>
            </w:r>
            <w:r>
              <w:rPr>
                <w:rFonts w:hint="eastAsia" w:ascii="Times New Roman" w:hAnsi="Times New Roman" w:cs="Times New Roman"/>
                <w:color w:val="auto"/>
                <w:kern w:val="0"/>
                <w:sz w:val="24"/>
                <w:szCs w:val="28"/>
                <w:vertAlign w:val="subscript"/>
                <w:lang w:val="en-US" w:eastAsia="zh-CN" w:bidi="ar-SA"/>
              </w:rPr>
              <w:t>.</w:t>
            </w:r>
            <w:r>
              <w:rPr>
                <w:rFonts w:hint="default" w:ascii="Times New Roman" w:hAnsi="Times New Roman" w:eastAsia="宋体" w:cs="Times New Roman"/>
                <w:color w:val="auto"/>
                <w:kern w:val="0"/>
                <w:sz w:val="24"/>
                <w:szCs w:val="28"/>
                <w:vertAlign w:val="subscript"/>
                <w:lang w:val="en-US" w:eastAsia="zh-CN" w:bidi="ar-SA"/>
              </w:rPr>
              <w:t>5</w:t>
            </w:r>
            <w:r>
              <w:rPr>
                <w:rFonts w:hint="default" w:ascii="Times New Roman" w:hAnsi="Times New Roman" w:eastAsia="宋体" w:cs="Times New Roman"/>
                <w:color w:val="auto"/>
                <w:kern w:val="0"/>
                <w:sz w:val="24"/>
                <w:szCs w:val="28"/>
                <w:lang w:val="en-US" w:eastAsia="zh-CN" w:bidi="ar-SA"/>
              </w:rPr>
              <w:t>、PM</w:t>
            </w:r>
            <w:r>
              <w:rPr>
                <w:rFonts w:hint="eastAsia" w:ascii="Times New Roman" w:hAnsi="Times New Roman" w:cs="Times New Roman"/>
                <w:color w:val="auto"/>
                <w:kern w:val="0"/>
                <w:sz w:val="24"/>
                <w:szCs w:val="28"/>
                <w:vertAlign w:val="subscript"/>
                <w:lang w:val="en-US" w:eastAsia="zh-CN" w:bidi="ar-SA"/>
              </w:rPr>
              <w:t>10</w:t>
            </w:r>
            <w:r>
              <w:rPr>
                <w:rFonts w:hint="default" w:ascii="Times New Roman" w:hAnsi="Times New Roman" w:eastAsia="宋体" w:cs="Times New Roman"/>
                <w:color w:val="auto"/>
                <w:kern w:val="0"/>
                <w:sz w:val="24"/>
                <w:szCs w:val="28"/>
                <w:lang w:val="en-US" w:eastAsia="zh-CN" w:bidi="ar-SA"/>
              </w:rPr>
              <w:t>、SO</w:t>
            </w:r>
            <w:r>
              <w:rPr>
                <w:rFonts w:hint="default" w:ascii="Times New Roman" w:hAnsi="Times New Roman" w:eastAsia="宋体" w:cs="Times New Roman"/>
                <w:color w:val="auto"/>
                <w:kern w:val="0"/>
                <w:sz w:val="24"/>
                <w:szCs w:val="28"/>
                <w:vertAlign w:val="subscript"/>
                <w:lang w:val="en-US" w:eastAsia="zh-CN" w:bidi="ar-SA"/>
              </w:rPr>
              <w:t>2</w:t>
            </w:r>
            <w:r>
              <w:rPr>
                <w:rFonts w:hint="default" w:ascii="Times New Roman" w:hAnsi="Times New Roman" w:eastAsia="宋体" w:cs="Times New Roman"/>
                <w:color w:val="auto"/>
                <w:kern w:val="0"/>
                <w:sz w:val="24"/>
                <w:szCs w:val="28"/>
                <w:lang w:val="en-US" w:eastAsia="zh-CN" w:bidi="ar-SA"/>
              </w:rPr>
              <w:t>、NO</w:t>
            </w:r>
            <w:r>
              <w:rPr>
                <w:rFonts w:hint="default" w:ascii="Times New Roman" w:hAnsi="Times New Roman" w:eastAsia="宋体" w:cs="Times New Roman"/>
                <w:color w:val="auto"/>
                <w:kern w:val="0"/>
                <w:sz w:val="24"/>
                <w:szCs w:val="28"/>
                <w:vertAlign w:val="subscript"/>
                <w:lang w:val="en-US" w:eastAsia="zh-CN" w:bidi="ar-SA"/>
              </w:rPr>
              <w:t>2</w:t>
            </w:r>
            <w:r>
              <w:rPr>
                <w:rFonts w:hint="default" w:ascii="Times New Roman" w:hAnsi="Times New Roman" w:eastAsia="宋体" w:cs="Times New Roman"/>
                <w:color w:val="auto"/>
                <w:kern w:val="0"/>
                <w:sz w:val="24"/>
                <w:szCs w:val="28"/>
                <w:lang w:val="en-US" w:eastAsia="zh-CN" w:bidi="ar-SA"/>
              </w:rPr>
              <w:t>、C</w:t>
            </w:r>
            <w:r>
              <w:rPr>
                <w:rFonts w:hint="eastAsia" w:ascii="Times New Roman" w:hAnsi="Times New Roman" w:cs="Times New Roman"/>
                <w:color w:val="auto"/>
                <w:kern w:val="0"/>
                <w:sz w:val="24"/>
                <w:szCs w:val="28"/>
                <w:lang w:val="en-US" w:eastAsia="zh-CN" w:bidi="ar-SA"/>
              </w:rPr>
              <w:t>O</w:t>
            </w:r>
            <w:r>
              <w:rPr>
                <w:rFonts w:hint="default" w:ascii="Times New Roman" w:hAnsi="Times New Roman" w:eastAsia="宋体" w:cs="Times New Roman"/>
                <w:color w:val="auto"/>
                <w:kern w:val="0"/>
                <w:sz w:val="24"/>
                <w:szCs w:val="28"/>
                <w:lang w:val="en-US" w:eastAsia="zh-CN" w:bidi="ar-SA"/>
              </w:rPr>
              <w:t>-95per和</w:t>
            </w:r>
            <w:r>
              <w:rPr>
                <w:rFonts w:hint="eastAsia" w:ascii="Times New Roman" w:hAnsi="Times New Roman" w:cs="Times New Roman"/>
                <w:color w:val="auto"/>
                <w:kern w:val="0"/>
                <w:sz w:val="24"/>
                <w:szCs w:val="28"/>
                <w:lang w:val="en-US" w:eastAsia="zh-CN" w:bidi="ar-SA"/>
              </w:rPr>
              <w:t>O</w:t>
            </w:r>
            <w:r>
              <w:rPr>
                <w:rFonts w:hint="eastAsia" w:ascii="Times New Roman" w:hAnsi="Times New Roman" w:cs="Times New Roman"/>
                <w:color w:val="auto"/>
                <w:kern w:val="0"/>
                <w:sz w:val="24"/>
                <w:szCs w:val="28"/>
                <w:vertAlign w:val="subscript"/>
                <w:lang w:val="en-US" w:eastAsia="zh-CN" w:bidi="ar-SA"/>
              </w:rPr>
              <w:t>3</w:t>
            </w:r>
            <w:r>
              <w:rPr>
                <w:rFonts w:hint="default" w:ascii="Times New Roman" w:hAnsi="Times New Roman" w:eastAsia="宋体" w:cs="Times New Roman"/>
                <w:color w:val="auto"/>
                <w:kern w:val="0"/>
                <w:sz w:val="24"/>
                <w:szCs w:val="28"/>
                <w:lang w:val="en-US" w:eastAsia="zh-CN" w:bidi="ar-SA"/>
              </w:rPr>
              <w:t>-8h-90per年均浓度分别为2</w:t>
            </w:r>
            <w:r>
              <w:rPr>
                <w:rFonts w:hint="eastAsia" w:cs="Times New Roman"/>
                <w:color w:val="auto"/>
                <w:kern w:val="0"/>
                <w:sz w:val="24"/>
                <w:szCs w:val="28"/>
                <w:lang w:val="en-US" w:eastAsia="zh-CN" w:bidi="ar-SA"/>
              </w:rPr>
              <w:t>7</w:t>
            </w:r>
            <w:r>
              <w:rPr>
                <w:rFonts w:hint="default" w:ascii="Times New Roman" w:hAnsi="Times New Roman" w:eastAsia="宋体" w:cs="Times New Roman"/>
                <w:color w:val="auto"/>
                <w:kern w:val="0"/>
                <w:sz w:val="24"/>
                <w:szCs w:val="28"/>
                <w:lang w:val="en-US" w:eastAsia="zh-CN" w:bidi="ar-SA"/>
              </w:rPr>
              <w:t>μg</w:t>
            </w:r>
            <w:r>
              <w:rPr>
                <w:rFonts w:hint="eastAsia" w:ascii="Times New Roman" w:hAnsi="Times New Roman" w:cs="Times New Roman"/>
                <w:color w:val="auto"/>
                <w:kern w:val="0"/>
                <w:sz w:val="24"/>
                <w:szCs w:val="28"/>
                <w:lang w:val="en-US" w:eastAsia="zh-CN" w:bidi="ar-SA"/>
              </w:rPr>
              <w:t>/</w:t>
            </w:r>
            <w:r>
              <w:rPr>
                <w:rFonts w:hint="default" w:ascii="Times New Roman" w:hAnsi="Times New Roman" w:eastAsia="宋体" w:cs="Times New Roman"/>
                <w:color w:val="auto"/>
                <w:kern w:val="0"/>
                <w:sz w:val="24"/>
                <w:szCs w:val="28"/>
                <w:lang w:val="en-US" w:eastAsia="zh-CN" w:bidi="ar-SA"/>
              </w:rPr>
              <w:t>m</w:t>
            </w:r>
            <w:r>
              <w:rPr>
                <w:rFonts w:hint="eastAsia" w:ascii="Times New Roman" w:hAnsi="Times New Roman" w:cs="Times New Roman"/>
                <w:color w:val="auto"/>
                <w:kern w:val="0"/>
                <w:sz w:val="24"/>
                <w:szCs w:val="28"/>
                <w:vertAlign w:val="superscript"/>
                <w:lang w:val="en-US" w:eastAsia="zh-CN" w:bidi="ar-SA"/>
              </w:rPr>
              <w:t>3</w:t>
            </w:r>
            <w:r>
              <w:rPr>
                <w:rFonts w:hint="default" w:ascii="Times New Roman" w:hAnsi="Times New Roman" w:eastAsia="宋体" w:cs="Times New Roman"/>
                <w:color w:val="auto"/>
                <w:kern w:val="0"/>
                <w:sz w:val="24"/>
                <w:szCs w:val="28"/>
                <w:lang w:val="en-US" w:eastAsia="zh-CN" w:bidi="ar-SA"/>
              </w:rPr>
              <w:t>、4</w:t>
            </w:r>
            <w:r>
              <w:rPr>
                <w:rFonts w:hint="eastAsia" w:cs="Times New Roman"/>
                <w:color w:val="auto"/>
                <w:kern w:val="0"/>
                <w:sz w:val="24"/>
                <w:szCs w:val="28"/>
                <w:lang w:val="en-US" w:eastAsia="zh-CN" w:bidi="ar-SA"/>
              </w:rPr>
              <w:t>3</w:t>
            </w:r>
            <w:r>
              <w:rPr>
                <w:rFonts w:hint="default" w:ascii="Times New Roman" w:hAnsi="Times New Roman" w:eastAsia="宋体" w:cs="Times New Roman"/>
                <w:color w:val="auto"/>
                <w:kern w:val="0"/>
                <w:sz w:val="24"/>
                <w:szCs w:val="28"/>
                <w:lang w:val="en-US" w:eastAsia="zh-CN" w:bidi="ar-SA"/>
              </w:rPr>
              <w:t>μg</w:t>
            </w:r>
            <w:r>
              <w:rPr>
                <w:rFonts w:hint="eastAsia" w:ascii="Times New Roman" w:hAnsi="Times New Roman" w:cs="Times New Roman"/>
                <w:color w:val="auto"/>
                <w:kern w:val="0"/>
                <w:sz w:val="24"/>
                <w:szCs w:val="28"/>
                <w:lang w:val="en-US" w:eastAsia="zh-CN" w:bidi="ar-SA"/>
              </w:rPr>
              <w:t>/</w:t>
            </w:r>
            <w:r>
              <w:rPr>
                <w:rFonts w:hint="default" w:ascii="Times New Roman" w:hAnsi="Times New Roman" w:eastAsia="宋体" w:cs="Times New Roman"/>
                <w:color w:val="auto"/>
                <w:kern w:val="0"/>
                <w:sz w:val="24"/>
                <w:szCs w:val="28"/>
                <w:lang w:val="en-US" w:eastAsia="zh-CN" w:bidi="ar-SA"/>
              </w:rPr>
              <w:t>m</w:t>
            </w:r>
            <w:r>
              <w:rPr>
                <w:rFonts w:hint="eastAsia" w:ascii="Times New Roman" w:hAnsi="Times New Roman" w:cs="Times New Roman"/>
                <w:color w:val="auto"/>
                <w:kern w:val="0"/>
                <w:sz w:val="24"/>
                <w:szCs w:val="28"/>
                <w:vertAlign w:val="superscript"/>
                <w:lang w:val="en-US" w:eastAsia="zh-CN" w:bidi="ar-SA"/>
              </w:rPr>
              <w:t>3</w:t>
            </w:r>
            <w:r>
              <w:rPr>
                <w:rFonts w:hint="default" w:ascii="Times New Roman" w:hAnsi="Times New Roman" w:eastAsia="宋体" w:cs="Times New Roman"/>
                <w:color w:val="auto"/>
                <w:kern w:val="0"/>
                <w:sz w:val="24"/>
                <w:szCs w:val="28"/>
                <w:lang w:val="en-US" w:eastAsia="zh-CN" w:bidi="ar-SA"/>
              </w:rPr>
              <w:t>、1</w:t>
            </w:r>
            <w:r>
              <w:rPr>
                <w:rFonts w:hint="eastAsia" w:cs="Times New Roman"/>
                <w:color w:val="auto"/>
                <w:kern w:val="0"/>
                <w:sz w:val="24"/>
                <w:szCs w:val="28"/>
                <w:lang w:val="en-US" w:eastAsia="zh-CN" w:bidi="ar-SA"/>
              </w:rPr>
              <w:t>1</w:t>
            </w:r>
            <w:r>
              <w:rPr>
                <w:rFonts w:hint="default" w:ascii="Times New Roman" w:hAnsi="Times New Roman" w:eastAsia="宋体" w:cs="Times New Roman"/>
                <w:color w:val="auto"/>
                <w:kern w:val="0"/>
                <w:sz w:val="24"/>
                <w:szCs w:val="28"/>
                <w:lang w:val="en-US" w:eastAsia="zh-CN" w:bidi="ar-SA"/>
              </w:rPr>
              <w:t>μg</w:t>
            </w:r>
            <w:r>
              <w:rPr>
                <w:rFonts w:hint="eastAsia" w:ascii="Times New Roman" w:hAnsi="Times New Roman" w:cs="Times New Roman"/>
                <w:color w:val="auto"/>
                <w:kern w:val="0"/>
                <w:sz w:val="24"/>
                <w:szCs w:val="28"/>
                <w:lang w:val="en-US" w:eastAsia="zh-CN" w:bidi="ar-SA"/>
              </w:rPr>
              <w:t>/</w:t>
            </w:r>
            <w:r>
              <w:rPr>
                <w:rFonts w:hint="default" w:ascii="Times New Roman" w:hAnsi="Times New Roman" w:eastAsia="宋体" w:cs="Times New Roman"/>
                <w:color w:val="auto"/>
                <w:kern w:val="0"/>
                <w:sz w:val="24"/>
                <w:szCs w:val="28"/>
                <w:lang w:val="en-US" w:eastAsia="zh-CN" w:bidi="ar-SA"/>
              </w:rPr>
              <w:t>m</w:t>
            </w:r>
            <w:r>
              <w:rPr>
                <w:rFonts w:hint="eastAsia" w:ascii="Times New Roman" w:hAnsi="Times New Roman" w:cs="Times New Roman"/>
                <w:color w:val="auto"/>
                <w:kern w:val="0"/>
                <w:sz w:val="24"/>
                <w:szCs w:val="28"/>
                <w:vertAlign w:val="superscript"/>
                <w:lang w:val="en-US" w:eastAsia="zh-CN" w:bidi="ar-SA"/>
              </w:rPr>
              <w:t>3</w:t>
            </w:r>
            <w:r>
              <w:rPr>
                <w:rFonts w:hint="default" w:ascii="Times New Roman" w:hAnsi="Times New Roman" w:eastAsia="宋体" w:cs="Times New Roman"/>
                <w:color w:val="auto"/>
                <w:kern w:val="0"/>
                <w:sz w:val="24"/>
                <w:szCs w:val="28"/>
                <w:lang w:val="en-US" w:eastAsia="zh-CN" w:bidi="ar-SA"/>
              </w:rPr>
              <w:t>、1</w:t>
            </w:r>
            <w:r>
              <w:rPr>
                <w:rFonts w:hint="eastAsia" w:cs="Times New Roman"/>
                <w:color w:val="auto"/>
                <w:kern w:val="0"/>
                <w:sz w:val="24"/>
                <w:szCs w:val="28"/>
                <w:lang w:val="en-US" w:eastAsia="zh-CN" w:bidi="ar-SA"/>
              </w:rPr>
              <w:t>5</w:t>
            </w:r>
            <w:r>
              <w:rPr>
                <w:rFonts w:hint="default" w:ascii="Times New Roman" w:hAnsi="Times New Roman" w:eastAsia="宋体" w:cs="Times New Roman"/>
                <w:color w:val="auto"/>
                <w:kern w:val="0"/>
                <w:sz w:val="24"/>
                <w:szCs w:val="28"/>
                <w:lang w:val="en-US" w:eastAsia="zh-CN" w:bidi="ar-SA"/>
              </w:rPr>
              <w:t>μg</w:t>
            </w:r>
            <w:r>
              <w:rPr>
                <w:rFonts w:hint="eastAsia" w:ascii="Times New Roman" w:hAnsi="Times New Roman" w:cs="Times New Roman"/>
                <w:color w:val="auto"/>
                <w:kern w:val="0"/>
                <w:sz w:val="24"/>
                <w:szCs w:val="28"/>
                <w:lang w:val="en-US" w:eastAsia="zh-CN" w:bidi="ar-SA"/>
              </w:rPr>
              <w:t>/</w:t>
            </w:r>
            <w:r>
              <w:rPr>
                <w:rFonts w:hint="default" w:ascii="Times New Roman" w:hAnsi="Times New Roman" w:eastAsia="宋体" w:cs="Times New Roman"/>
                <w:color w:val="auto"/>
                <w:kern w:val="0"/>
                <w:sz w:val="24"/>
                <w:szCs w:val="28"/>
                <w:lang w:val="en-US" w:eastAsia="zh-CN" w:bidi="ar-SA"/>
              </w:rPr>
              <w:t>m</w:t>
            </w:r>
            <w:r>
              <w:rPr>
                <w:rFonts w:hint="eastAsia" w:ascii="Times New Roman" w:hAnsi="Times New Roman" w:cs="Times New Roman"/>
                <w:color w:val="auto"/>
                <w:kern w:val="0"/>
                <w:sz w:val="24"/>
                <w:szCs w:val="28"/>
                <w:vertAlign w:val="superscript"/>
                <w:lang w:val="en-US" w:eastAsia="zh-CN" w:bidi="ar-SA"/>
              </w:rPr>
              <w:t>3</w:t>
            </w:r>
            <w:r>
              <w:rPr>
                <w:rFonts w:hint="eastAsia" w:cs="Times New Roman"/>
                <w:color w:val="auto"/>
                <w:kern w:val="0"/>
                <w:sz w:val="24"/>
                <w:szCs w:val="28"/>
                <w:vertAlign w:val="baseline"/>
                <w:lang w:val="en-US" w:eastAsia="zh-CN" w:bidi="ar-SA"/>
              </w:rPr>
              <w:t>、</w:t>
            </w:r>
            <w:r>
              <w:rPr>
                <w:rFonts w:hint="default" w:ascii="Times New Roman" w:hAnsi="Times New Roman" w:eastAsia="宋体" w:cs="Times New Roman"/>
                <w:color w:val="auto"/>
                <w:kern w:val="0"/>
                <w:sz w:val="24"/>
                <w:szCs w:val="28"/>
                <w:lang w:val="en-US" w:eastAsia="zh-CN" w:bidi="ar-SA"/>
              </w:rPr>
              <w:t>0.9mg/m</w:t>
            </w:r>
            <w:r>
              <w:rPr>
                <w:rFonts w:hint="eastAsia" w:ascii="Times New Roman" w:hAnsi="Times New Roman" w:cs="Times New Roman"/>
                <w:color w:val="auto"/>
                <w:kern w:val="0"/>
                <w:sz w:val="24"/>
                <w:szCs w:val="28"/>
                <w:vertAlign w:val="superscript"/>
                <w:lang w:val="en-US" w:eastAsia="zh-CN" w:bidi="ar-SA"/>
              </w:rPr>
              <w:t>3</w:t>
            </w:r>
            <w:r>
              <w:rPr>
                <w:rFonts w:hint="default" w:ascii="Times New Roman" w:hAnsi="Times New Roman" w:eastAsia="宋体" w:cs="Times New Roman"/>
                <w:color w:val="auto"/>
                <w:kern w:val="0"/>
                <w:sz w:val="24"/>
                <w:szCs w:val="28"/>
                <w:lang w:val="en-US" w:eastAsia="zh-CN" w:bidi="ar-SA"/>
              </w:rPr>
              <w:t>和1</w:t>
            </w:r>
            <w:r>
              <w:rPr>
                <w:rFonts w:hint="eastAsia" w:cs="Times New Roman"/>
                <w:color w:val="auto"/>
                <w:kern w:val="0"/>
                <w:sz w:val="24"/>
                <w:szCs w:val="28"/>
                <w:lang w:val="en-US" w:eastAsia="zh-CN" w:bidi="ar-SA"/>
              </w:rPr>
              <w:t>05</w:t>
            </w:r>
            <w:r>
              <w:rPr>
                <w:rFonts w:hint="default" w:ascii="Times New Roman" w:hAnsi="Times New Roman" w:eastAsia="宋体" w:cs="Times New Roman"/>
                <w:color w:val="auto"/>
                <w:kern w:val="0"/>
                <w:sz w:val="24"/>
                <w:szCs w:val="28"/>
                <w:lang w:val="en-US" w:eastAsia="zh-CN" w:bidi="ar-SA"/>
              </w:rPr>
              <w:t>μg/m</w:t>
            </w:r>
            <w:r>
              <w:rPr>
                <w:rFonts w:hint="eastAsia" w:ascii="Times New Roman" w:hAnsi="Times New Roman" w:cs="Times New Roman"/>
                <w:color w:val="auto"/>
                <w:kern w:val="0"/>
                <w:sz w:val="24"/>
                <w:szCs w:val="28"/>
                <w:vertAlign w:val="superscript"/>
                <w:lang w:val="en-US" w:eastAsia="zh-CN" w:bidi="ar-SA"/>
              </w:rPr>
              <w:t>3</w:t>
            </w:r>
            <w:r>
              <w:rPr>
                <w:rFonts w:hint="default" w:ascii="Times New Roman" w:hAnsi="Times New Roman" w:eastAsia="宋体" w:cs="Times New Roman"/>
                <w:color w:val="auto"/>
                <w:kern w:val="0"/>
                <w:sz w:val="24"/>
                <w:szCs w:val="28"/>
                <w:lang w:val="en-US" w:eastAsia="zh-CN" w:bidi="ar-SA"/>
              </w:rPr>
              <w:t>。双鸭山市环境空气质量现状详见下表。</w:t>
            </w:r>
          </w:p>
          <w:p w14:paraId="09542F56">
            <w:pPr>
              <w:pStyle w:val="103"/>
              <w:keepNext w:val="0"/>
              <w:keepLines w:val="0"/>
              <w:suppressLineNumbers w:val="0"/>
              <w:spacing w:before="0" w:beforeAutospacing="0" w:after="0" w:afterAutospacing="0" w:line="240" w:lineRule="auto"/>
              <w:ind w:left="0" w:right="0"/>
              <w:rPr>
                <w:rFonts w:hint="default" w:ascii="Times New Roman" w:hAnsi="Times New Roman" w:eastAsia="宋体" w:cs="Times New Roman"/>
                <w:b/>
                <w:bCs/>
                <w:iCs/>
                <w:color w:val="auto"/>
                <w:kern w:val="0"/>
                <w:sz w:val="21"/>
                <w:szCs w:val="21"/>
                <w:lang w:val="en-US" w:eastAsia="zh-CN" w:bidi="ar-SA"/>
              </w:rPr>
            </w:pPr>
            <w:r>
              <w:rPr>
                <w:rFonts w:hint="eastAsia" w:ascii="Times New Roman" w:hAnsi="Times New Roman" w:eastAsia="宋体" w:cs="Times New Roman"/>
                <w:b/>
                <w:bCs/>
                <w:iCs/>
                <w:color w:val="auto"/>
                <w:kern w:val="0"/>
                <w:sz w:val="21"/>
                <w:szCs w:val="21"/>
                <w:lang w:val="en-US" w:eastAsia="zh-CN" w:bidi="ar-SA"/>
              </w:rPr>
              <w:t>表3-1  区域空气质量现状评价表</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071"/>
              <w:gridCol w:w="1712"/>
              <w:gridCol w:w="1083"/>
              <w:gridCol w:w="1239"/>
              <w:gridCol w:w="965"/>
              <w:gridCol w:w="1096"/>
            </w:tblGrid>
            <w:tr w14:paraId="56437A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68" w:type="pct"/>
                  <w:tcBorders>
                    <w:top w:val="single" w:color="auto" w:sz="12" w:space="0"/>
                    <w:bottom w:val="single" w:color="auto" w:sz="6" w:space="0"/>
                    <w:right w:val="single" w:color="auto" w:sz="6" w:space="0"/>
                  </w:tcBorders>
                  <w:vAlign w:val="center"/>
                </w:tcPr>
                <w:p w14:paraId="4E96F417">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污染物</w:t>
                  </w:r>
                </w:p>
              </w:tc>
              <w:tc>
                <w:tcPr>
                  <w:tcW w:w="1048" w:type="pct"/>
                  <w:tcBorders>
                    <w:top w:val="single" w:color="auto" w:sz="12" w:space="0"/>
                    <w:left w:val="single" w:color="auto" w:sz="6" w:space="0"/>
                    <w:bottom w:val="single" w:color="auto" w:sz="6" w:space="0"/>
                    <w:right w:val="single" w:color="auto" w:sz="6" w:space="0"/>
                  </w:tcBorders>
                  <w:vAlign w:val="center"/>
                </w:tcPr>
                <w:p w14:paraId="30D296A7">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年评价指标</w:t>
                  </w:r>
                </w:p>
              </w:tc>
              <w:tc>
                <w:tcPr>
                  <w:tcW w:w="663" w:type="pct"/>
                  <w:tcBorders>
                    <w:top w:val="single" w:color="auto" w:sz="12" w:space="0"/>
                    <w:left w:val="single" w:color="auto" w:sz="6" w:space="0"/>
                    <w:bottom w:val="single" w:color="auto" w:sz="6" w:space="0"/>
                    <w:right w:val="single" w:color="auto" w:sz="6" w:space="0"/>
                  </w:tcBorders>
                  <w:vAlign w:val="center"/>
                </w:tcPr>
                <w:p w14:paraId="2B69252D">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现状浓度</w:t>
                  </w:r>
                  <w:r>
                    <w:rPr>
                      <w:rFonts w:hint="default"/>
                      <w:color w:val="auto"/>
                      <w:szCs w:val="21"/>
                    </w:rPr>
                    <w:t>/</w:t>
                  </w:r>
                </w:p>
                <w:p w14:paraId="59B9794D">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w:t>
                  </w:r>
                  <w:r>
                    <w:rPr>
                      <w:rFonts w:hint="default"/>
                      <w:color w:val="auto"/>
                      <w:szCs w:val="21"/>
                    </w:rPr>
                    <w:t>μg/m</w:t>
                  </w:r>
                  <w:r>
                    <w:rPr>
                      <w:rFonts w:hint="default"/>
                      <w:color w:val="auto"/>
                      <w:szCs w:val="21"/>
                      <w:vertAlign w:val="superscript"/>
                    </w:rPr>
                    <w:t>3</w:t>
                  </w:r>
                  <w:r>
                    <w:rPr>
                      <w:rFonts w:hint="eastAsia"/>
                      <w:color w:val="auto"/>
                      <w:szCs w:val="21"/>
                    </w:rPr>
                    <w:t>）</w:t>
                  </w:r>
                </w:p>
              </w:tc>
              <w:tc>
                <w:tcPr>
                  <w:tcW w:w="759" w:type="pct"/>
                  <w:tcBorders>
                    <w:top w:val="single" w:color="auto" w:sz="12" w:space="0"/>
                    <w:left w:val="single" w:color="auto" w:sz="6" w:space="0"/>
                    <w:bottom w:val="single" w:color="auto" w:sz="6" w:space="0"/>
                    <w:right w:val="single" w:color="auto" w:sz="6" w:space="0"/>
                  </w:tcBorders>
                  <w:vAlign w:val="center"/>
                </w:tcPr>
                <w:p w14:paraId="154C70F1">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标准值</w:t>
                  </w:r>
                  <w:r>
                    <w:rPr>
                      <w:rFonts w:hint="default"/>
                      <w:color w:val="auto"/>
                      <w:szCs w:val="21"/>
                    </w:rPr>
                    <w:t>/</w:t>
                  </w:r>
                </w:p>
                <w:p w14:paraId="05AC8AA5">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w:t>
                  </w:r>
                  <w:r>
                    <w:rPr>
                      <w:rFonts w:hint="default"/>
                      <w:color w:val="auto"/>
                      <w:szCs w:val="21"/>
                    </w:rPr>
                    <w:t>μg/m</w:t>
                  </w:r>
                  <w:r>
                    <w:rPr>
                      <w:rFonts w:hint="default"/>
                      <w:color w:val="auto"/>
                      <w:szCs w:val="21"/>
                      <w:vertAlign w:val="superscript"/>
                    </w:rPr>
                    <w:t>3</w:t>
                  </w:r>
                  <w:r>
                    <w:rPr>
                      <w:rFonts w:hint="eastAsia"/>
                      <w:color w:val="auto"/>
                      <w:szCs w:val="21"/>
                    </w:rPr>
                    <w:t>）</w:t>
                  </w:r>
                </w:p>
              </w:tc>
              <w:tc>
                <w:tcPr>
                  <w:tcW w:w="591" w:type="pct"/>
                  <w:tcBorders>
                    <w:top w:val="single" w:color="auto" w:sz="12" w:space="0"/>
                    <w:left w:val="single" w:color="auto" w:sz="6" w:space="0"/>
                    <w:bottom w:val="single" w:color="auto" w:sz="6" w:space="0"/>
                    <w:right w:val="single" w:color="auto" w:sz="6" w:space="0"/>
                  </w:tcBorders>
                  <w:vAlign w:val="center"/>
                </w:tcPr>
                <w:p w14:paraId="7F436493">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占标率</w:t>
                  </w:r>
                  <w:r>
                    <w:rPr>
                      <w:rFonts w:hint="default"/>
                      <w:color w:val="auto"/>
                      <w:szCs w:val="21"/>
                    </w:rPr>
                    <w:t>/</w:t>
                  </w:r>
                </w:p>
                <w:p w14:paraId="2A48AE13">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w:t>
                  </w:r>
                  <w:r>
                    <w:rPr>
                      <w:rFonts w:hint="default"/>
                      <w:color w:val="auto"/>
                      <w:szCs w:val="21"/>
                    </w:rPr>
                    <w:t>%</w:t>
                  </w:r>
                  <w:r>
                    <w:rPr>
                      <w:rFonts w:hint="eastAsia"/>
                      <w:color w:val="auto"/>
                      <w:szCs w:val="21"/>
                    </w:rPr>
                    <w:t>）</w:t>
                  </w:r>
                </w:p>
              </w:tc>
              <w:tc>
                <w:tcPr>
                  <w:tcW w:w="672" w:type="pct"/>
                  <w:tcBorders>
                    <w:top w:val="single" w:color="auto" w:sz="12" w:space="0"/>
                    <w:left w:val="single" w:color="auto" w:sz="6" w:space="0"/>
                    <w:bottom w:val="single" w:color="auto" w:sz="6" w:space="0"/>
                  </w:tcBorders>
                  <w:vAlign w:val="center"/>
                </w:tcPr>
                <w:p w14:paraId="122EB338">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达标情况</w:t>
                  </w:r>
                </w:p>
              </w:tc>
            </w:tr>
            <w:tr w14:paraId="77C6ACE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68" w:type="pct"/>
                  <w:tcBorders>
                    <w:top w:val="single" w:color="auto" w:sz="6" w:space="0"/>
                    <w:bottom w:val="single" w:color="auto" w:sz="6" w:space="0"/>
                    <w:right w:val="single" w:color="auto" w:sz="6" w:space="0"/>
                  </w:tcBorders>
                  <w:vAlign w:val="center"/>
                </w:tcPr>
                <w:p w14:paraId="014D15A3">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细颗粒物（</w:t>
                  </w:r>
                  <w:r>
                    <w:rPr>
                      <w:rFonts w:hint="default"/>
                      <w:color w:val="auto"/>
                      <w:szCs w:val="21"/>
                    </w:rPr>
                    <w:t>PM</w:t>
                  </w:r>
                  <w:r>
                    <w:rPr>
                      <w:rFonts w:hint="default"/>
                      <w:color w:val="auto"/>
                      <w:szCs w:val="21"/>
                      <w:vertAlign w:val="subscript"/>
                    </w:rPr>
                    <w:t>2.5</w:t>
                  </w:r>
                  <w:r>
                    <w:rPr>
                      <w:rFonts w:hint="eastAsia"/>
                      <w:color w:val="auto"/>
                      <w:szCs w:val="21"/>
                    </w:rPr>
                    <w:t>）</w:t>
                  </w:r>
                </w:p>
              </w:tc>
              <w:tc>
                <w:tcPr>
                  <w:tcW w:w="1048" w:type="pct"/>
                  <w:tcBorders>
                    <w:top w:val="single" w:color="auto" w:sz="6" w:space="0"/>
                    <w:left w:val="single" w:color="auto" w:sz="6" w:space="0"/>
                    <w:bottom w:val="single" w:color="auto" w:sz="6" w:space="0"/>
                    <w:right w:val="single" w:color="auto" w:sz="6" w:space="0"/>
                  </w:tcBorders>
                  <w:vAlign w:val="center"/>
                </w:tcPr>
                <w:p w14:paraId="55C5CE61">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年平均质量浓度</w:t>
                  </w:r>
                </w:p>
              </w:tc>
              <w:tc>
                <w:tcPr>
                  <w:tcW w:w="663" w:type="pct"/>
                  <w:tcBorders>
                    <w:top w:val="single" w:color="auto" w:sz="6" w:space="0"/>
                    <w:left w:val="single" w:color="auto" w:sz="6" w:space="0"/>
                    <w:bottom w:val="single" w:color="auto" w:sz="6" w:space="0"/>
                    <w:right w:val="single" w:color="auto" w:sz="6" w:space="0"/>
                  </w:tcBorders>
                  <w:vAlign w:val="center"/>
                </w:tcPr>
                <w:p w14:paraId="50AC9674">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27</w:t>
                  </w:r>
                </w:p>
              </w:tc>
              <w:tc>
                <w:tcPr>
                  <w:tcW w:w="759" w:type="pct"/>
                  <w:tcBorders>
                    <w:top w:val="single" w:color="auto" w:sz="6" w:space="0"/>
                    <w:left w:val="single" w:color="auto" w:sz="6" w:space="0"/>
                    <w:bottom w:val="single" w:color="auto" w:sz="6" w:space="0"/>
                    <w:right w:val="single" w:color="auto" w:sz="6" w:space="0"/>
                  </w:tcBorders>
                  <w:vAlign w:val="center"/>
                </w:tcPr>
                <w:p w14:paraId="6E8A1AE3">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35</w:t>
                  </w:r>
                </w:p>
              </w:tc>
              <w:tc>
                <w:tcPr>
                  <w:tcW w:w="591" w:type="pct"/>
                  <w:tcBorders>
                    <w:top w:val="single" w:color="auto" w:sz="6" w:space="0"/>
                    <w:left w:val="single" w:color="auto" w:sz="6" w:space="0"/>
                    <w:bottom w:val="single" w:color="auto" w:sz="6" w:space="0"/>
                    <w:right w:val="single" w:color="auto" w:sz="6" w:space="0"/>
                  </w:tcBorders>
                  <w:vAlign w:val="center"/>
                </w:tcPr>
                <w:p w14:paraId="29609DAF">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77.1</w:t>
                  </w:r>
                </w:p>
              </w:tc>
              <w:tc>
                <w:tcPr>
                  <w:tcW w:w="672" w:type="pct"/>
                  <w:tcBorders>
                    <w:top w:val="single" w:color="auto" w:sz="6" w:space="0"/>
                    <w:left w:val="single" w:color="auto" w:sz="6" w:space="0"/>
                    <w:bottom w:val="single" w:color="auto" w:sz="6" w:space="0"/>
                  </w:tcBorders>
                  <w:vAlign w:val="center"/>
                </w:tcPr>
                <w:p w14:paraId="66A1D50B">
                  <w:pPr>
                    <w:keepNext w:val="0"/>
                    <w:keepLines w:val="0"/>
                    <w:suppressLineNumbers w:val="0"/>
                    <w:spacing w:before="0" w:beforeAutospacing="0" w:after="0" w:afterAutospacing="0"/>
                    <w:ind w:left="0" w:right="0"/>
                    <w:jc w:val="center"/>
                    <w:rPr>
                      <w:rFonts w:hint="eastAsia" w:eastAsia="宋体"/>
                      <w:color w:val="auto"/>
                      <w:szCs w:val="21"/>
                      <w:lang w:eastAsia="zh-CN"/>
                    </w:rPr>
                  </w:pPr>
                  <w:r>
                    <w:rPr>
                      <w:rFonts w:hint="eastAsia"/>
                      <w:color w:val="auto"/>
                      <w:szCs w:val="21"/>
                    </w:rPr>
                    <w:t>达</w:t>
                  </w:r>
                  <w:r>
                    <w:rPr>
                      <w:rFonts w:hint="eastAsia"/>
                      <w:color w:val="auto"/>
                      <w:szCs w:val="21"/>
                      <w:lang w:val="en-US" w:eastAsia="zh-CN"/>
                    </w:rPr>
                    <w:t>标</w:t>
                  </w:r>
                </w:p>
              </w:tc>
            </w:tr>
            <w:tr w14:paraId="25340EC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68" w:type="pct"/>
                  <w:tcBorders>
                    <w:top w:val="single" w:color="auto" w:sz="6" w:space="0"/>
                    <w:bottom w:val="single" w:color="auto" w:sz="6" w:space="0"/>
                    <w:right w:val="single" w:color="auto" w:sz="6" w:space="0"/>
                  </w:tcBorders>
                  <w:vAlign w:val="center"/>
                </w:tcPr>
                <w:p w14:paraId="77643772">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可吸入颗粒物（</w:t>
                  </w:r>
                  <w:r>
                    <w:rPr>
                      <w:rFonts w:hint="default"/>
                      <w:color w:val="auto"/>
                      <w:szCs w:val="21"/>
                    </w:rPr>
                    <w:t>PM</w:t>
                  </w:r>
                  <w:r>
                    <w:rPr>
                      <w:rFonts w:hint="default"/>
                      <w:color w:val="auto"/>
                      <w:szCs w:val="21"/>
                      <w:vertAlign w:val="subscript"/>
                    </w:rPr>
                    <w:t>10</w:t>
                  </w:r>
                  <w:r>
                    <w:rPr>
                      <w:rFonts w:hint="eastAsia"/>
                      <w:color w:val="auto"/>
                      <w:szCs w:val="21"/>
                    </w:rPr>
                    <w:t>）</w:t>
                  </w:r>
                </w:p>
              </w:tc>
              <w:tc>
                <w:tcPr>
                  <w:tcW w:w="1048" w:type="pct"/>
                  <w:tcBorders>
                    <w:top w:val="single" w:color="auto" w:sz="6" w:space="0"/>
                    <w:left w:val="single" w:color="auto" w:sz="6" w:space="0"/>
                    <w:bottom w:val="single" w:color="auto" w:sz="6" w:space="0"/>
                    <w:right w:val="single" w:color="auto" w:sz="6" w:space="0"/>
                  </w:tcBorders>
                  <w:vAlign w:val="center"/>
                </w:tcPr>
                <w:p w14:paraId="0F3E0EA5">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年平均质量浓度</w:t>
                  </w:r>
                </w:p>
              </w:tc>
              <w:tc>
                <w:tcPr>
                  <w:tcW w:w="663" w:type="pct"/>
                  <w:tcBorders>
                    <w:top w:val="single" w:color="auto" w:sz="6" w:space="0"/>
                    <w:left w:val="single" w:color="auto" w:sz="6" w:space="0"/>
                    <w:bottom w:val="single" w:color="auto" w:sz="6" w:space="0"/>
                    <w:right w:val="single" w:color="auto" w:sz="6" w:space="0"/>
                  </w:tcBorders>
                  <w:vAlign w:val="center"/>
                </w:tcPr>
                <w:p w14:paraId="0CD8C013">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43</w:t>
                  </w:r>
                </w:p>
              </w:tc>
              <w:tc>
                <w:tcPr>
                  <w:tcW w:w="759" w:type="pct"/>
                  <w:tcBorders>
                    <w:top w:val="single" w:color="auto" w:sz="6" w:space="0"/>
                    <w:left w:val="single" w:color="auto" w:sz="6" w:space="0"/>
                    <w:bottom w:val="single" w:color="auto" w:sz="6" w:space="0"/>
                    <w:right w:val="single" w:color="auto" w:sz="6" w:space="0"/>
                  </w:tcBorders>
                  <w:vAlign w:val="center"/>
                </w:tcPr>
                <w:p w14:paraId="39DE2874">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70</w:t>
                  </w:r>
                </w:p>
              </w:tc>
              <w:tc>
                <w:tcPr>
                  <w:tcW w:w="591" w:type="pct"/>
                  <w:tcBorders>
                    <w:top w:val="single" w:color="auto" w:sz="6" w:space="0"/>
                    <w:left w:val="single" w:color="auto" w:sz="6" w:space="0"/>
                    <w:bottom w:val="single" w:color="auto" w:sz="6" w:space="0"/>
                    <w:right w:val="single" w:color="auto" w:sz="6" w:space="0"/>
                  </w:tcBorders>
                  <w:vAlign w:val="center"/>
                </w:tcPr>
                <w:p w14:paraId="05A9C35E">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61.4</w:t>
                  </w:r>
                </w:p>
              </w:tc>
              <w:tc>
                <w:tcPr>
                  <w:tcW w:w="672" w:type="pct"/>
                  <w:tcBorders>
                    <w:top w:val="single" w:color="auto" w:sz="6" w:space="0"/>
                    <w:left w:val="single" w:color="auto" w:sz="6" w:space="0"/>
                    <w:bottom w:val="single" w:color="auto" w:sz="6" w:space="0"/>
                  </w:tcBorders>
                  <w:vAlign w:val="center"/>
                </w:tcPr>
                <w:p w14:paraId="36358E86">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达标</w:t>
                  </w:r>
                </w:p>
              </w:tc>
            </w:tr>
            <w:tr w14:paraId="3000EE9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68" w:type="pct"/>
                  <w:tcBorders>
                    <w:top w:val="single" w:color="auto" w:sz="6" w:space="0"/>
                    <w:bottom w:val="single" w:color="auto" w:sz="6" w:space="0"/>
                    <w:right w:val="single" w:color="auto" w:sz="6" w:space="0"/>
                  </w:tcBorders>
                  <w:vAlign w:val="center"/>
                </w:tcPr>
                <w:p w14:paraId="68369FCB">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二氧化氮</w:t>
                  </w:r>
                </w:p>
              </w:tc>
              <w:tc>
                <w:tcPr>
                  <w:tcW w:w="1048" w:type="pct"/>
                  <w:tcBorders>
                    <w:top w:val="single" w:color="auto" w:sz="6" w:space="0"/>
                    <w:left w:val="single" w:color="auto" w:sz="6" w:space="0"/>
                    <w:bottom w:val="single" w:color="auto" w:sz="6" w:space="0"/>
                    <w:right w:val="single" w:color="auto" w:sz="6" w:space="0"/>
                  </w:tcBorders>
                  <w:vAlign w:val="center"/>
                </w:tcPr>
                <w:p w14:paraId="18A588C5">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年平均质量浓度</w:t>
                  </w:r>
                </w:p>
              </w:tc>
              <w:tc>
                <w:tcPr>
                  <w:tcW w:w="663" w:type="pct"/>
                  <w:tcBorders>
                    <w:top w:val="single" w:color="auto" w:sz="6" w:space="0"/>
                    <w:left w:val="single" w:color="auto" w:sz="6" w:space="0"/>
                    <w:bottom w:val="single" w:color="auto" w:sz="6" w:space="0"/>
                    <w:right w:val="single" w:color="auto" w:sz="6" w:space="0"/>
                  </w:tcBorders>
                  <w:vAlign w:val="center"/>
                </w:tcPr>
                <w:p w14:paraId="07097BDE">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15</w:t>
                  </w:r>
                </w:p>
              </w:tc>
              <w:tc>
                <w:tcPr>
                  <w:tcW w:w="759" w:type="pct"/>
                  <w:tcBorders>
                    <w:top w:val="single" w:color="auto" w:sz="6" w:space="0"/>
                    <w:left w:val="single" w:color="auto" w:sz="6" w:space="0"/>
                    <w:bottom w:val="single" w:color="auto" w:sz="6" w:space="0"/>
                    <w:right w:val="single" w:color="auto" w:sz="6" w:space="0"/>
                  </w:tcBorders>
                  <w:vAlign w:val="center"/>
                </w:tcPr>
                <w:p w14:paraId="2D0B1D3B">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40</w:t>
                  </w:r>
                </w:p>
              </w:tc>
              <w:tc>
                <w:tcPr>
                  <w:tcW w:w="591" w:type="pct"/>
                  <w:tcBorders>
                    <w:top w:val="single" w:color="auto" w:sz="6" w:space="0"/>
                    <w:left w:val="single" w:color="auto" w:sz="6" w:space="0"/>
                    <w:bottom w:val="single" w:color="auto" w:sz="6" w:space="0"/>
                    <w:right w:val="single" w:color="auto" w:sz="6" w:space="0"/>
                  </w:tcBorders>
                  <w:vAlign w:val="center"/>
                </w:tcPr>
                <w:p w14:paraId="7576CFAE">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37.5</w:t>
                  </w:r>
                </w:p>
              </w:tc>
              <w:tc>
                <w:tcPr>
                  <w:tcW w:w="672" w:type="pct"/>
                  <w:tcBorders>
                    <w:top w:val="single" w:color="auto" w:sz="6" w:space="0"/>
                    <w:left w:val="single" w:color="auto" w:sz="6" w:space="0"/>
                    <w:bottom w:val="single" w:color="auto" w:sz="6" w:space="0"/>
                  </w:tcBorders>
                  <w:vAlign w:val="center"/>
                </w:tcPr>
                <w:p w14:paraId="7CEF112B">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达标</w:t>
                  </w:r>
                </w:p>
              </w:tc>
            </w:tr>
            <w:tr w14:paraId="44511CA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68" w:type="pct"/>
                  <w:tcBorders>
                    <w:top w:val="single" w:color="auto" w:sz="6" w:space="0"/>
                    <w:bottom w:val="single" w:color="auto" w:sz="6" w:space="0"/>
                    <w:right w:val="single" w:color="auto" w:sz="6" w:space="0"/>
                  </w:tcBorders>
                  <w:vAlign w:val="center"/>
                </w:tcPr>
                <w:p w14:paraId="2178FA32">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二氧化硫</w:t>
                  </w:r>
                </w:p>
              </w:tc>
              <w:tc>
                <w:tcPr>
                  <w:tcW w:w="1048" w:type="pct"/>
                  <w:tcBorders>
                    <w:top w:val="single" w:color="auto" w:sz="6" w:space="0"/>
                    <w:left w:val="single" w:color="auto" w:sz="6" w:space="0"/>
                    <w:bottom w:val="single" w:color="auto" w:sz="6" w:space="0"/>
                    <w:right w:val="single" w:color="auto" w:sz="6" w:space="0"/>
                  </w:tcBorders>
                  <w:vAlign w:val="center"/>
                </w:tcPr>
                <w:p w14:paraId="6A645D07">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年平均质量浓度</w:t>
                  </w:r>
                </w:p>
              </w:tc>
              <w:tc>
                <w:tcPr>
                  <w:tcW w:w="663" w:type="pct"/>
                  <w:tcBorders>
                    <w:top w:val="single" w:color="auto" w:sz="6" w:space="0"/>
                    <w:left w:val="single" w:color="auto" w:sz="6" w:space="0"/>
                    <w:bottom w:val="single" w:color="auto" w:sz="6" w:space="0"/>
                    <w:right w:val="single" w:color="auto" w:sz="6" w:space="0"/>
                  </w:tcBorders>
                  <w:vAlign w:val="center"/>
                </w:tcPr>
                <w:p w14:paraId="309DD840">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11</w:t>
                  </w:r>
                </w:p>
              </w:tc>
              <w:tc>
                <w:tcPr>
                  <w:tcW w:w="759" w:type="pct"/>
                  <w:tcBorders>
                    <w:top w:val="single" w:color="auto" w:sz="6" w:space="0"/>
                    <w:left w:val="single" w:color="auto" w:sz="6" w:space="0"/>
                    <w:bottom w:val="single" w:color="auto" w:sz="6" w:space="0"/>
                    <w:right w:val="single" w:color="auto" w:sz="6" w:space="0"/>
                  </w:tcBorders>
                  <w:vAlign w:val="center"/>
                </w:tcPr>
                <w:p w14:paraId="14993B64">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60</w:t>
                  </w:r>
                </w:p>
              </w:tc>
              <w:tc>
                <w:tcPr>
                  <w:tcW w:w="591" w:type="pct"/>
                  <w:tcBorders>
                    <w:top w:val="single" w:color="auto" w:sz="6" w:space="0"/>
                    <w:left w:val="single" w:color="auto" w:sz="6" w:space="0"/>
                    <w:bottom w:val="single" w:color="auto" w:sz="6" w:space="0"/>
                    <w:right w:val="single" w:color="auto" w:sz="6" w:space="0"/>
                  </w:tcBorders>
                  <w:vAlign w:val="center"/>
                </w:tcPr>
                <w:p w14:paraId="117A5025">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18.3</w:t>
                  </w:r>
                </w:p>
              </w:tc>
              <w:tc>
                <w:tcPr>
                  <w:tcW w:w="672" w:type="pct"/>
                  <w:tcBorders>
                    <w:top w:val="single" w:color="auto" w:sz="6" w:space="0"/>
                    <w:left w:val="single" w:color="auto" w:sz="6" w:space="0"/>
                    <w:bottom w:val="single" w:color="auto" w:sz="6" w:space="0"/>
                  </w:tcBorders>
                  <w:vAlign w:val="center"/>
                </w:tcPr>
                <w:p w14:paraId="15C06773">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达标</w:t>
                  </w:r>
                </w:p>
              </w:tc>
            </w:tr>
            <w:tr w14:paraId="5454F80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68" w:type="pct"/>
                  <w:tcBorders>
                    <w:top w:val="single" w:color="auto" w:sz="6" w:space="0"/>
                    <w:bottom w:val="single" w:color="auto" w:sz="6" w:space="0"/>
                    <w:right w:val="single" w:color="auto" w:sz="6" w:space="0"/>
                  </w:tcBorders>
                  <w:vAlign w:val="center"/>
                </w:tcPr>
                <w:p w14:paraId="3CD42F1F">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一氧化碳</w:t>
                  </w:r>
                </w:p>
              </w:tc>
              <w:tc>
                <w:tcPr>
                  <w:tcW w:w="1048" w:type="pct"/>
                  <w:tcBorders>
                    <w:top w:val="single" w:color="auto" w:sz="6" w:space="0"/>
                    <w:left w:val="single" w:color="auto" w:sz="6" w:space="0"/>
                    <w:bottom w:val="single" w:color="auto" w:sz="6" w:space="0"/>
                    <w:right w:val="single" w:color="auto" w:sz="6" w:space="0"/>
                  </w:tcBorders>
                  <w:vAlign w:val="center"/>
                </w:tcPr>
                <w:p w14:paraId="58029362">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95 百分位数日平均质量浓度</w:t>
                  </w:r>
                </w:p>
              </w:tc>
              <w:tc>
                <w:tcPr>
                  <w:tcW w:w="663" w:type="pct"/>
                  <w:tcBorders>
                    <w:top w:val="single" w:color="auto" w:sz="6" w:space="0"/>
                    <w:left w:val="single" w:color="auto" w:sz="6" w:space="0"/>
                    <w:bottom w:val="single" w:color="auto" w:sz="6" w:space="0"/>
                    <w:right w:val="single" w:color="auto" w:sz="6" w:space="0"/>
                  </w:tcBorders>
                  <w:vAlign w:val="center"/>
                </w:tcPr>
                <w:p w14:paraId="75EB388D">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900</w:t>
                  </w:r>
                </w:p>
              </w:tc>
              <w:tc>
                <w:tcPr>
                  <w:tcW w:w="759" w:type="pct"/>
                  <w:tcBorders>
                    <w:top w:val="single" w:color="auto" w:sz="6" w:space="0"/>
                    <w:left w:val="single" w:color="auto" w:sz="6" w:space="0"/>
                    <w:bottom w:val="single" w:color="auto" w:sz="6" w:space="0"/>
                    <w:right w:val="single" w:color="auto" w:sz="6" w:space="0"/>
                  </w:tcBorders>
                  <w:vAlign w:val="center"/>
                </w:tcPr>
                <w:p w14:paraId="5029A9D4">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4000</w:t>
                  </w:r>
                </w:p>
              </w:tc>
              <w:tc>
                <w:tcPr>
                  <w:tcW w:w="591" w:type="pct"/>
                  <w:tcBorders>
                    <w:top w:val="single" w:color="auto" w:sz="6" w:space="0"/>
                    <w:left w:val="single" w:color="auto" w:sz="6" w:space="0"/>
                    <w:bottom w:val="single" w:color="auto" w:sz="6" w:space="0"/>
                    <w:right w:val="single" w:color="auto" w:sz="6" w:space="0"/>
                  </w:tcBorders>
                  <w:vAlign w:val="center"/>
                </w:tcPr>
                <w:p w14:paraId="1B97EB53">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22.5</w:t>
                  </w:r>
                </w:p>
              </w:tc>
              <w:tc>
                <w:tcPr>
                  <w:tcW w:w="672" w:type="pct"/>
                  <w:tcBorders>
                    <w:top w:val="single" w:color="auto" w:sz="6" w:space="0"/>
                    <w:left w:val="single" w:color="auto" w:sz="6" w:space="0"/>
                    <w:bottom w:val="single" w:color="auto" w:sz="6" w:space="0"/>
                  </w:tcBorders>
                  <w:vAlign w:val="center"/>
                </w:tcPr>
                <w:p w14:paraId="440E9E17">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达标</w:t>
                  </w:r>
                </w:p>
              </w:tc>
            </w:tr>
            <w:tr w14:paraId="4D5FA9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68" w:type="pct"/>
                  <w:tcBorders>
                    <w:top w:val="single" w:color="auto" w:sz="6" w:space="0"/>
                    <w:bottom w:val="single" w:color="auto" w:sz="12" w:space="0"/>
                    <w:right w:val="single" w:color="auto" w:sz="6" w:space="0"/>
                  </w:tcBorders>
                  <w:vAlign w:val="center"/>
                </w:tcPr>
                <w:p w14:paraId="56B22772">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臭氧</w:t>
                  </w:r>
                </w:p>
              </w:tc>
              <w:tc>
                <w:tcPr>
                  <w:tcW w:w="1048" w:type="pct"/>
                  <w:tcBorders>
                    <w:top w:val="single" w:color="auto" w:sz="6" w:space="0"/>
                    <w:left w:val="single" w:color="auto" w:sz="6" w:space="0"/>
                    <w:bottom w:val="single" w:color="auto" w:sz="12" w:space="0"/>
                    <w:right w:val="single" w:color="auto" w:sz="6" w:space="0"/>
                  </w:tcBorders>
                  <w:vAlign w:val="center"/>
                </w:tcPr>
                <w:p w14:paraId="58DF8B19">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8h</w:t>
                  </w:r>
                  <w:r>
                    <w:rPr>
                      <w:rFonts w:hint="eastAsia"/>
                      <w:color w:val="auto"/>
                      <w:szCs w:val="21"/>
                    </w:rPr>
                    <w:t>平均质量浓度</w:t>
                  </w:r>
                </w:p>
              </w:tc>
              <w:tc>
                <w:tcPr>
                  <w:tcW w:w="663" w:type="pct"/>
                  <w:tcBorders>
                    <w:top w:val="single" w:color="auto" w:sz="6" w:space="0"/>
                    <w:left w:val="single" w:color="auto" w:sz="6" w:space="0"/>
                    <w:bottom w:val="single" w:color="auto" w:sz="12" w:space="0"/>
                    <w:right w:val="single" w:color="auto" w:sz="6" w:space="0"/>
                  </w:tcBorders>
                  <w:vAlign w:val="center"/>
                </w:tcPr>
                <w:p w14:paraId="45BCB190">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105</w:t>
                  </w:r>
                </w:p>
              </w:tc>
              <w:tc>
                <w:tcPr>
                  <w:tcW w:w="759" w:type="pct"/>
                  <w:tcBorders>
                    <w:top w:val="single" w:color="auto" w:sz="6" w:space="0"/>
                    <w:left w:val="single" w:color="auto" w:sz="6" w:space="0"/>
                    <w:bottom w:val="single" w:color="auto" w:sz="12" w:space="0"/>
                    <w:right w:val="single" w:color="auto" w:sz="6" w:space="0"/>
                  </w:tcBorders>
                  <w:vAlign w:val="center"/>
                </w:tcPr>
                <w:p w14:paraId="5487E19D">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160</w:t>
                  </w:r>
                </w:p>
              </w:tc>
              <w:tc>
                <w:tcPr>
                  <w:tcW w:w="591" w:type="pct"/>
                  <w:tcBorders>
                    <w:top w:val="single" w:color="auto" w:sz="6" w:space="0"/>
                    <w:left w:val="single" w:color="auto" w:sz="6" w:space="0"/>
                    <w:bottom w:val="single" w:color="auto" w:sz="12" w:space="0"/>
                    <w:right w:val="single" w:color="auto" w:sz="6" w:space="0"/>
                  </w:tcBorders>
                  <w:vAlign w:val="center"/>
                </w:tcPr>
                <w:p w14:paraId="4EABF466">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65.6</w:t>
                  </w:r>
                </w:p>
              </w:tc>
              <w:tc>
                <w:tcPr>
                  <w:tcW w:w="672" w:type="pct"/>
                  <w:tcBorders>
                    <w:top w:val="single" w:color="auto" w:sz="6" w:space="0"/>
                    <w:left w:val="single" w:color="auto" w:sz="6" w:space="0"/>
                    <w:bottom w:val="single" w:color="auto" w:sz="12" w:space="0"/>
                  </w:tcBorders>
                  <w:vAlign w:val="center"/>
                </w:tcPr>
                <w:p w14:paraId="182F841B">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达标</w:t>
                  </w:r>
                </w:p>
              </w:tc>
            </w:tr>
          </w:tbl>
          <w:p w14:paraId="13F41C39">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GB" w:eastAsia="zh-CN"/>
              </w:rPr>
              <w:t>（</w:t>
            </w:r>
            <w:r>
              <w:rPr>
                <w:rFonts w:hint="eastAsia" w:ascii="Times New Roman" w:hAnsi="Times New Roman" w:cs="Times New Roman"/>
                <w:color w:val="auto"/>
                <w:sz w:val="24"/>
                <w:szCs w:val="24"/>
                <w:highlight w:val="none"/>
                <w:lang w:val="en-US" w:eastAsia="zh-CN"/>
              </w:rPr>
              <w:t>2</w:t>
            </w:r>
            <w:r>
              <w:rPr>
                <w:rFonts w:hint="eastAsia" w:ascii="Times New Roman" w:hAnsi="Times New Roman" w:cs="Times New Roman"/>
                <w:color w:val="auto"/>
                <w:sz w:val="24"/>
                <w:szCs w:val="24"/>
                <w:highlight w:val="none"/>
                <w:lang w:val="en-GB" w:eastAsia="zh-CN"/>
              </w:rPr>
              <w:t>）</w:t>
            </w:r>
            <w:r>
              <w:rPr>
                <w:rFonts w:hint="eastAsia" w:ascii="Times New Roman" w:hAnsi="Times New Roman" w:cs="Times New Roman"/>
                <w:color w:val="auto"/>
                <w:sz w:val="24"/>
                <w:szCs w:val="24"/>
                <w:highlight w:val="none"/>
                <w:lang w:val="en-US" w:eastAsia="zh-CN"/>
              </w:rPr>
              <w:t>其他污染物</w:t>
            </w:r>
          </w:p>
          <w:p w14:paraId="3A342B5B">
            <w:pPr>
              <w:keepLines w:val="0"/>
              <w:pageBreakBefore w:val="0"/>
              <w:shd w:val="clear"/>
              <w:topLinePunct w:val="0"/>
              <w:bidi w:val="0"/>
              <w:adjustRightInd w:val="0"/>
              <w:snapToGrid w:val="0"/>
              <w:spacing w:beforeAutospacing="0" w:afterAutospacing="0" w:line="360" w:lineRule="auto"/>
              <w:ind w:left="0" w:leftChars="0" w:right="0" w:righ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highlight w:val="none"/>
              </w:rPr>
              <w:t>其他污染物中TSP</w:t>
            </w:r>
            <w:r>
              <w:rPr>
                <w:rFonts w:hint="eastAsia" w:cs="Times New Roman"/>
                <w:color w:val="auto"/>
                <w:sz w:val="24"/>
                <w:lang w:val="en-US" w:eastAsia="zh-CN"/>
              </w:rPr>
              <w:t>和氮氧化物</w:t>
            </w:r>
            <w:r>
              <w:rPr>
                <w:rFonts w:hint="default" w:ascii="Times New Roman" w:hAnsi="Times New Roman" w:cs="Times New Roman"/>
                <w:color w:val="auto"/>
                <w:sz w:val="24"/>
                <w:highlight w:val="none"/>
              </w:rPr>
              <w:t>质量现状评价委托</w:t>
            </w:r>
            <w:r>
              <w:rPr>
                <w:rFonts w:hint="eastAsia"/>
                <w:snapToGrid w:val="0"/>
                <w:color w:val="auto"/>
                <w:sz w:val="24"/>
                <w:lang w:val="en-GB"/>
              </w:rPr>
              <w:t>黑龙江华洲检测有限公司</w:t>
            </w:r>
            <w:r>
              <w:rPr>
                <w:rFonts w:hint="default" w:ascii="Times New Roman" w:hAnsi="Times New Roman" w:cs="Times New Roman"/>
                <w:color w:val="auto"/>
                <w:sz w:val="24"/>
                <w:highlight w:val="none"/>
              </w:rPr>
              <w:t>于202</w:t>
            </w:r>
            <w:r>
              <w:rPr>
                <w:rFonts w:hint="eastAsia" w:cs="Times New Roman"/>
                <w:color w:val="auto"/>
                <w:sz w:val="24"/>
                <w:highlight w:val="none"/>
                <w:lang w:val="en-US" w:eastAsia="zh-CN"/>
              </w:rPr>
              <w:t>5</w:t>
            </w:r>
            <w:r>
              <w:rPr>
                <w:rFonts w:hint="default" w:ascii="Times New Roman" w:hAnsi="Times New Roman" w:cs="Times New Roman"/>
                <w:color w:val="auto"/>
                <w:sz w:val="24"/>
                <w:highlight w:val="none"/>
              </w:rPr>
              <w:t>年</w:t>
            </w:r>
            <w:r>
              <w:rPr>
                <w:rFonts w:hint="eastAsia" w:cs="Times New Roman"/>
                <w:color w:val="auto"/>
                <w:sz w:val="24"/>
                <w:highlight w:val="none"/>
                <w:lang w:val="en-US" w:eastAsia="zh-CN"/>
              </w:rPr>
              <w:t>8</w:t>
            </w:r>
            <w:r>
              <w:rPr>
                <w:rFonts w:hint="default" w:ascii="Times New Roman" w:hAnsi="Times New Roman" w:cs="Times New Roman"/>
                <w:color w:val="auto"/>
                <w:sz w:val="24"/>
                <w:highlight w:val="none"/>
              </w:rPr>
              <w:t>月</w:t>
            </w:r>
            <w:r>
              <w:rPr>
                <w:rFonts w:hint="eastAsia" w:cs="Times New Roman"/>
                <w:color w:val="auto"/>
                <w:sz w:val="24"/>
                <w:highlight w:val="none"/>
                <w:lang w:val="en-US" w:eastAsia="zh-CN"/>
              </w:rPr>
              <w:t>25</w:t>
            </w:r>
            <w:r>
              <w:rPr>
                <w:rFonts w:hint="default" w:ascii="Times New Roman" w:hAnsi="Times New Roman" w:cs="Times New Roman"/>
                <w:color w:val="auto"/>
                <w:sz w:val="24"/>
                <w:highlight w:val="none"/>
              </w:rPr>
              <w:t>日至</w:t>
            </w:r>
            <w:r>
              <w:rPr>
                <w:rFonts w:hint="eastAsia" w:cs="Times New Roman"/>
                <w:color w:val="auto"/>
                <w:sz w:val="24"/>
                <w:highlight w:val="none"/>
                <w:lang w:val="en-US" w:eastAsia="zh-CN"/>
              </w:rPr>
              <w:t>8月27</w:t>
            </w:r>
            <w:r>
              <w:rPr>
                <w:rFonts w:hint="default" w:ascii="Times New Roman" w:hAnsi="Times New Roman" w:cs="Times New Roman"/>
                <w:color w:val="auto"/>
                <w:sz w:val="24"/>
                <w:highlight w:val="none"/>
              </w:rPr>
              <w:t>日进行了现状检测，连续监</w:t>
            </w:r>
            <w:r>
              <w:rPr>
                <w:rFonts w:hint="default" w:ascii="Times New Roman" w:hAnsi="Times New Roman" w:cs="Times New Roman"/>
                <w:color w:val="auto"/>
                <w:sz w:val="24"/>
              </w:rPr>
              <w:t>测</w:t>
            </w:r>
            <w:r>
              <w:rPr>
                <w:rFonts w:hint="eastAsia" w:cs="Times New Roman"/>
                <w:color w:val="auto"/>
                <w:sz w:val="24"/>
                <w:lang w:val="en-US" w:eastAsia="zh-CN"/>
              </w:rPr>
              <w:t>3</w:t>
            </w:r>
            <w:r>
              <w:rPr>
                <w:rFonts w:hint="default" w:ascii="Times New Roman" w:hAnsi="Times New Roman" w:cs="Times New Roman"/>
                <w:color w:val="auto"/>
                <w:sz w:val="24"/>
              </w:rPr>
              <w:t>天，检测报告见附件。</w:t>
            </w:r>
          </w:p>
          <w:p w14:paraId="2C290FE7">
            <w:pPr>
              <w:keepLines w:val="0"/>
              <w:pageBreakBefore w:val="0"/>
              <w:shd w:val="clear"/>
              <w:topLinePunct w:val="0"/>
              <w:bidi w:val="0"/>
              <w:adjustRightInd w:val="0"/>
              <w:snapToGrid w:val="0"/>
              <w:spacing w:beforeAutospacing="0" w:afterAutospacing="0" w:line="360" w:lineRule="auto"/>
              <w:ind w:left="0" w:leftChars="0" w:right="0" w:righ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检测因子：根据工程分析，确定项目检测因子为TSP</w:t>
            </w:r>
            <w:r>
              <w:rPr>
                <w:rFonts w:hint="eastAsia" w:cs="Times New Roman"/>
                <w:color w:val="auto"/>
                <w:sz w:val="24"/>
                <w:lang w:val="en-US" w:eastAsia="zh-CN"/>
              </w:rPr>
              <w:t>和氮氧化物</w:t>
            </w:r>
            <w:r>
              <w:rPr>
                <w:rFonts w:hint="default" w:ascii="Times New Roman" w:hAnsi="Times New Roman" w:cs="Times New Roman"/>
                <w:color w:val="auto"/>
                <w:sz w:val="24"/>
              </w:rPr>
              <w:t>。</w:t>
            </w:r>
          </w:p>
          <w:p w14:paraId="7B718D18">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snapToGrid w:val="0"/>
                <w:color w:val="auto"/>
                <w:kern w:val="0"/>
                <w:sz w:val="24"/>
                <w:szCs w:val="24"/>
                <w:highlight w:val="none"/>
              </w:rPr>
            </w:pPr>
            <w:r>
              <w:rPr>
                <w:rFonts w:hint="default" w:ascii="Times New Roman" w:hAnsi="Times New Roman" w:cs="Times New Roman"/>
                <w:color w:val="auto"/>
                <w:sz w:val="24"/>
              </w:rPr>
              <w:t>检测点位：根据拟建工程的污染特征、当地气象条件、地形分布及评价区域环境功能区划</w:t>
            </w:r>
            <w:bookmarkStart w:id="39" w:name="_GoBack"/>
            <w:bookmarkEnd w:id="39"/>
            <w:r>
              <w:rPr>
                <w:rFonts w:hint="default" w:ascii="Times New Roman" w:hAnsi="Times New Roman" w:cs="Times New Roman"/>
                <w:color w:val="auto"/>
                <w:sz w:val="24"/>
              </w:rPr>
              <w:t>要求等，</w:t>
            </w:r>
            <w:r>
              <w:rPr>
                <w:snapToGrid w:val="0"/>
                <w:color w:val="auto"/>
                <w:sz w:val="24"/>
                <w:lang w:val="en-GB"/>
              </w:rPr>
              <w:t>在</w:t>
            </w:r>
            <w:r>
              <w:rPr>
                <w:rFonts w:hint="eastAsia"/>
                <w:snapToGrid w:val="0"/>
                <w:color w:val="FF0000"/>
                <w:sz w:val="24"/>
                <w:lang w:val="en-US" w:eastAsia="zh-CN"/>
              </w:rPr>
              <w:t>当季主导风向</w:t>
            </w:r>
            <w:r>
              <w:rPr>
                <w:snapToGrid w:val="0"/>
                <w:color w:val="FF0000"/>
                <w:sz w:val="24"/>
                <w:lang w:val="en-GB"/>
              </w:rPr>
              <w:t>下风向</w:t>
            </w:r>
            <w:r>
              <w:rPr>
                <w:rFonts w:hint="eastAsia"/>
                <w:snapToGrid w:val="0"/>
                <w:color w:val="FF0000"/>
                <w:sz w:val="24"/>
              </w:rPr>
              <w:t>1</w:t>
            </w:r>
            <w:r>
              <w:rPr>
                <w:rFonts w:hint="eastAsia"/>
                <w:snapToGrid w:val="0"/>
                <w:color w:val="FF0000"/>
                <w:sz w:val="24"/>
                <w:lang w:val="en-US" w:eastAsia="zh-CN"/>
              </w:rPr>
              <w:t>0</w:t>
            </w:r>
            <w:r>
              <w:rPr>
                <w:rFonts w:hint="eastAsia"/>
                <w:snapToGrid w:val="0"/>
                <w:color w:val="FF0000"/>
                <w:sz w:val="24"/>
              </w:rPr>
              <w:t>m</w:t>
            </w:r>
            <w:r>
              <w:rPr>
                <w:snapToGrid w:val="0"/>
                <w:color w:val="FF0000"/>
                <w:sz w:val="24"/>
                <w:lang w:val="en-GB"/>
              </w:rPr>
              <w:t>处</w:t>
            </w:r>
            <w:r>
              <w:rPr>
                <w:snapToGrid w:val="0"/>
                <w:color w:val="auto"/>
                <w:sz w:val="24"/>
                <w:lang w:val="en-GB"/>
              </w:rPr>
              <w:t>布设1个检测点位，</w:t>
            </w:r>
            <w:r>
              <w:rPr>
                <w:rFonts w:hint="default" w:ascii="Times New Roman" w:hAnsi="Times New Roman" w:cs="Times New Roman"/>
                <w:color w:val="auto"/>
                <w:sz w:val="24"/>
              </w:rPr>
              <w:t>点位分布情况见表3-</w:t>
            </w:r>
            <w:r>
              <w:rPr>
                <w:rFonts w:hint="eastAsia" w:cs="Times New Roman"/>
                <w:color w:val="auto"/>
                <w:sz w:val="24"/>
                <w:lang w:val="en-US" w:eastAsia="zh-CN"/>
              </w:rPr>
              <w:t>2</w:t>
            </w:r>
            <w:r>
              <w:rPr>
                <w:rFonts w:hint="default" w:ascii="Times New Roman" w:hAnsi="Times New Roman" w:cs="Times New Roman"/>
                <w:color w:val="auto"/>
                <w:sz w:val="24"/>
              </w:rPr>
              <w:t>和图3-1。</w:t>
            </w:r>
          </w:p>
          <w:p w14:paraId="28D3FF6A">
            <w:pPr>
              <w:pStyle w:val="111"/>
              <w:shd w:val="clear"/>
              <w:spacing w:line="240" w:lineRule="auto"/>
              <w:rPr>
                <w:rFonts w:ascii="Times New Roman" w:hAnsi="Times New Roman" w:eastAsia="宋体"/>
                <w:b/>
                <w:color w:val="auto"/>
                <w:sz w:val="21"/>
                <w:szCs w:val="21"/>
                <w:highlight w:val="none"/>
              </w:rPr>
            </w:pPr>
            <w:bookmarkStart w:id="12" w:name="_Hlk71806932"/>
            <w:r>
              <w:rPr>
                <w:rFonts w:ascii="Times New Roman" w:hAnsi="Times New Roman" w:eastAsia="宋体"/>
                <w:b/>
                <w:color w:val="auto"/>
                <w:sz w:val="21"/>
                <w:szCs w:val="21"/>
                <w:highlight w:val="none"/>
              </w:rPr>
              <w:t>表</w:t>
            </w:r>
            <w:r>
              <w:rPr>
                <w:rFonts w:hint="eastAsia" w:ascii="Times New Roman" w:hAnsi="Times New Roman" w:eastAsia="宋体"/>
                <w:b/>
                <w:color w:val="auto"/>
                <w:sz w:val="21"/>
                <w:szCs w:val="21"/>
                <w:highlight w:val="none"/>
                <w:lang w:val="en-US" w:eastAsia="zh-CN"/>
              </w:rPr>
              <w:t>3</w:t>
            </w:r>
            <w:r>
              <w:rPr>
                <w:rFonts w:ascii="Times New Roman" w:hAnsi="Times New Roman" w:eastAsia="宋体"/>
                <w:b/>
                <w:color w:val="auto"/>
                <w:sz w:val="21"/>
                <w:szCs w:val="21"/>
                <w:highlight w:val="none"/>
              </w:rPr>
              <w:t>-</w:t>
            </w:r>
            <w:r>
              <w:rPr>
                <w:rFonts w:hint="eastAsia" w:ascii="Times New Roman" w:hAnsi="Times New Roman" w:eastAsia="宋体"/>
                <w:b/>
                <w:color w:val="auto"/>
                <w:sz w:val="21"/>
                <w:szCs w:val="21"/>
                <w:highlight w:val="none"/>
                <w:lang w:val="en-US" w:eastAsia="zh-CN"/>
              </w:rPr>
              <w:t xml:space="preserve">2 </w:t>
            </w:r>
            <w:r>
              <w:rPr>
                <w:rFonts w:hint="eastAsia" w:ascii="Times New Roman" w:hAnsi="Times New Roman" w:eastAsia="宋体"/>
                <w:b/>
                <w:color w:val="auto"/>
                <w:sz w:val="21"/>
                <w:szCs w:val="21"/>
                <w:highlight w:val="none"/>
                <w:lang w:eastAsia="zh-CN"/>
              </w:rPr>
              <w:t xml:space="preserve"> </w:t>
            </w:r>
            <w:r>
              <w:rPr>
                <w:rFonts w:ascii="Times New Roman" w:hAnsi="Times New Roman" w:eastAsia="宋体"/>
                <w:b/>
                <w:color w:val="auto"/>
                <w:sz w:val="21"/>
                <w:szCs w:val="21"/>
                <w:highlight w:val="none"/>
              </w:rPr>
              <w:t>环境空气监测布点情况</w:t>
            </w:r>
          </w:p>
          <w:bookmarkEnd w:id="12"/>
          <w:tbl>
            <w:tblPr>
              <w:tblStyle w:val="3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2"/>
              <w:gridCol w:w="1505"/>
              <w:gridCol w:w="1358"/>
              <w:gridCol w:w="974"/>
              <w:gridCol w:w="1424"/>
              <w:gridCol w:w="769"/>
              <w:gridCol w:w="812"/>
            </w:tblGrid>
            <w:tr w14:paraId="0E25C7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17" w:type="dxa"/>
                  <w:vMerge w:val="restart"/>
                  <w:noWrap w:val="0"/>
                  <w:vAlign w:val="center"/>
                </w:tcPr>
                <w:p w14:paraId="4C6B82C6">
                  <w:pPr>
                    <w:pStyle w:val="133"/>
                    <w:shd w:val="clear"/>
                    <w:adjustRightInd w:val="0"/>
                    <w:snapToGrid w:val="0"/>
                    <w:rPr>
                      <w:rFonts w:hint="default" w:ascii="Times New Roman" w:hAnsi="Times New Roman" w:eastAsia="宋体"/>
                      <w:color w:val="auto"/>
                      <w:szCs w:val="21"/>
                      <w:highlight w:val="none"/>
                    </w:rPr>
                  </w:pPr>
                  <w:bookmarkStart w:id="13" w:name="_Hlk84528933"/>
                  <w:r>
                    <w:rPr>
                      <w:rFonts w:hint="default" w:ascii="Times New Roman" w:hAnsi="Times New Roman" w:eastAsia="宋体"/>
                      <w:color w:val="auto"/>
                      <w:szCs w:val="21"/>
                      <w:highlight w:val="none"/>
                    </w:rPr>
                    <w:t>监测点名称</w:t>
                  </w:r>
                </w:p>
              </w:tc>
              <w:tc>
                <w:tcPr>
                  <w:tcW w:w="2854" w:type="dxa"/>
                  <w:gridSpan w:val="2"/>
                  <w:noWrap w:val="0"/>
                  <w:vAlign w:val="center"/>
                </w:tcPr>
                <w:p w14:paraId="0523939E">
                  <w:pPr>
                    <w:pStyle w:val="133"/>
                    <w:shd w:val="clear"/>
                    <w:adjustRightInd w:val="0"/>
                    <w:snapToGrid w:val="0"/>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监测点位坐标</w:t>
                  </w:r>
                </w:p>
              </w:tc>
              <w:tc>
                <w:tcPr>
                  <w:tcW w:w="970" w:type="dxa"/>
                  <w:vMerge w:val="restart"/>
                  <w:noWrap w:val="0"/>
                  <w:vAlign w:val="center"/>
                </w:tcPr>
                <w:p w14:paraId="0893FE79">
                  <w:pPr>
                    <w:pStyle w:val="133"/>
                    <w:shd w:val="clear"/>
                    <w:adjustRightInd w:val="0"/>
                    <w:snapToGrid w:val="0"/>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监测</w:t>
                  </w:r>
                </w:p>
                <w:p w14:paraId="7F6267E5">
                  <w:pPr>
                    <w:pStyle w:val="133"/>
                    <w:shd w:val="clear"/>
                    <w:adjustRightInd w:val="0"/>
                    <w:snapToGrid w:val="0"/>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因子</w:t>
                  </w:r>
                </w:p>
              </w:tc>
              <w:tc>
                <w:tcPr>
                  <w:tcW w:w="1419" w:type="dxa"/>
                  <w:vMerge w:val="restart"/>
                  <w:noWrap w:val="0"/>
                  <w:vAlign w:val="center"/>
                </w:tcPr>
                <w:p w14:paraId="2F50D504">
                  <w:pPr>
                    <w:pStyle w:val="133"/>
                    <w:shd w:val="clear"/>
                    <w:adjustRightInd w:val="0"/>
                    <w:snapToGrid w:val="0"/>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监测时段</w:t>
                  </w:r>
                </w:p>
              </w:tc>
              <w:tc>
                <w:tcPr>
                  <w:tcW w:w="766" w:type="dxa"/>
                  <w:vMerge w:val="restart"/>
                  <w:noWrap w:val="0"/>
                  <w:vAlign w:val="center"/>
                </w:tcPr>
                <w:p w14:paraId="79DF4068">
                  <w:pPr>
                    <w:pStyle w:val="133"/>
                    <w:shd w:val="clear"/>
                    <w:adjustRightInd w:val="0"/>
                    <w:snapToGrid w:val="0"/>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相对厂址方位</w:t>
                  </w:r>
                </w:p>
              </w:tc>
              <w:tc>
                <w:tcPr>
                  <w:tcW w:w="809" w:type="dxa"/>
                  <w:vMerge w:val="restart"/>
                  <w:noWrap w:val="0"/>
                  <w:vAlign w:val="center"/>
                </w:tcPr>
                <w:p w14:paraId="3AEB568C">
                  <w:pPr>
                    <w:pStyle w:val="133"/>
                    <w:shd w:val="clear"/>
                    <w:adjustRightInd w:val="0"/>
                    <w:snapToGrid w:val="0"/>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相对厂界距离/m</w:t>
                  </w:r>
                </w:p>
              </w:tc>
            </w:tr>
            <w:tr w14:paraId="613C5F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17" w:type="dxa"/>
                  <w:vMerge w:val="continue"/>
                  <w:noWrap w:val="0"/>
                  <w:vAlign w:val="center"/>
                </w:tcPr>
                <w:p w14:paraId="6CFB2837">
                  <w:pPr>
                    <w:pStyle w:val="133"/>
                    <w:shd w:val="clear"/>
                    <w:adjustRightInd w:val="0"/>
                    <w:snapToGrid w:val="0"/>
                    <w:rPr>
                      <w:rFonts w:hint="default" w:ascii="Times New Roman" w:hAnsi="Times New Roman" w:eastAsia="宋体"/>
                      <w:color w:val="auto"/>
                      <w:szCs w:val="21"/>
                      <w:highlight w:val="none"/>
                    </w:rPr>
                  </w:pPr>
                </w:p>
              </w:tc>
              <w:tc>
                <w:tcPr>
                  <w:tcW w:w="1500" w:type="dxa"/>
                  <w:noWrap w:val="0"/>
                  <w:vAlign w:val="center"/>
                </w:tcPr>
                <w:p w14:paraId="39234D3D">
                  <w:pPr>
                    <w:pStyle w:val="133"/>
                    <w:shd w:val="clear"/>
                    <w:adjustRightInd w:val="0"/>
                    <w:snapToGrid w:val="0"/>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东经</w:t>
                  </w:r>
                </w:p>
              </w:tc>
              <w:tc>
                <w:tcPr>
                  <w:tcW w:w="1354" w:type="dxa"/>
                  <w:noWrap w:val="0"/>
                  <w:vAlign w:val="center"/>
                </w:tcPr>
                <w:p w14:paraId="5BD0329E">
                  <w:pPr>
                    <w:pStyle w:val="133"/>
                    <w:shd w:val="clear"/>
                    <w:adjustRightInd w:val="0"/>
                    <w:snapToGrid w:val="0"/>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北纬</w:t>
                  </w:r>
                </w:p>
              </w:tc>
              <w:tc>
                <w:tcPr>
                  <w:tcW w:w="970" w:type="dxa"/>
                  <w:vMerge w:val="continue"/>
                  <w:noWrap w:val="0"/>
                  <w:vAlign w:val="center"/>
                </w:tcPr>
                <w:p w14:paraId="6C4ABFF5">
                  <w:pPr>
                    <w:pStyle w:val="133"/>
                    <w:shd w:val="clear"/>
                    <w:adjustRightInd w:val="0"/>
                    <w:snapToGrid w:val="0"/>
                    <w:rPr>
                      <w:rFonts w:hint="default" w:ascii="Times New Roman" w:hAnsi="Times New Roman" w:eastAsia="宋体"/>
                      <w:color w:val="auto"/>
                      <w:szCs w:val="21"/>
                      <w:highlight w:val="none"/>
                    </w:rPr>
                  </w:pPr>
                </w:p>
              </w:tc>
              <w:tc>
                <w:tcPr>
                  <w:tcW w:w="1419" w:type="dxa"/>
                  <w:vMerge w:val="continue"/>
                  <w:noWrap w:val="0"/>
                  <w:vAlign w:val="center"/>
                </w:tcPr>
                <w:p w14:paraId="78767D09">
                  <w:pPr>
                    <w:pStyle w:val="133"/>
                    <w:shd w:val="clear"/>
                    <w:adjustRightInd w:val="0"/>
                    <w:snapToGrid w:val="0"/>
                    <w:rPr>
                      <w:rFonts w:hint="default" w:ascii="Times New Roman" w:hAnsi="Times New Roman" w:eastAsia="宋体"/>
                      <w:color w:val="auto"/>
                      <w:szCs w:val="21"/>
                      <w:highlight w:val="none"/>
                    </w:rPr>
                  </w:pPr>
                </w:p>
              </w:tc>
              <w:tc>
                <w:tcPr>
                  <w:tcW w:w="766" w:type="dxa"/>
                  <w:vMerge w:val="continue"/>
                  <w:noWrap w:val="0"/>
                  <w:vAlign w:val="center"/>
                </w:tcPr>
                <w:p w14:paraId="4D98A9AC">
                  <w:pPr>
                    <w:pStyle w:val="133"/>
                    <w:shd w:val="clear"/>
                    <w:adjustRightInd w:val="0"/>
                    <w:snapToGrid w:val="0"/>
                    <w:jc w:val="both"/>
                    <w:rPr>
                      <w:rFonts w:hint="default" w:ascii="Times New Roman" w:hAnsi="Times New Roman" w:eastAsia="宋体"/>
                      <w:color w:val="auto"/>
                      <w:szCs w:val="21"/>
                      <w:highlight w:val="none"/>
                    </w:rPr>
                  </w:pPr>
                </w:p>
              </w:tc>
              <w:tc>
                <w:tcPr>
                  <w:tcW w:w="809" w:type="dxa"/>
                  <w:vMerge w:val="continue"/>
                  <w:noWrap w:val="0"/>
                  <w:vAlign w:val="center"/>
                </w:tcPr>
                <w:p w14:paraId="4CCA5C63">
                  <w:pPr>
                    <w:pStyle w:val="133"/>
                    <w:shd w:val="clear"/>
                    <w:adjustRightInd w:val="0"/>
                    <w:snapToGrid w:val="0"/>
                    <w:jc w:val="both"/>
                    <w:rPr>
                      <w:rFonts w:hint="default" w:ascii="Times New Roman" w:hAnsi="Times New Roman" w:eastAsia="宋体"/>
                      <w:color w:val="auto"/>
                      <w:szCs w:val="21"/>
                      <w:highlight w:val="none"/>
                    </w:rPr>
                  </w:pPr>
                </w:p>
              </w:tc>
            </w:tr>
            <w:tr w14:paraId="68ECEA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317" w:type="dxa"/>
                  <w:noWrap w:val="0"/>
                  <w:vAlign w:val="center"/>
                </w:tcPr>
                <w:p w14:paraId="33966BD1">
                  <w:pPr>
                    <w:pStyle w:val="133"/>
                    <w:shd w:val="clear"/>
                    <w:adjustRightInd w:val="0"/>
                    <w:snapToGrid w:val="0"/>
                    <w:rPr>
                      <w:rFonts w:hint="default" w:ascii="Times New Roman" w:hAnsi="Times New Roman" w:eastAsia="宋体"/>
                      <w:color w:val="FF0000"/>
                      <w:szCs w:val="21"/>
                      <w:highlight w:val="none"/>
                      <w:lang w:val="en-US" w:eastAsia="zh-CN"/>
                    </w:rPr>
                  </w:pPr>
                  <w:r>
                    <w:rPr>
                      <w:rFonts w:hint="eastAsia"/>
                      <w:color w:val="FF0000"/>
                      <w:szCs w:val="21"/>
                      <w:highlight w:val="none"/>
                      <w:lang w:val="en-US" w:eastAsia="zh-CN"/>
                    </w:rPr>
                    <w:t>当季主导风向</w:t>
                  </w:r>
                  <w:r>
                    <w:rPr>
                      <w:rFonts w:hint="eastAsia" w:ascii="Times New Roman" w:hAnsi="Times New Roman" w:eastAsia="宋体"/>
                      <w:color w:val="FF0000"/>
                      <w:szCs w:val="21"/>
                      <w:highlight w:val="none"/>
                      <w:lang w:eastAsia="zh-CN"/>
                    </w:rPr>
                    <w:t>下风向</w:t>
                  </w:r>
                  <w:r>
                    <w:rPr>
                      <w:rFonts w:hint="eastAsia" w:ascii="Times New Roman" w:hAnsi="Times New Roman" w:eastAsia="宋体"/>
                      <w:color w:val="FF0000"/>
                      <w:szCs w:val="21"/>
                      <w:highlight w:val="none"/>
                      <w:lang w:val="en-US" w:eastAsia="zh-CN"/>
                    </w:rPr>
                    <w:t>1</w:t>
                  </w:r>
                  <w:r>
                    <w:rPr>
                      <w:rFonts w:hint="eastAsia"/>
                      <w:color w:val="FF0000"/>
                      <w:szCs w:val="21"/>
                      <w:highlight w:val="none"/>
                      <w:lang w:val="en-US" w:eastAsia="zh-CN"/>
                    </w:rPr>
                    <w:t>0</w:t>
                  </w:r>
                  <w:r>
                    <w:rPr>
                      <w:rFonts w:hint="eastAsia" w:ascii="Times New Roman" w:hAnsi="Times New Roman" w:eastAsia="宋体"/>
                      <w:color w:val="FF0000"/>
                      <w:szCs w:val="21"/>
                      <w:highlight w:val="none"/>
                      <w:lang w:val="en-US" w:eastAsia="zh-CN"/>
                    </w:rPr>
                    <w:t>m</w:t>
                  </w:r>
                </w:p>
              </w:tc>
              <w:tc>
                <w:tcPr>
                  <w:tcW w:w="1500" w:type="dxa"/>
                  <w:noWrap w:val="0"/>
                  <w:vAlign w:val="center"/>
                </w:tcPr>
                <w:p w14:paraId="71BA2A28">
                  <w:pPr>
                    <w:shd w:val="clear"/>
                    <w:adjustRightInd w:val="0"/>
                    <w:snapToGrid w:val="0"/>
                    <w:rPr>
                      <w:rFonts w:ascii="Times New Roman" w:hAnsi="Times New Roman" w:eastAsia="宋体"/>
                      <w:color w:val="auto"/>
                      <w:szCs w:val="21"/>
                      <w:highlight w:val="none"/>
                    </w:rPr>
                  </w:pPr>
                  <w:r>
                    <w:rPr>
                      <w:rFonts w:hint="eastAsia" w:ascii="Times New Roman" w:hAnsi="Times New Roman" w:eastAsia="宋体"/>
                      <w:color w:val="auto"/>
                      <w:szCs w:val="21"/>
                      <w:highlight w:val="none"/>
                    </w:rPr>
                    <w:t>131.17355093</w:t>
                  </w:r>
                </w:p>
              </w:tc>
              <w:tc>
                <w:tcPr>
                  <w:tcW w:w="1354" w:type="dxa"/>
                  <w:noWrap w:val="0"/>
                  <w:vAlign w:val="center"/>
                </w:tcPr>
                <w:p w14:paraId="66B65A7F">
                  <w:pPr>
                    <w:shd w:val="clear"/>
                    <w:adjustRightInd w:val="0"/>
                    <w:snapToGrid w:val="0"/>
                    <w:rPr>
                      <w:rFonts w:hint="eastAsia" w:ascii="Times New Roman" w:hAnsi="Times New Roman" w:eastAsia="宋体"/>
                      <w:color w:val="auto"/>
                      <w:szCs w:val="21"/>
                      <w:highlight w:val="none"/>
                      <w:lang w:eastAsia="zh-CN"/>
                    </w:rPr>
                  </w:pPr>
                  <w:r>
                    <w:rPr>
                      <w:rFonts w:hint="eastAsia" w:ascii="Times New Roman" w:hAnsi="Times New Roman" w:eastAsia="宋体"/>
                      <w:color w:val="auto"/>
                      <w:szCs w:val="21"/>
                      <w:highlight w:val="none"/>
                    </w:rPr>
                    <w:t>46.69071129</w:t>
                  </w:r>
                </w:p>
              </w:tc>
              <w:tc>
                <w:tcPr>
                  <w:tcW w:w="970" w:type="dxa"/>
                  <w:noWrap w:val="0"/>
                  <w:vAlign w:val="center"/>
                </w:tcPr>
                <w:p w14:paraId="776A020E">
                  <w:pPr>
                    <w:pStyle w:val="133"/>
                    <w:shd w:val="clear"/>
                    <w:adjustRightInd w:val="0"/>
                    <w:snapToGrid w:val="0"/>
                    <w:rPr>
                      <w:rFonts w:hint="eastAsia" w:ascii="Times New Roman" w:hAnsi="Times New Roman" w:eastAsia="宋体"/>
                      <w:color w:val="auto"/>
                      <w:szCs w:val="21"/>
                      <w:highlight w:val="none"/>
                      <w:lang w:eastAsia="zh-CN"/>
                    </w:rPr>
                  </w:pPr>
                  <w:r>
                    <w:rPr>
                      <w:rFonts w:hint="default" w:ascii="Times New Roman" w:hAnsi="Times New Roman" w:eastAsia="宋体"/>
                      <w:color w:val="auto"/>
                      <w:szCs w:val="21"/>
                      <w:highlight w:val="none"/>
                    </w:rPr>
                    <w:t>TSP</w:t>
                  </w:r>
                  <w:r>
                    <w:rPr>
                      <w:rFonts w:hint="eastAsia"/>
                      <w:color w:val="auto"/>
                      <w:szCs w:val="21"/>
                      <w:highlight w:val="none"/>
                      <w:lang w:eastAsia="zh-CN"/>
                    </w:rPr>
                    <w:t>、</w:t>
                  </w:r>
                  <w:r>
                    <w:rPr>
                      <w:rFonts w:hint="eastAsia" w:ascii="Times New Roman" w:hAnsi="Times New Roman" w:eastAsia="宋体" w:cs="Times New Roman"/>
                      <w:color w:val="auto"/>
                      <w:szCs w:val="21"/>
                      <w:highlight w:val="none"/>
                      <w:lang w:val="en-US" w:eastAsia="zh-CN"/>
                    </w:rPr>
                    <w:t>氮氧化物</w:t>
                  </w:r>
                </w:p>
              </w:tc>
              <w:tc>
                <w:tcPr>
                  <w:tcW w:w="1419" w:type="dxa"/>
                  <w:noWrap w:val="0"/>
                  <w:vAlign w:val="center"/>
                </w:tcPr>
                <w:p w14:paraId="449F8FC9">
                  <w:pPr>
                    <w:pStyle w:val="133"/>
                    <w:shd w:val="clear"/>
                    <w:adjustRightInd w:val="0"/>
                    <w:snapToGrid w:val="0"/>
                    <w:rPr>
                      <w:rFonts w:hint="default" w:ascii="Times New Roman" w:hAnsi="Times New Roman" w:eastAsia="宋体"/>
                      <w:color w:val="auto"/>
                      <w:szCs w:val="21"/>
                      <w:highlight w:val="none"/>
                      <w:lang w:val="en-US" w:eastAsia="zh-CN"/>
                    </w:rPr>
                  </w:pPr>
                  <w:r>
                    <w:rPr>
                      <w:rFonts w:hint="eastAsia"/>
                      <w:color w:val="auto"/>
                      <w:szCs w:val="21"/>
                      <w:highlight w:val="none"/>
                      <w:lang w:val="en-US" w:eastAsia="zh-CN"/>
                    </w:rPr>
                    <w:t>2025.8.25~2025.8.27</w:t>
                  </w:r>
                </w:p>
              </w:tc>
              <w:tc>
                <w:tcPr>
                  <w:tcW w:w="766" w:type="dxa"/>
                  <w:noWrap w:val="0"/>
                  <w:vAlign w:val="center"/>
                </w:tcPr>
                <w:p w14:paraId="1C254FB9">
                  <w:pPr>
                    <w:pStyle w:val="133"/>
                    <w:shd w:val="clear"/>
                    <w:adjustRightInd w:val="0"/>
                    <w:snapToGrid w:val="0"/>
                    <w:rPr>
                      <w:rFonts w:hint="default" w:ascii="Times New Roman" w:hAnsi="Times New Roman" w:eastAsia="宋体"/>
                      <w:color w:val="auto"/>
                      <w:szCs w:val="21"/>
                      <w:highlight w:val="none"/>
                      <w:lang w:val="en-US" w:eastAsia="zh-CN"/>
                    </w:rPr>
                  </w:pPr>
                  <w:r>
                    <w:rPr>
                      <w:rFonts w:hint="eastAsia"/>
                      <w:color w:val="auto"/>
                      <w:szCs w:val="21"/>
                      <w:highlight w:val="none"/>
                      <w:lang w:val="en-US" w:eastAsia="zh-CN"/>
                    </w:rPr>
                    <w:t>NE</w:t>
                  </w:r>
                </w:p>
              </w:tc>
              <w:tc>
                <w:tcPr>
                  <w:tcW w:w="809" w:type="dxa"/>
                  <w:noWrap w:val="0"/>
                  <w:vAlign w:val="center"/>
                </w:tcPr>
                <w:p w14:paraId="098563E6">
                  <w:pPr>
                    <w:pStyle w:val="133"/>
                    <w:shd w:val="clear"/>
                    <w:adjustRightInd w:val="0"/>
                    <w:snapToGrid w:val="0"/>
                    <w:rPr>
                      <w:rFonts w:hint="default" w:ascii="Times New Roman" w:hAnsi="Times New Roman" w:eastAsia="宋体"/>
                      <w:color w:val="auto"/>
                      <w:szCs w:val="21"/>
                      <w:highlight w:val="none"/>
                      <w:lang w:val="en-US" w:eastAsia="zh-CN"/>
                    </w:rPr>
                  </w:pPr>
                  <w:r>
                    <w:rPr>
                      <w:rFonts w:hint="eastAsia"/>
                      <w:color w:val="auto"/>
                      <w:szCs w:val="21"/>
                      <w:highlight w:val="none"/>
                      <w:lang w:val="en-US" w:eastAsia="zh-CN"/>
                    </w:rPr>
                    <w:t>10</w:t>
                  </w:r>
                </w:p>
              </w:tc>
            </w:tr>
            <w:bookmarkEnd w:id="13"/>
          </w:tbl>
          <w:p w14:paraId="4CF01C98">
            <w:pPr>
              <w:shd w:val="clear"/>
              <w:jc w:val="both"/>
              <w:rPr>
                <w:rFonts w:ascii="Times New Roman" w:hAnsi="Times New Roman" w:eastAsia="宋体"/>
                <w:b/>
                <w:snapToGrid w:val="0"/>
                <w:color w:val="auto"/>
                <w:kern w:val="0"/>
                <w:highlight w:val="none"/>
              </w:rPr>
            </w:pPr>
            <w:r>
              <w:rPr>
                <w:color w:val="auto"/>
              </w:rPr>
              <w:drawing>
                <wp:inline distT="0" distB="0" distL="114300" distR="114300">
                  <wp:extent cx="5163185" cy="3797300"/>
                  <wp:effectExtent l="0" t="0" r="18415" b="12700"/>
                  <wp:docPr id="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pic:cNvPicPr>
                            <a:picLocks noChangeAspect="1"/>
                          </pic:cNvPicPr>
                        </pic:nvPicPr>
                        <pic:blipFill>
                          <a:blip r:embed="rId13"/>
                          <a:stretch>
                            <a:fillRect/>
                          </a:stretch>
                        </pic:blipFill>
                        <pic:spPr>
                          <a:xfrm>
                            <a:off x="0" y="0"/>
                            <a:ext cx="5163185" cy="3797300"/>
                          </a:xfrm>
                          <a:prstGeom prst="rect">
                            <a:avLst/>
                          </a:prstGeom>
                          <a:noFill/>
                          <a:ln>
                            <a:noFill/>
                          </a:ln>
                        </pic:spPr>
                      </pic:pic>
                    </a:graphicData>
                  </a:graphic>
                </wp:inline>
              </w:drawing>
            </w:r>
          </w:p>
          <w:p w14:paraId="0C6E6A15">
            <w:pPr>
              <w:shd w:val="clear"/>
              <w:jc w:val="center"/>
              <w:rPr>
                <w:rFonts w:hint="eastAsia" w:ascii="Times New Roman" w:hAnsi="Times New Roman" w:eastAsia="宋体"/>
                <w:b/>
                <w:snapToGrid w:val="0"/>
                <w:color w:val="auto"/>
                <w:kern w:val="0"/>
                <w:highlight w:val="none"/>
              </w:rPr>
            </w:pPr>
            <w:r>
              <w:rPr>
                <w:rFonts w:ascii="Times New Roman" w:hAnsi="Times New Roman" w:eastAsia="宋体"/>
                <w:b/>
                <w:snapToGrid w:val="0"/>
                <w:color w:val="auto"/>
                <w:kern w:val="0"/>
                <w:highlight w:val="none"/>
              </w:rPr>
              <w:t>图</w:t>
            </w:r>
            <w:r>
              <w:rPr>
                <w:rFonts w:hint="eastAsia" w:ascii="Times New Roman" w:hAnsi="Times New Roman" w:eastAsia="宋体"/>
                <w:b/>
                <w:snapToGrid w:val="0"/>
                <w:color w:val="auto"/>
                <w:kern w:val="0"/>
                <w:highlight w:val="none"/>
                <w:lang w:val="en-US" w:eastAsia="zh-CN"/>
              </w:rPr>
              <w:t>3</w:t>
            </w:r>
            <w:r>
              <w:rPr>
                <w:rFonts w:hint="eastAsia" w:ascii="Times New Roman" w:hAnsi="Times New Roman" w:eastAsia="宋体"/>
                <w:b/>
                <w:snapToGrid w:val="0"/>
                <w:color w:val="auto"/>
                <w:kern w:val="0"/>
                <w:highlight w:val="none"/>
              </w:rPr>
              <w:t>-1</w:t>
            </w:r>
            <w:r>
              <w:rPr>
                <w:rFonts w:hint="eastAsia"/>
                <w:b/>
                <w:snapToGrid w:val="0"/>
                <w:color w:val="auto"/>
                <w:kern w:val="0"/>
                <w:highlight w:val="none"/>
                <w:lang w:val="en-US" w:eastAsia="zh-CN"/>
              </w:rPr>
              <w:t xml:space="preserve">  </w:t>
            </w:r>
            <w:r>
              <w:rPr>
                <w:rFonts w:hint="eastAsia" w:ascii="Times New Roman" w:hAnsi="Times New Roman" w:eastAsia="宋体"/>
                <w:b/>
                <w:snapToGrid w:val="0"/>
                <w:color w:val="auto"/>
                <w:kern w:val="0"/>
                <w:highlight w:val="none"/>
              </w:rPr>
              <w:t>环境</w:t>
            </w:r>
            <w:r>
              <w:rPr>
                <w:rFonts w:hint="eastAsia"/>
                <w:b/>
                <w:snapToGrid w:val="0"/>
                <w:color w:val="auto"/>
                <w:kern w:val="0"/>
                <w:highlight w:val="none"/>
                <w:lang w:eastAsia="zh-CN"/>
              </w:rPr>
              <w:t>空气监测</w:t>
            </w:r>
            <w:r>
              <w:rPr>
                <w:rFonts w:hint="eastAsia" w:ascii="Times New Roman" w:hAnsi="Times New Roman" w:eastAsia="宋体"/>
                <w:b/>
                <w:snapToGrid w:val="0"/>
                <w:color w:val="auto"/>
                <w:kern w:val="0"/>
                <w:highlight w:val="none"/>
              </w:rPr>
              <w:t>点位图</w:t>
            </w:r>
          </w:p>
          <w:p w14:paraId="7287A56D">
            <w:pPr>
              <w:keepLines w:val="0"/>
              <w:pageBreakBefore w:val="0"/>
              <w:shd w:val="clear"/>
              <w:topLinePunct w:val="0"/>
              <w:bidi w:val="0"/>
              <w:adjustRightInd w:val="0"/>
              <w:snapToGrid w:val="0"/>
              <w:spacing w:beforeAutospacing="0" w:afterAutospacing="0" w:line="360" w:lineRule="auto"/>
              <w:ind w:left="0" w:leftChars="0" w:right="0" w:righ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其他污染物环境质量现状检测结果见表3-</w:t>
            </w:r>
            <w:r>
              <w:rPr>
                <w:rFonts w:hint="eastAsia" w:cs="Times New Roman"/>
                <w:color w:val="auto"/>
                <w:sz w:val="24"/>
                <w:lang w:val="en-US" w:eastAsia="zh-CN"/>
              </w:rPr>
              <w:t>3</w:t>
            </w:r>
            <w:r>
              <w:rPr>
                <w:rFonts w:hint="default" w:ascii="Times New Roman" w:hAnsi="Times New Roman" w:cs="Times New Roman"/>
                <w:color w:val="auto"/>
                <w:sz w:val="24"/>
              </w:rPr>
              <w:t>。</w:t>
            </w:r>
          </w:p>
          <w:p w14:paraId="63064172">
            <w:pPr>
              <w:pStyle w:val="134"/>
              <w:keepLines w:val="0"/>
              <w:pageBreakBefore w:val="0"/>
              <w:shd w:val="clear"/>
              <w:topLinePunct w:val="0"/>
              <w:bidi w:val="0"/>
              <w:spacing w:beforeLines="0" w:beforeAutospacing="0" w:afterLines="0" w:afterAutospacing="0" w:line="240" w:lineRule="auto"/>
              <w:ind w:right="0" w:right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表3-</w:t>
            </w:r>
            <w:r>
              <w:rPr>
                <w:rFonts w:hint="eastAsia" w:ascii="Times New Roman" w:hAnsi="Times New Roman" w:eastAsia="宋体" w:cs="Times New Roman"/>
                <w:b/>
                <w:bCs/>
                <w:color w:val="auto"/>
                <w:highlight w:val="none"/>
                <w:lang w:val="en-US" w:eastAsia="zh-CN"/>
              </w:rPr>
              <w:t xml:space="preserve">3 </w:t>
            </w:r>
            <w:r>
              <w:rPr>
                <w:rFonts w:hint="default" w:ascii="Times New Roman" w:hAnsi="Times New Roman" w:eastAsia="宋体" w:cs="Times New Roman"/>
                <w:b/>
                <w:bCs/>
                <w:color w:val="auto"/>
                <w:highlight w:val="none"/>
              </w:rPr>
              <w:t xml:space="preserve"> 环境空气检测结果</w:t>
            </w:r>
          </w:p>
          <w:tbl>
            <w:tblPr>
              <w:tblStyle w:val="3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4"/>
              <w:gridCol w:w="1955"/>
              <w:gridCol w:w="1655"/>
              <w:gridCol w:w="1667"/>
              <w:gridCol w:w="1672"/>
            </w:tblGrid>
            <w:tr w14:paraId="15E9CC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743" w:type="pct"/>
                  <w:vMerge w:val="restart"/>
                  <w:noWrap w:val="0"/>
                  <w:vAlign w:val="center"/>
                </w:tcPr>
                <w:p w14:paraId="341D1F53">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eastAsia"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序号</w:t>
                  </w:r>
                </w:p>
              </w:tc>
              <w:tc>
                <w:tcPr>
                  <w:tcW w:w="1197" w:type="pct"/>
                  <w:vMerge w:val="restart"/>
                  <w:noWrap w:val="0"/>
                  <w:vAlign w:val="center"/>
                </w:tcPr>
                <w:p w14:paraId="4570A212">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采样日期</w:t>
                  </w:r>
                </w:p>
              </w:tc>
              <w:tc>
                <w:tcPr>
                  <w:tcW w:w="1013" w:type="pct"/>
                  <w:vMerge w:val="restart"/>
                  <w:noWrap w:val="0"/>
                  <w:vAlign w:val="center"/>
                </w:tcPr>
                <w:p w14:paraId="051A6B7E">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采样频次</w:t>
                  </w:r>
                </w:p>
              </w:tc>
              <w:tc>
                <w:tcPr>
                  <w:tcW w:w="2045" w:type="pct"/>
                  <w:gridSpan w:val="2"/>
                  <w:noWrap w:val="0"/>
                  <w:vAlign w:val="center"/>
                </w:tcPr>
                <w:p w14:paraId="37CA9D72">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监测点位及检测结果（单位：mg/m</w:t>
                  </w:r>
                  <w:r>
                    <w:rPr>
                      <w:rFonts w:hint="default" w:ascii="Times New Roman" w:hAnsi="Times New Roman" w:eastAsia="宋体" w:cs="Times New Roman"/>
                      <w:b w:val="0"/>
                      <w:color w:val="auto"/>
                      <w:sz w:val="21"/>
                      <w:szCs w:val="21"/>
                      <w:vertAlign w:val="superscript"/>
                    </w:rPr>
                    <w:t>3</w:t>
                  </w:r>
                  <w:r>
                    <w:rPr>
                      <w:rFonts w:hint="default" w:ascii="Times New Roman" w:hAnsi="Times New Roman" w:eastAsia="宋体" w:cs="Times New Roman"/>
                      <w:b w:val="0"/>
                      <w:color w:val="auto"/>
                      <w:sz w:val="21"/>
                      <w:szCs w:val="21"/>
                    </w:rPr>
                    <w:t>）</w:t>
                  </w:r>
                </w:p>
              </w:tc>
            </w:tr>
            <w:tr w14:paraId="4FC79A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743" w:type="pct"/>
                  <w:vMerge w:val="continue"/>
                  <w:noWrap w:val="0"/>
                  <w:vAlign w:val="center"/>
                </w:tcPr>
                <w:p w14:paraId="1E203FF2">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color w:val="auto"/>
                    </w:rPr>
                  </w:pPr>
                </w:p>
              </w:tc>
              <w:tc>
                <w:tcPr>
                  <w:tcW w:w="1197" w:type="pct"/>
                  <w:vMerge w:val="continue"/>
                  <w:noWrap w:val="0"/>
                  <w:vAlign w:val="center"/>
                </w:tcPr>
                <w:p w14:paraId="73E32577">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color w:val="auto"/>
                    </w:rPr>
                  </w:pPr>
                </w:p>
              </w:tc>
              <w:tc>
                <w:tcPr>
                  <w:tcW w:w="1013" w:type="pct"/>
                  <w:vMerge w:val="continue"/>
                  <w:noWrap w:val="0"/>
                  <w:vAlign w:val="center"/>
                </w:tcPr>
                <w:p w14:paraId="1CA7D01B">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color w:val="auto"/>
                    </w:rPr>
                  </w:pPr>
                </w:p>
              </w:tc>
              <w:tc>
                <w:tcPr>
                  <w:tcW w:w="1021" w:type="pct"/>
                  <w:noWrap w:val="0"/>
                  <w:vAlign w:val="center"/>
                </w:tcPr>
                <w:p w14:paraId="0495D076">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TSP</w:t>
                  </w:r>
                </w:p>
              </w:tc>
              <w:tc>
                <w:tcPr>
                  <w:tcW w:w="1024" w:type="pct"/>
                  <w:noWrap w:val="0"/>
                  <w:vAlign w:val="center"/>
                </w:tcPr>
                <w:p w14:paraId="0F2A736F">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eastAsia"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氮氧化物</w:t>
                  </w:r>
                </w:p>
              </w:tc>
            </w:tr>
            <w:tr w14:paraId="1AED9F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pct"/>
                  <w:vMerge w:val="continue"/>
                  <w:noWrap w:val="0"/>
                  <w:vAlign w:val="center"/>
                </w:tcPr>
                <w:p w14:paraId="6E67B7F0">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p>
              </w:tc>
              <w:tc>
                <w:tcPr>
                  <w:tcW w:w="1197" w:type="pct"/>
                  <w:vMerge w:val="continue"/>
                  <w:noWrap w:val="0"/>
                  <w:vAlign w:val="center"/>
                </w:tcPr>
                <w:p w14:paraId="3489BA8E">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p>
              </w:tc>
              <w:tc>
                <w:tcPr>
                  <w:tcW w:w="1013" w:type="pct"/>
                  <w:vMerge w:val="continue"/>
                  <w:noWrap w:val="0"/>
                  <w:vAlign w:val="center"/>
                </w:tcPr>
                <w:p w14:paraId="5142552F">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p>
              </w:tc>
              <w:tc>
                <w:tcPr>
                  <w:tcW w:w="2045" w:type="pct"/>
                  <w:gridSpan w:val="2"/>
                  <w:noWrap w:val="0"/>
                  <w:vAlign w:val="center"/>
                </w:tcPr>
                <w:p w14:paraId="65599FAB">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厂址主导下风向10m处#</w:t>
                  </w:r>
                </w:p>
              </w:tc>
            </w:tr>
            <w:tr w14:paraId="54851E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pct"/>
                  <w:noWrap w:val="0"/>
                  <w:vAlign w:val="center"/>
                </w:tcPr>
                <w:p w14:paraId="663A1A6E">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1</w:t>
                  </w:r>
                </w:p>
              </w:tc>
              <w:tc>
                <w:tcPr>
                  <w:tcW w:w="1197" w:type="pct"/>
                  <w:vMerge w:val="restart"/>
                  <w:noWrap w:val="0"/>
                  <w:vAlign w:val="center"/>
                </w:tcPr>
                <w:p w14:paraId="0670CA9F">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2025.8.25</w:t>
                  </w:r>
                </w:p>
              </w:tc>
              <w:tc>
                <w:tcPr>
                  <w:tcW w:w="1013" w:type="pct"/>
                  <w:noWrap w:val="0"/>
                  <w:vAlign w:val="center"/>
                </w:tcPr>
                <w:p w14:paraId="3ACFB532">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eastAsia"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第一次</w:t>
                  </w:r>
                </w:p>
              </w:tc>
              <w:tc>
                <w:tcPr>
                  <w:tcW w:w="1021" w:type="pct"/>
                  <w:noWrap w:val="0"/>
                  <w:vAlign w:val="center"/>
                </w:tcPr>
                <w:p w14:paraId="148EB8C7">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w:t>
                  </w:r>
                </w:p>
              </w:tc>
              <w:tc>
                <w:tcPr>
                  <w:tcW w:w="1024" w:type="pct"/>
                  <w:noWrap w:val="0"/>
                  <w:vAlign w:val="center"/>
                </w:tcPr>
                <w:p w14:paraId="5D2B3266">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cs="Times New Roman"/>
                      <w:b w:val="0"/>
                      <w:color w:val="auto"/>
                      <w:sz w:val="21"/>
                      <w:szCs w:val="21"/>
                      <w:lang w:val="en-US" w:eastAsia="zh-CN"/>
                    </w:rPr>
                  </w:pPr>
                  <w:r>
                    <w:rPr>
                      <w:rFonts w:hint="eastAsia" w:ascii="Times New Roman" w:cs="Times New Roman"/>
                      <w:b w:val="0"/>
                      <w:color w:val="auto"/>
                      <w:sz w:val="21"/>
                      <w:szCs w:val="21"/>
                      <w:lang w:val="en-US" w:eastAsia="zh-CN"/>
                    </w:rPr>
                    <w:t>0.033</w:t>
                  </w:r>
                </w:p>
              </w:tc>
            </w:tr>
            <w:tr w14:paraId="061133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pct"/>
                  <w:noWrap w:val="0"/>
                  <w:vAlign w:val="center"/>
                </w:tcPr>
                <w:p w14:paraId="5CF21FB7">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2</w:t>
                  </w:r>
                </w:p>
              </w:tc>
              <w:tc>
                <w:tcPr>
                  <w:tcW w:w="1197" w:type="pct"/>
                  <w:vMerge w:val="continue"/>
                  <w:noWrap w:val="0"/>
                  <w:vAlign w:val="center"/>
                </w:tcPr>
                <w:p w14:paraId="10569C40">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p>
              </w:tc>
              <w:tc>
                <w:tcPr>
                  <w:tcW w:w="1013" w:type="pct"/>
                  <w:noWrap w:val="0"/>
                  <w:vAlign w:val="center"/>
                </w:tcPr>
                <w:p w14:paraId="1E0661C3">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r>
                    <w:rPr>
                      <w:rFonts w:hint="eastAsia" w:ascii="Times New Roman" w:cs="Times New Roman"/>
                      <w:b w:val="0"/>
                      <w:color w:val="auto"/>
                      <w:sz w:val="21"/>
                      <w:szCs w:val="21"/>
                      <w:lang w:val="en-US" w:eastAsia="zh-CN"/>
                    </w:rPr>
                    <w:t>第二次</w:t>
                  </w:r>
                </w:p>
              </w:tc>
              <w:tc>
                <w:tcPr>
                  <w:tcW w:w="1021" w:type="pct"/>
                  <w:noWrap w:val="0"/>
                  <w:vAlign w:val="center"/>
                </w:tcPr>
                <w:p w14:paraId="23646BE8">
                  <w:pPr>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w:t>
                  </w:r>
                </w:p>
              </w:tc>
              <w:tc>
                <w:tcPr>
                  <w:tcW w:w="1024" w:type="pct"/>
                  <w:noWrap w:val="0"/>
                  <w:vAlign w:val="center"/>
                </w:tcPr>
                <w:p w14:paraId="17BC16FE">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cs="Times New Roman"/>
                      <w:b w:val="0"/>
                      <w:color w:val="auto"/>
                      <w:sz w:val="21"/>
                      <w:szCs w:val="21"/>
                      <w:lang w:val="en-US" w:eastAsia="zh-CN"/>
                    </w:rPr>
                  </w:pPr>
                  <w:r>
                    <w:rPr>
                      <w:rFonts w:hint="eastAsia" w:ascii="Times New Roman" w:cs="Times New Roman"/>
                      <w:b w:val="0"/>
                      <w:color w:val="auto"/>
                      <w:sz w:val="21"/>
                      <w:szCs w:val="21"/>
                      <w:lang w:val="en-US" w:eastAsia="zh-CN"/>
                    </w:rPr>
                    <w:t>0.032</w:t>
                  </w:r>
                </w:p>
              </w:tc>
            </w:tr>
            <w:tr w14:paraId="78E6C9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pct"/>
                  <w:noWrap w:val="0"/>
                  <w:vAlign w:val="center"/>
                </w:tcPr>
                <w:p w14:paraId="2B5949EC">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3</w:t>
                  </w:r>
                </w:p>
              </w:tc>
              <w:tc>
                <w:tcPr>
                  <w:tcW w:w="1197" w:type="pct"/>
                  <w:vMerge w:val="continue"/>
                  <w:noWrap w:val="0"/>
                  <w:vAlign w:val="center"/>
                </w:tcPr>
                <w:p w14:paraId="399AF282">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p>
              </w:tc>
              <w:tc>
                <w:tcPr>
                  <w:tcW w:w="1013" w:type="pct"/>
                  <w:noWrap w:val="0"/>
                  <w:vAlign w:val="center"/>
                </w:tcPr>
                <w:p w14:paraId="084E921F">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r>
                    <w:rPr>
                      <w:rFonts w:hint="eastAsia" w:ascii="Times New Roman" w:cs="Times New Roman"/>
                      <w:b w:val="0"/>
                      <w:color w:val="auto"/>
                      <w:sz w:val="21"/>
                      <w:szCs w:val="21"/>
                      <w:lang w:val="en-US" w:eastAsia="zh-CN"/>
                    </w:rPr>
                    <w:t>第三次</w:t>
                  </w:r>
                </w:p>
              </w:tc>
              <w:tc>
                <w:tcPr>
                  <w:tcW w:w="1021" w:type="pct"/>
                  <w:noWrap w:val="0"/>
                  <w:vAlign w:val="center"/>
                </w:tcPr>
                <w:p w14:paraId="3C96B07B">
                  <w:pPr>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w:t>
                  </w:r>
                </w:p>
              </w:tc>
              <w:tc>
                <w:tcPr>
                  <w:tcW w:w="1024" w:type="pct"/>
                  <w:noWrap w:val="0"/>
                  <w:vAlign w:val="center"/>
                </w:tcPr>
                <w:p w14:paraId="2D9083A5">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cs="Times New Roman"/>
                      <w:b w:val="0"/>
                      <w:color w:val="auto"/>
                      <w:sz w:val="21"/>
                      <w:szCs w:val="21"/>
                      <w:lang w:val="en-US" w:eastAsia="zh-CN"/>
                    </w:rPr>
                  </w:pPr>
                  <w:r>
                    <w:rPr>
                      <w:rFonts w:hint="eastAsia" w:ascii="Times New Roman" w:cs="Times New Roman"/>
                      <w:b w:val="0"/>
                      <w:color w:val="auto"/>
                      <w:sz w:val="21"/>
                      <w:szCs w:val="21"/>
                      <w:lang w:val="en-US" w:eastAsia="zh-CN"/>
                    </w:rPr>
                    <w:t>0.032</w:t>
                  </w:r>
                </w:p>
              </w:tc>
            </w:tr>
            <w:tr w14:paraId="227621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pct"/>
                  <w:noWrap w:val="0"/>
                  <w:vAlign w:val="center"/>
                </w:tcPr>
                <w:p w14:paraId="51C0E9B8">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4</w:t>
                  </w:r>
                </w:p>
              </w:tc>
              <w:tc>
                <w:tcPr>
                  <w:tcW w:w="1197" w:type="pct"/>
                  <w:vMerge w:val="continue"/>
                  <w:noWrap w:val="0"/>
                  <w:vAlign w:val="center"/>
                </w:tcPr>
                <w:p w14:paraId="76CBFB9E">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p>
              </w:tc>
              <w:tc>
                <w:tcPr>
                  <w:tcW w:w="1013" w:type="pct"/>
                  <w:noWrap w:val="0"/>
                  <w:vAlign w:val="center"/>
                </w:tcPr>
                <w:p w14:paraId="4214C11E">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r>
                    <w:rPr>
                      <w:rFonts w:hint="eastAsia" w:ascii="Times New Roman" w:cs="Times New Roman"/>
                      <w:b w:val="0"/>
                      <w:color w:val="auto"/>
                      <w:sz w:val="21"/>
                      <w:szCs w:val="21"/>
                      <w:lang w:val="en-US" w:eastAsia="zh-CN"/>
                    </w:rPr>
                    <w:t>第四次</w:t>
                  </w:r>
                </w:p>
              </w:tc>
              <w:tc>
                <w:tcPr>
                  <w:tcW w:w="1021" w:type="pct"/>
                  <w:noWrap w:val="0"/>
                  <w:vAlign w:val="center"/>
                </w:tcPr>
                <w:p w14:paraId="16D7CC28">
                  <w:pPr>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cs="Times New Roman"/>
                      <w:b w:val="0"/>
                      <w:color w:val="auto"/>
                      <w:sz w:val="21"/>
                      <w:szCs w:val="21"/>
                      <w:lang w:val="en-US" w:eastAsia="zh-CN"/>
                    </w:rPr>
                  </w:pPr>
                  <w:r>
                    <w:rPr>
                      <w:rFonts w:hint="eastAsia" w:ascii="Times New Roman" w:cs="Times New Roman"/>
                      <w:b w:val="0"/>
                      <w:color w:val="auto"/>
                      <w:sz w:val="21"/>
                      <w:szCs w:val="21"/>
                      <w:lang w:val="en-US" w:eastAsia="zh-CN"/>
                    </w:rPr>
                    <w:t>-</w:t>
                  </w:r>
                </w:p>
              </w:tc>
              <w:tc>
                <w:tcPr>
                  <w:tcW w:w="1024" w:type="pct"/>
                  <w:noWrap w:val="0"/>
                  <w:vAlign w:val="center"/>
                </w:tcPr>
                <w:p w14:paraId="73D855EA">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cs="Times New Roman"/>
                      <w:b w:val="0"/>
                      <w:color w:val="auto"/>
                      <w:sz w:val="21"/>
                      <w:szCs w:val="21"/>
                      <w:lang w:val="en-US" w:eastAsia="zh-CN"/>
                    </w:rPr>
                  </w:pPr>
                  <w:r>
                    <w:rPr>
                      <w:rFonts w:hint="eastAsia" w:ascii="Times New Roman" w:cs="Times New Roman"/>
                      <w:b w:val="0"/>
                      <w:color w:val="auto"/>
                      <w:sz w:val="21"/>
                      <w:szCs w:val="21"/>
                      <w:lang w:val="en-US" w:eastAsia="zh-CN"/>
                    </w:rPr>
                    <w:t>0.030</w:t>
                  </w:r>
                </w:p>
              </w:tc>
            </w:tr>
            <w:tr w14:paraId="2098B7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pct"/>
                  <w:noWrap w:val="0"/>
                  <w:vAlign w:val="center"/>
                </w:tcPr>
                <w:p w14:paraId="36BFA8A9">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5</w:t>
                  </w:r>
                </w:p>
              </w:tc>
              <w:tc>
                <w:tcPr>
                  <w:tcW w:w="1197" w:type="pct"/>
                  <w:vMerge w:val="continue"/>
                  <w:noWrap w:val="0"/>
                  <w:vAlign w:val="center"/>
                </w:tcPr>
                <w:p w14:paraId="239D18A6">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p>
              </w:tc>
              <w:tc>
                <w:tcPr>
                  <w:tcW w:w="1013" w:type="pct"/>
                  <w:noWrap w:val="0"/>
                  <w:vAlign w:val="center"/>
                </w:tcPr>
                <w:p w14:paraId="59D16E55">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eastAsia"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日均值</w:t>
                  </w:r>
                </w:p>
              </w:tc>
              <w:tc>
                <w:tcPr>
                  <w:tcW w:w="1021" w:type="pct"/>
                  <w:noWrap w:val="0"/>
                  <w:vAlign w:val="center"/>
                </w:tcPr>
                <w:p w14:paraId="67BBF648">
                  <w:pPr>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cs="Times New Roman"/>
                      <w:b w:val="0"/>
                      <w:color w:val="auto"/>
                      <w:sz w:val="21"/>
                      <w:szCs w:val="21"/>
                      <w:lang w:val="en-US" w:eastAsia="zh-CN"/>
                    </w:rPr>
                  </w:pPr>
                  <w:r>
                    <w:rPr>
                      <w:rFonts w:hint="eastAsia" w:ascii="Times New Roman" w:cs="Times New Roman"/>
                      <w:b w:val="0"/>
                      <w:color w:val="auto"/>
                      <w:sz w:val="21"/>
                      <w:szCs w:val="21"/>
                      <w:lang w:val="en-US" w:eastAsia="zh-CN"/>
                    </w:rPr>
                    <w:t>0.098</w:t>
                  </w:r>
                </w:p>
              </w:tc>
              <w:tc>
                <w:tcPr>
                  <w:tcW w:w="1024" w:type="pct"/>
                  <w:noWrap w:val="0"/>
                  <w:vAlign w:val="center"/>
                </w:tcPr>
                <w:p w14:paraId="28B07E12">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cs="Times New Roman"/>
                      <w:b w:val="0"/>
                      <w:color w:val="auto"/>
                      <w:sz w:val="21"/>
                      <w:szCs w:val="21"/>
                      <w:lang w:val="en-US" w:eastAsia="zh-CN"/>
                    </w:rPr>
                  </w:pPr>
                  <w:r>
                    <w:rPr>
                      <w:rFonts w:hint="eastAsia" w:ascii="Times New Roman" w:cs="Times New Roman"/>
                      <w:b w:val="0"/>
                      <w:color w:val="auto"/>
                      <w:sz w:val="21"/>
                      <w:szCs w:val="21"/>
                      <w:lang w:val="en-US" w:eastAsia="zh-CN"/>
                    </w:rPr>
                    <w:t>-</w:t>
                  </w:r>
                </w:p>
              </w:tc>
            </w:tr>
            <w:tr w14:paraId="601482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pct"/>
                  <w:noWrap w:val="0"/>
                  <w:vAlign w:val="center"/>
                </w:tcPr>
                <w:p w14:paraId="7D08C9A5">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6</w:t>
                  </w:r>
                </w:p>
              </w:tc>
              <w:tc>
                <w:tcPr>
                  <w:tcW w:w="1197" w:type="pct"/>
                  <w:vMerge w:val="restart"/>
                  <w:noWrap w:val="0"/>
                  <w:vAlign w:val="center"/>
                </w:tcPr>
                <w:p w14:paraId="360A0093">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rPr>
                  </w:pPr>
                  <w:r>
                    <w:rPr>
                      <w:rFonts w:hint="eastAsia" w:ascii="Times New Roman" w:cs="Times New Roman"/>
                      <w:b w:val="0"/>
                      <w:color w:val="auto"/>
                      <w:sz w:val="21"/>
                      <w:szCs w:val="21"/>
                      <w:lang w:val="en-US" w:eastAsia="zh-CN"/>
                    </w:rPr>
                    <w:t>2025.8.26</w:t>
                  </w:r>
                </w:p>
              </w:tc>
              <w:tc>
                <w:tcPr>
                  <w:tcW w:w="1013" w:type="pct"/>
                  <w:shd w:val="clear" w:color="auto" w:fill="auto"/>
                  <w:noWrap w:val="0"/>
                  <w:vAlign w:val="center"/>
                </w:tcPr>
                <w:p w14:paraId="5AAAB35D">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kern w:val="0"/>
                      <w:sz w:val="21"/>
                      <w:szCs w:val="21"/>
                      <w:lang w:val="en-US" w:eastAsia="zh-CN" w:bidi="ar-SA"/>
                    </w:rPr>
                  </w:pPr>
                  <w:r>
                    <w:rPr>
                      <w:rFonts w:hint="eastAsia" w:ascii="Times New Roman" w:cs="Times New Roman"/>
                      <w:b w:val="0"/>
                      <w:color w:val="auto"/>
                      <w:sz w:val="21"/>
                      <w:szCs w:val="21"/>
                      <w:lang w:val="en-US" w:eastAsia="zh-CN"/>
                    </w:rPr>
                    <w:t>第一次</w:t>
                  </w:r>
                </w:p>
              </w:tc>
              <w:tc>
                <w:tcPr>
                  <w:tcW w:w="1021" w:type="pct"/>
                  <w:noWrap w:val="0"/>
                  <w:vAlign w:val="center"/>
                </w:tcPr>
                <w:p w14:paraId="378FEB38">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eastAsia" w:ascii="Times New Roman" w:cs="Times New Roman"/>
                      <w:b w:val="0"/>
                      <w:color w:val="auto"/>
                      <w:sz w:val="21"/>
                      <w:szCs w:val="21"/>
                      <w:lang w:val="en-US" w:eastAsia="zh-CN"/>
                    </w:rPr>
                  </w:pPr>
                  <w:r>
                    <w:rPr>
                      <w:rFonts w:hint="eastAsia" w:ascii="Times New Roman" w:cs="Times New Roman"/>
                      <w:b w:val="0"/>
                      <w:color w:val="auto"/>
                      <w:sz w:val="21"/>
                      <w:szCs w:val="21"/>
                      <w:lang w:val="en-US" w:eastAsia="zh-CN"/>
                    </w:rPr>
                    <w:t>-</w:t>
                  </w:r>
                </w:p>
              </w:tc>
              <w:tc>
                <w:tcPr>
                  <w:tcW w:w="1024" w:type="pct"/>
                  <w:noWrap w:val="0"/>
                  <w:vAlign w:val="center"/>
                </w:tcPr>
                <w:p w14:paraId="29B7B084">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cs="Times New Roman"/>
                      <w:b w:val="0"/>
                      <w:color w:val="auto"/>
                      <w:sz w:val="21"/>
                      <w:szCs w:val="21"/>
                      <w:lang w:val="en-US" w:eastAsia="zh-CN"/>
                    </w:rPr>
                  </w:pPr>
                  <w:r>
                    <w:rPr>
                      <w:rFonts w:hint="eastAsia" w:ascii="Times New Roman" w:cs="Times New Roman"/>
                      <w:b w:val="0"/>
                      <w:color w:val="auto"/>
                      <w:sz w:val="21"/>
                      <w:szCs w:val="21"/>
                      <w:lang w:val="en-US" w:eastAsia="zh-CN"/>
                    </w:rPr>
                    <w:t>0.033</w:t>
                  </w:r>
                </w:p>
              </w:tc>
            </w:tr>
            <w:tr w14:paraId="0316D3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pct"/>
                  <w:noWrap w:val="0"/>
                  <w:vAlign w:val="center"/>
                </w:tcPr>
                <w:p w14:paraId="0CB679FC">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7</w:t>
                  </w:r>
                </w:p>
              </w:tc>
              <w:tc>
                <w:tcPr>
                  <w:tcW w:w="1197" w:type="pct"/>
                  <w:vMerge w:val="continue"/>
                  <w:noWrap w:val="0"/>
                  <w:vAlign w:val="center"/>
                </w:tcPr>
                <w:p w14:paraId="3B36B908">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p>
              </w:tc>
              <w:tc>
                <w:tcPr>
                  <w:tcW w:w="1013" w:type="pct"/>
                  <w:shd w:val="clear" w:color="auto" w:fill="auto"/>
                  <w:noWrap w:val="0"/>
                  <w:vAlign w:val="center"/>
                </w:tcPr>
                <w:p w14:paraId="00C92DB2">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kern w:val="0"/>
                      <w:sz w:val="21"/>
                      <w:szCs w:val="21"/>
                      <w:lang w:val="en-US" w:eastAsia="zh-CN" w:bidi="ar-SA"/>
                    </w:rPr>
                  </w:pPr>
                  <w:r>
                    <w:rPr>
                      <w:rFonts w:hint="eastAsia" w:ascii="Times New Roman" w:cs="Times New Roman"/>
                      <w:b w:val="0"/>
                      <w:color w:val="auto"/>
                      <w:sz w:val="21"/>
                      <w:szCs w:val="21"/>
                      <w:lang w:val="en-US" w:eastAsia="zh-CN"/>
                    </w:rPr>
                    <w:t>第二次</w:t>
                  </w:r>
                </w:p>
              </w:tc>
              <w:tc>
                <w:tcPr>
                  <w:tcW w:w="1021" w:type="pct"/>
                  <w:noWrap w:val="0"/>
                  <w:vAlign w:val="center"/>
                </w:tcPr>
                <w:p w14:paraId="44A40168">
                  <w:pPr>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cs="Times New Roman"/>
                      <w:b w:val="0"/>
                      <w:color w:val="auto"/>
                      <w:sz w:val="21"/>
                      <w:szCs w:val="21"/>
                      <w:lang w:val="en-US" w:eastAsia="zh-CN"/>
                    </w:rPr>
                  </w:pPr>
                  <w:r>
                    <w:rPr>
                      <w:rFonts w:hint="eastAsia" w:ascii="Times New Roman" w:cs="Times New Roman"/>
                      <w:b w:val="0"/>
                      <w:color w:val="auto"/>
                      <w:sz w:val="21"/>
                      <w:szCs w:val="21"/>
                      <w:lang w:val="en-US" w:eastAsia="zh-CN"/>
                    </w:rPr>
                    <w:t>-</w:t>
                  </w:r>
                </w:p>
              </w:tc>
              <w:tc>
                <w:tcPr>
                  <w:tcW w:w="1024" w:type="pct"/>
                  <w:noWrap w:val="0"/>
                  <w:vAlign w:val="center"/>
                </w:tcPr>
                <w:p w14:paraId="63789AAE">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cs="Times New Roman"/>
                      <w:b w:val="0"/>
                      <w:color w:val="auto"/>
                      <w:sz w:val="21"/>
                      <w:szCs w:val="21"/>
                      <w:lang w:val="en-US" w:eastAsia="zh-CN"/>
                    </w:rPr>
                  </w:pPr>
                  <w:r>
                    <w:rPr>
                      <w:rFonts w:hint="eastAsia" w:ascii="Times New Roman" w:cs="Times New Roman"/>
                      <w:b w:val="0"/>
                      <w:color w:val="auto"/>
                      <w:sz w:val="21"/>
                      <w:szCs w:val="21"/>
                      <w:lang w:val="en-US" w:eastAsia="zh-CN"/>
                    </w:rPr>
                    <w:t>0.028</w:t>
                  </w:r>
                </w:p>
              </w:tc>
            </w:tr>
            <w:tr w14:paraId="2DCCDA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pct"/>
                  <w:noWrap w:val="0"/>
                  <w:vAlign w:val="center"/>
                </w:tcPr>
                <w:p w14:paraId="38F22E75">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8</w:t>
                  </w:r>
                </w:p>
              </w:tc>
              <w:tc>
                <w:tcPr>
                  <w:tcW w:w="1197" w:type="pct"/>
                  <w:vMerge w:val="continue"/>
                  <w:noWrap w:val="0"/>
                  <w:vAlign w:val="center"/>
                </w:tcPr>
                <w:p w14:paraId="6DB8649E">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p>
              </w:tc>
              <w:tc>
                <w:tcPr>
                  <w:tcW w:w="1013" w:type="pct"/>
                  <w:shd w:val="clear" w:color="auto" w:fill="auto"/>
                  <w:noWrap w:val="0"/>
                  <w:vAlign w:val="center"/>
                </w:tcPr>
                <w:p w14:paraId="75C71CD1">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kern w:val="0"/>
                      <w:sz w:val="21"/>
                      <w:szCs w:val="21"/>
                      <w:lang w:val="en-US" w:eastAsia="zh-CN" w:bidi="ar-SA"/>
                    </w:rPr>
                  </w:pPr>
                  <w:r>
                    <w:rPr>
                      <w:rFonts w:hint="eastAsia" w:ascii="Times New Roman" w:cs="Times New Roman"/>
                      <w:b w:val="0"/>
                      <w:color w:val="auto"/>
                      <w:sz w:val="21"/>
                      <w:szCs w:val="21"/>
                      <w:lang w:val="en-US" w:eastAsia="zh-CN"/>
                    </w:rPr>
                    <w:t>第三次</w:t>
                  </w:r>
                </w:p>
              </w:tc>
              <w:tc>
                <w:tcPr>
                  <w:tcW w:w="1021" w:type="pct"/>
                  <w:noWrap w:val="0"/>
                  <w:vAlign w:val="center"/>
                </w:tcPr>
                <w:p w14:paraId="5E6A1CBC">
                  <w:pPr>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cs="Times New Roman"/>
                      <w:b w:val="0"/>
                      <w:color w:val="auto"/>
                      <w:sz w:val="21"/>
                      <w:szCs w:val="21"/>
                      <w:lang w:val="en-US" w:eastAsia="zh-CN"/>
                    </w:rPr>
                  </w:pPr>
                  <w:r>
                    <w:rPr>
                      <w:rFonts w:hint="eastAsia" w:ascii="Times New Roman" w:cs="Times New Roman"/>
                      <w:b w:val="0"/>
                      <w:color w:val="auto"/>
                      <w:sz w:val="21"/>
                      <w:szCs w:val="21"/>
                      <w:lang w:val="en-US" w:eastAsia="zh-CN"/>
                    </w:rPr>
                    <w:t>-</w:t>
                  </w:r>
                </w:p>
              </w:tc>
              <w:tc>
                <w:tcPr>
                  <w:tcW w:w="1024" w:type="pct"/>
                  <w:noWrap w:val="0"/>
                  <w:vAlign w:val="center"/>
                </w:tcPr>
                <w:p w14:paraId="32ABB30B">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cs="Times New Roman"/>
                      <w:b w:val="0"/>
                      <w:color w:val="auto"/>
                      <w:sz w:val="21"/>
                      <w:szCs w:val="21"/>
                      <w:lang w:val="en-US" w:eastAsia="zh-CN"/>
                    </w:rPr>
                  </w:pPr>
                  <w:r>
                    <w:rPr>
                      <w:rFonts w:hint="eastAsia" w:ascii="Times New Roman" w:cs="Times New Roman"/>
                      <w:b w:val="0"/>
                      <w:color w:val="auto"/>
                      <w:sz w:val="21"/>
                      <w:szCs w:val="21"/>
                      <w:lang w:val="en-US" w:eastAsia="zh-CN"/>
                    </w:rPr>
                    <w:t>0.033</w:t>
                  </w:r>
                </w:p>
              </w:tc>
            </w:tr>
            <w:tr w14:paraId="6D0147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pct"/>
                  <w:noWrap w:val="0"/>
                  <w:vAlign w:val="center"/>
                </w:tcPr>
                <w:p w14:paraId="6BF93D23">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9</w:t>
                  </w:r>
                </w:p>
              </w:tc>
              <w:tc>
                <w:tcPr>
                  <w:tcW w:w="1197" w:type="pct"/>
                  <w:vMerge w:val="continue"/>
                  <w:noWrap w:val="0"/>
                  <w:vAlign w:val="center"/>
                </w:tcPr>
                <w:p w14:paraId="08D5FF2E">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p>
              </w:tc>
              <w:tc>
                <w:tcPr>
                  <w:tcW w:w="1013" w:type="pct"/>
                  <w:shd w:val="clear" w:color="auto" w:fill="auto"/>
                  <w:noWrap w:val="0"/>
                  <w:vAlign w:val="center"/>
                </w:tcPr>
                <w:p w14:paraId="5A004073">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kern w:val="0"/>
                      <w:sz w:val="21"/>
                      <w:szCs w:val="21"/>
                      <w:lang w:val="en-US" w:eastAsia="zh-CN" w:bidi="ar-SA"/>
                    </w:rPr>
                  </w:pPr>
                  <w:r>
                    <w:rPr>
                      <w:rFonts w:hint="eastAsia" w:ascii="Times New Roman" w:cs="Times New Roman"/>
                      <w:b w:val="0"/>
                      <w:color w:val="auto"/>
                      <w:sz w:val="21"/>
                      <w:szCs w:val="21"/>
                      <w:lang w:val="en-US" w:eastAsia="zh-CN"/>
                    </w:rPr>
                    <w:t>第四次</w:t>
                  </w:r>
                </w:p>
              </w:tc>
              <w:tc>
                <w:tcPr>
                  <w:tcW w:w="1021" w:type="pct"/>
                  <w:noWrap w:val="0"/>
                  <w:vAlign w:val="center"/>
                </w:tcPr>
                <w:p w14:paraId="475D4D8E">
                  <w:pPr>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cs="Times New Roman"/>
                      <w:b w:val="0"/>
                      <w:color w:val="auto"/>
                      <w:sz w:val="21"/>
                      <w:szCs w:val="21"/>
                      <w:lang w:val="en-US" w:eastAsia="zh-CN"/>
                    </w:rPr>
                  </w:pPr>
                  <w:r>
                    <w:rPr>
                      <w:rFonts w:hint="eastAsia" w:ascii="Times New Roman" w:cs="Times New Roman"/>
                      <w:b w:val="0"/>
                      <w:color w:val="auto"/>
                      <w:sz w:val="21"/>
                      <w:szCs w:val="21"/>
                      <w:lang w:val="en-US" w:eastAsia="zh-CN"/>
                    </w:rPr>
                    <w:t>-</w:t>
                  </w:r>
                </w:p>
              </w:tc>
              <w:tc>
                <w:tcPr>
                  <w:tcW w:w="1024" w:type="pct"/>
                  <w:noWrap w:val="0"/>
                  <w:vAlign w:val="center"/>
                </w:tcPr>
                <w:p w14:paraId="39B60937">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cs="Times New Roman"/>
                      <w:b w:val="0"/>
                      <w:color w:val="auto"/>
                      <w:sz w:val="21"/>
                      <w:szCs w:val="21"/>
                      <w:lang w:val="en-US" w:eastAsia="zh-CN"/>
                    </w:rPr>
                  </w:pPr>
                  <w:r>
                    <w:rPr>
                      <w:rFonts w:hint="eastAsia" w:ascii="Times New Roman" w:cs="Times New Roman"/>
                      <w:b w:val="0"/>
                      <w:color w:val="auto"/>
                      <w:sz w:val="21"/>
                      <w:szCs w:val="21"/>
                      <w:lang w:val="en-US" w:eastAsia="zh-CN"/>
                    </w:rPr>
                    <w:t>0.034</w:t>
                  </w:r>
                </w:p>
              </w:tc>
            </w:tr>
            <w:tr w14:paraId="24FA97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pct"/>
                  <w:noWrap w:val="0"/>
                  <w:vAlign w:val="center"/>
                </w:tcPr>
                <w:p w14:paraId="47BA047A">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10</w:t>
                  </w:r>
                </w:p>
              </w:tc>
              <w:tc>
                <w:tcPr>
                  <w:tcW w:w="1197" w:type="pct"/>
                  <w:vMerge w:val="continue"/>
                  <w:noWrap w:val="0"/>
                  <w:vAlign w:val="center"/>
                </w:tcPr>
                <w:p w14:paraId="4B6268FC">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p>
              </w:tc>
              <w:tc>
                <w:tcPr>
                  <w:tcW w:w="1013" w:type="pct"/>
                  <w:shd w:val="clear" w:color="auto" w:fill="auto"/>
                  <w:noWrap w:val="0"/>
                  <w:vAlign w:val="center"/>
                </w:tcPr>
                <w:p w14:paraId="6E9AB02F">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kern w:val="0"/>
                      <w:sz w:val="21"/>
                      <w:szCs w:val="21"/>
                      <w:lang w:val="en-US" w:eastAsia="zh-CN" w:bidi="ar-SA"/>
                    </w:rPr>
                  </w:pPr>
                  <w:r>
                    <w:rPr>
                      <w:rFonts w:hint="eastAsia" w:ascii="Times New Roman" w:cs="Times New Roman"/>
                      <w:b w:val="0"/>
                      <w:color w:val="auto"/>
                      <w:sz w:val="21"/>
                      <w:szCs w:val="21"/>
                      <w:lang w:val="en-US" w:eastAsia="zh-CN"/>
                    </w:rPr>
                    <w:t>日均值</w:t>
                  </w:r>
                </w:p>
              </w:tc>
              <w:tc>
                <w:tcPr>
                  <w:tcW w:w="1021" w:type="pct"/>
                  <w:noWrap w:val="0"/>
                  <w:vAlign w:val="center"/>
                </w:tcPr>
                <w:p w14:paraId="59E40161">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cs="Times New Roman"/>
                      <w:b w:val="0"/>
                      <w:color w:val="auto"/>
                      <w:sz w:val="21"/>
                      <w:szCs w:val="21"/>
                      <w:lang w:val="en-US" w:eastAsia="zh-CN"/>
                    </w:rPr>
                  </w:pPr>
                  <w:r>
                    <w:rPr>
                      <w:rFonts w:hint="eastAsia" w:ascii="Times New Roman" w:cs="Times New Roman"/>
                      <w:b w:val="0"/>
                      <w:color w:val="auto"/>
                      <w:sz w:val="21"/>
                      <w:szCs w:val="21"/>
                      <w:lang w:val="en-US" w:eastAsia="zh-CN"/>
                    </w:rPr>
                    <w:t>0.111</w:t>
                  </w:r>
                </w:p>
              </w:tc>
              <w:tc>
                <w:tcPr>
                  <w:tcW w:w="1024" w:type="pct"/>
                  <w:noWrap w:val="0"/>
                  <w:vAlign w:val="center"/>
                </w:tcPr>
                <w:p w14:paraId="34E9E8F8">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eastAsia" w:ascii="Times New Roman" w:cs="Times New Roman"/>
                      <w:b w:val="0"/>
                      <w:color w:val="auto"/>
                      <w:sz w:val="21"/>
                      <w:szCs w:val="21"/>
                      <w:lang w:val="en-US" w:eastAsia="zh-CN"/>
                    </w:rPr>
                  </w:pPr>
                  <w:r>
                    <w:rPr>
                      <w:rFonts w:hint="eastAsia" w:ascii="Times New Roman" w:cs="Times New Roman"/>
                      <w:b w:val="0"/>
                      <w:color w:val="auto"/>
                      <w:sz w:val="21"/>
                      <w:szCs w:val="21"/>
                      <w:lang w:val="en-US" w:eastAsia="zh-CN"/>
                    </w:rPr>
                    <w:t>-</w:t>
                  </w:r>
                </w:p>
              </w:tc>
            </w:tr>
            <w:tr w14:paraId="6315A4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pct"/>
                  <w:noWrap w:val="0"/>
                  <w:vAlign w:val="center"/>
                </w:tcPr>
                <w:p w14:paraId="7E5F99C8">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11</w:t>
                  </w:r>
                </w:p>
              </w:tc>
              <w:tc>
                <w:tcPr>
                  <w:tcW w:w="1197" w:type="pct"/>
                  <w:vMerge w:val="restart"/>
                  <w:noWrap w:val="0"/>
                  <w:vAlign w:val="center"/>
                </w:tcPr>
                <w:p w14:paraId="1AA42651">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rPr>
                  </w:pPr>
                  <w:r>
                    <w:rPr>
                      <w:rFonts w:hint="eastAsia" w:ascii="Times New Roman" w:cs="Times New Roman"/>
                      <w:b w:val="0"/>
                      <w:color w:val="auto"/>
                      <w:sz w:val="21"/>
                      <w:szCs w:val="21"/>
                      <w:lang w:val="en-US" w:eastAsia="zh-CN"/>
                    </w:rPr>
                    <w:t>2025.8.27</w:t>
                  </w:r>
                </w:p>
              </w:tc>
              <w:tc>
                <w:tcPr>
                  <w:tcW w:w="1013" w:type="pct"/>
                  <w:shd w:val="clear" w:color="auto" w:fill="auto"/>
                  <w:noWrap w:val="0"/>
                  <w:vAlign w:val="center"/>
                </w:tcPr>
                <w:p w14:paraId="4A914360">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kern w:val="0"/>
                      <w:sz w:val="21"/>
                      <w:szCs w:val="21"/>
                      <w:lang w:val="en-US" w:eastAsia="zh-CN" w:bidi="ar-SA"/>
                    </w:rPr>
                  </w:pPr>
                  <w:r>
                    <w:rPr>
                      <w:rFonts w:hint="eastAsia" w:ascii="Times New Roman" w:cs="Times New Roman"/>
                      <w:b w:val="0"/>
                      <w:color w:val="auto"/>
                      <w:sz w:val="21"/>
                      <w:szCs w:val="21"/>
                      <w:lang w:val="en-US" w:eastAsia="zh-CN"/>
                    </w:rPr>
                    <w:t>第一次</w:t>
                  </w:r>
                </w:p>
              </w:tc>
              <w:tc>
                <w:tcPr>
                  <w:tcW w:w="1021" w:type="pct"/>
                  <w:shd w:val="clear" w:color="auto" w:fill="auto"/>
                  <w:noWrap w:val="0"/>
                  <w:vAlign w:val="center"/>
                </w:tcPr>
                <w:p w14:paraId="7CA2BE24">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eastAsia" w:ascii="Times New Roman" w:hAnsi="Times New Roman" w:eastAsia="宋体" w:cs="Times New Roman"/>
                      <w:b w:val="0"/>
                      <w:color w:val="auto"/>
                      <w:kern w:val="0"/>
                      <w:sz w:val="21"/>
                      <w:szCs w:val="21"/>
                      <w:lang w:val="en-US" w:eastAsia="zh-CN" w:bidi="ar-SA"/>
                    </w:rPr>
                  </w:pPr>
                  <w:r>
                    <w:rPr>
                      <w:rFonts w:hint="eastAsia" w:ascii="Times New Roman" w:cs="Times New Roman"/>
                      <w:b w:val="0"/>
                      <w:color w:val="auto"/>
                      <w:sz w:val="21"/>
                      <w:szCs w:val="21"/>
                      <w:lang w:val="en-US" w:eastAsia="zh-CN"/>
                    </w:rPr>
                    <w:t>-</w:t>
                  </w:r>
                </w:p>
              </w:tc>
              <w:tc>
                <w:tcPr>
                  <w:tcW w:w="1024" w:type="pct"/>
                  <w:noWrap w:val="0"/>
                  <w:vAlign w:val="center"/>
                </w:tcPr>
                <w:p w14:paraId="4F00FE25">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cs="Times New Roman"/>
                      <w:b w:val="0"/>
                      <w:color w:val="auto"/>
                      <w:sz w:val="21"/>
                      <w:szCs w:val="21"/>
                      <w:lang w:val="en-US" w:eastAsia="zh-CN"/>
                    </w:rPr>
                  </w:pPr>
                  <w:r>
                    <w:rPr>
                      <w:rFonts w:hint="eastAsia" w:ascii="Times New Roman" w:cs="Times New Roman"/>
                      <w:b w:val="0"/>
                      <w:color w:val="auto"/>
                      <w:sz w:val="21"/>
                      <w:szCs w:val="21"/>
                      <w:lang w:val="en-US" w:eastAsia="zh-CN"/>
                    </w:rPr>
                    <w:t>0.028</w:t>
                  </w:r>
                </w:p>
              </w:tc>
            </w:tr>
            <w:tr w14:paraId="667731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pct"/>
                  <w:noWrap w:val="0"/>
                  <w:vAlign w:val="center"/>
                </w:tcPr>
                <w:p w14:paraId="0B8386B9">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12</w:t>
                  </w:r>
                </w:p>
              </w:tc>
              <w:tc>
                <w:tcPr>
                  <w:tcW w:w="1197" w:type="pct"/>
                  <w:vMerge w:val="continue"/>
                  <w:noWrap w:val="0"/>
                  <w:vAlign w:val="center"/>
                </w:tcPr>
                <w:p w14:paraId="4E1D0C0A">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p>
              </w:tc>
              <w:tc>
                <w:tcPr>
                  <w:tcW w:w="1013" w:type="pct"/>
                  <w:shd w:val="clear" w:color="auto" w:fill="auto"/>
                  <w:noWrap w:val="0"/>
                  <w:vAlign w:val="center"/>
                </w:tcPr>
                <w:p w14:paraId="569D37D7">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kern w:val="0"/>
                      <w:sz w:val="21"/>
                      <w:szCs w:val="21"/>
                      <w:lang w:val="en-US" w:eastAsia="zh-CN" w:bidi="ar-SA"/>
                    </w:rPr>
                  </w:pPr>
                  <w:r>
                    <w:rPr>
                      <w:rFonts w:hint="eastAsia" w:ascii="Times New Roman" w:cs="Times New Roman"/>
                      <w:b w:val="0"/>
                      <w:color w:val="auto"/>
                      <w:sz w:val="21"/>
                      <w:szCs w:val="21"/>
                      <w:lang w:val="en-US" w:eastAsia="zh-CN"/>
                    </w:rPr>
                    <w:t>第二次</w:t>
                  </w:r>
                </w:p>
              </w:tc>
              <w:tc>
                <w:tcPr>
                  <w:tcW w:w="1021" w:type="pct"/>
                  <w:shd w:val="clear" w:color="auto" w:fill="auto"/>
                  <w:noWrap w:val="0"/>
                  <w:vAlign w:val="center"/>
                </w:tcPr>
                <w:p w14:paraId="4D9D4A66">
                  <w:pPr>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b w:val="0"/>
                      <w:color w:val="auto"/>
                      <w:kern w:val="2"/>
                      <w:sz w:val="21"/>
                      <w:szCs w:val="21"/>
                      <w:lang w:val="en-US" w:eastAsia="zh-CN" w:bidi="ar-SA"/>
                    </w:rPr>
                  </w:pPr>
                  <w:r>
                    <w:rPr>
                      <w:rFonts w:hint="eastAsia" w:ascii="Times New Roman" w:cs="Times New Roman"/>
                      <w:b w:val="0"/>
                      <w:color w:val="auto"/>
                      <w:sz w:val="21"/>
                      <w:szCs w:val="21"/>
                      <w:lang w:val="en-US" w:eastAsia="zh-CN"/>
                    </w:rPr>
                    <w:t>-</w:t>
                  </w:r>
                </w:p>
              </w:tc>
              <w:tc>
                <w:tcPr>
                  <w:tcW w:w="1024" w:type="pct"/>
                  <w:noWrap w:val="0"/>
                  <w:vAlign w:val="center"/>
                </w:tcPr>
                <w:p w14:paraId="6458B4ED">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cs="Times New Roman"/>
                      <w:b w:val="0"/>
                      <w:color w:val="auto"/>
                      <w:sz w:val="21"/>
                      <w:szCs w:val="21"/>
                      <w:lang w:val="en-US" w:eastAsia="zh-CN"/>
                    </w:rPr>
                  </w:pPr>
                  <w:r>
                    <w:rPr>
                      <w:rFonts w:hint="eastAsia" w:ascii="Times New Roman" w:cs="Times New Roman"/>
                      <w:b w:val="0"/>
                      <w:color w:val="auto"/>
                      <w:sz w:val="21"/>
                      <w:szCs w:val="21"/>
                      <w:lang w:val="en-US" w:eastAsia="zh-CN"/>
                    </w:rPr>
                    <w:t>0.031</w:t>
                  </w:r>
                </w:p>
              </w:tc>
            </w:tr>
            <w:tr w14:paraId="1EDBD6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pct"/>
                  <w:noWrap w:val="0"/>
                  <w:vAlign w:val="center"/>
                </w:tcPr>
                <w:p w14:paraId="2CDFAA3D">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13</w:t>
                  </w:r>
                </w:p>
              </w:tc>
              <w:tc>
                <w:tcPr>
                  <w:tcW w:w="1197" w:type="pct"/>
                  <w:vMerge w:val="continue"/>
                  <w:noWrap w:val="0"/>
                  <w:vAlign w:val="center"/>
                </w:tcPr>
                <w:p w14:paraId="611299E5">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p>
              </w:tc>
              <w:tc>
                <w:tcPr>
                  <w:tcW w:w="1013" w:type="pct"/>
                  <w:shd w:val="clear" w:color="auto" w:fill="auto"/>
                  <w:noWrap w:val="0"/>
                  <w:vAlign w:val="center"/>
                </w:tcPr>
                <w:p w14:paraId="0B593943">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kern w:val="0"/>
                      <w:sz w:val="21"/>
                      <w:szCs w:val="21"/>
                      <w:lang w:val="en-US" w:eastAsia="zh-CN" w:bidi="ar-SA"/>
                    </w:rPr>
                  </w:pPr>
                  <w:r>
                    <w:rPr>
                      <w:rFonts w:hint="eastAsia" w:ascii="Times New Roman" w:cs="Times New Roman"/>
                      <w:b w:val="0"/>
                      <w:color w:val="auto"/>
                      <w:sz w:val="21"/>
                      <w:szCs w:val="21"/>
                      <w:lang w:val="en-US" w:eastAsia="zh-CN"/>
                    </w:rPr>
                    <w:t>第三次</w:t>
                  </w:r>
                </w:p>
              </w:tc>
              <w:tc>
                <w:tcPr>
                  <w:tcW w:w="1021" w:type="pct"/>
                  <w:shd w:val="clear" w:color="auto" w:fill="auto"/>
                  <w:noWrap w:val="0"/>
                  <w:vAlign w:val="center"/>
                </w:tcPr>
                <w:p w14:paraId="577CF7DA">
                  <w:pPr>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b w:val="0"/>
                      <w:color w:val="auto"/>
                      <w:kern w:val="2"/>
                      <w:sz w:val="21"/>
                      <w:szCs w:val="21"/>
                      <w:lang w:val="en-US" w:eastAsia="zh-CN" w:bidi="ar-SA"/>
                    </w:rPr>
                  </w:pPr>
                  <w:r>
                    <w:rPr>
                      <w:rFonts w:hint="eastAsia" w:ascii="Times New Roman" w:cs="Times New Roman"/>
                      <w:b w:val="0"/>
                      <w:color w:val="auto"/>
                      <w:sz w:val="21"/>
                      <w:szCs w:val="21"/>
                      <w:lang w:val="en-US" w:eastAsia="zh-CN"/>
                    </w:rPr>
                    <w:t>-</w:t>
                  </w:r>
                </w:p>
              </w:tc>
              <w:tc>
                <w:tcPr>
                  <w:tcW w:w="1024" w:type="pct"/>
                  <w:noWrap w:val="0"/>
                  <w:vAlign w:val="center"/>
                </w:tcPr>
                <w:p w14:paraId="26A23A63">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cs="Times New Roman"/>
                      <w:b w:val="0"/>
                      <w:color w:val="auto"/>
                      <w:sz w:val="21"/>
                      <w:szCs w:val="21"/>
                      <w:lang w:val="en-US" w:eastAsia="zh-CN"/>
                    </w:rPr>
                  </w:pPr>
                  <w:r>
                    <w:rPr>
                      <w:rFonts w:hint="eastAsia" w:ascii="Times New Roman" w:cs="Times New Roman"/>
                      <w:b w:val="0"/>
                      <w:color w:val="auto"/>
                      <w:sz w:val="21"/>
                      <w:szCs w:val="21"/>
                      <w:lang w:val="en-US" w:eastAsia="zh-CN"/>
                    </w:rPr>
                    <w:t>0.034</w:t>
                  </w:r>
                </w:p>
              </w:tc>
            </w:tr>
            <w:tr w14:paraId="1A84B1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pct"/>
                  <w:noWrap w:val="0"/>
                  <w:vAlign w:val="center"/>
                </w:tcPr>
                <w:p w14:paraId="6EC490DE">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14</w:t>
                  </w:r>
                </w:p>
              </w:tc>
              <w:tc>
                <w:tcPr>
                  <w:tcW w:w="1197" w:type="pct"/>
                  <w:vMerge w:val="continue"/>
                  <w:noWrap w:val="0"/>
                  <w:vAlign w:val="center"/>
                </w:tcPr>
                <w:p w14:paraId="365F1B41">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p>
              </w:tc>
              <w:tc>
                <w:tcPr>
                  <w:tcW w:w="1013" w:type="pct"/>
                  <w:shd w:val="clear" w:color="auto" w:fill="auto"/>
                  <w:noWrap w:val="0"/>
                  <w:vAlign w:val="center"/>
                </w:tcPr>
                <w:p w14:paraId="44407DFB">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kern w:val="0"/>
                      <w:sz w:val="21"/>
                      <w:szCs w:val="21"/>
                      <w:lang w:val="en-US" w:eastAsia="zh-CN" w:bidi="ar-SA"/>
                    </w:rPr>
                  </w:pPr>
                  <w:r>
                    <w:rPr>
                      <w:rFonts w:hint="eastAsia" w:ascii="Times New Roman" w:cs="Times New Roman"/>
                      <w:b w:val="0"/>
                      <w:color w:val="auto"/>
                      <w:sz w:val="21"/>
                      <w:szCs w:val="21"/>
                      <w:lang w:val="en-US" w:eastAsia="zh-CN"/>
                    </w:rPr>
                    <w:t>第四次</w:t>
                  </w:r>
                </w:p>
              </w:tc>
              <w:tc>
                <w:tcPr>
                  <w:tcW w:w="1021" w:type="pct"/>
                  <w:shd w:val="clear" w:color="auto" w:fill="auto"/>
                  <w:noWrap w:val="0"/>
                  <w:vAlign w:val="center"/>
                </w:tcPr>
                <w:p w14:paraId="26CFBB55">
                  <w:pPr>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b w:val="0"/>
                      <w:color w:val="auto"/>
                      <w:kern w:val="2"/>
                      <w:sz w:val="21"/>
                      <w:szCs w:val="21"/>
                      <w:lang w:val="en-US" w:eastAsia="zh-CN" w:bidi="ar-SA"/>
                    </w:rPr>
                  </w:pPr>
                  <w:r>
                    <w:rPr>
                      <w:rFonts w:hint="eastAsia" w:ascii="Times New Roman" w:cs="Times New Roman"/>
                      <w:b w:val="0"/>
                      <w:color w:val="auto"/>
                      <w:sz w:val="21"/>
                      <w:szCs w:val="21"/>
                      <w:lang w:val="en-US" w:eastAsia="zh-CN"/>
                    </w:rPr>
                    <w:t>-</w:t>
                  </w:r>
                </w:p>
              </w:tc>
              <w:tc>
                <w:tcPr>
                  <w:tcW w:w="1024" w:type="pct"/>
                  <w:noWrap w:val="0"/>
                  <w:vAlign w:val="center"/>
                </w:tcPr>
                <w:p w14:paraId="1264201A">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cs="Times New Roman"/>
                      <w:b w:val="0"/>
                      <w:color w:val="auto"/>
                      <w:sz w:val="21"/>
                      <w:szCs w:val="21"/>
                      <w:lang w:val="en-US" w:eastAsia="zh-CN"/>
                    </w:rPr>
                  </w:pPr>
                  <w:r>
                    <w:rPr>
                      <w:rFonts w:hint="eastAsia" w:ascii="Times New Roman" w:cs="Times New Roman"/>
                      <w:b w:val="0"/>
                      <w:color w:val="auto"/>
                      <w:sz w:val="21"/>
                      <w:szCs w:val="21"/>
                      <w:lang w:val="en-US" w:eastAsia="zh-CN"/>
                    </w:rPr>
                    <w:t>0.034</w:t>
                  </w:r>
                </w:p>
              </w:tc>
            </w:tr>
            <w:tr w14:paraId="4C5FC0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pct"/>
                  <w:noWrap w:val="0"/>
                  <w:vAlign w:val="center"/>
                </w:tcPr>
                <w:p w14:paraId="31C599E7">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15</w:t>
                  </w:r>
                </w:p>
              </w:tc>
              <w:tc>
                <w:tcPr>
                  <w:tcW w:w="1197" w:type="pct"/>
                  <w:vMerge w:val="continue"/>
                  <w:noWrap w:val="0"/>
                  <w:vAlign w:val="center"/>
                </w:tcPr>
                <w:p w14:paraId="284E7976">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p>
              </w:tc>
              <w:tc>
                <w:tcPr>
                  <w:tcW w:w="1013" w:type="pct"/>
                  <w:shd w:val="clear" w:color="auto" w:fill="auto"/>
                  <w:noWrap w:val="0"/>
                  <w:vAlign w:val="center"/>
                </w:tcPr>
                <w:p w14:paraId="0F456403">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kern w:val="0"/>
                      <w:sz w:val="21"/>
                      <w:szCs w:val="21"/>
                      <w:lang w:val="en-US" w:eastAsia="zh-CN" w:bidi="ar-SA"/>
                    </w:rPr>
                  </w:pPr>
                  <w:r>
                    <w:rPr>
                      <w:rFonts w:hint="eastAsia" w:ascii="Times New Roman" w:cs="Times New Roman"/>
                      <w:b w:val="0"/>
                      <w:color w:val="auto"/>
                      <w:sz w:val="21"/>
                      <w:szCs w:val="21"/>
                      <w:lang w:val="en-US" w:eastAsia="zh-CN"/>
                    </w:rPr>
                    <w:t>日均值</w:t>
                  </w:r>
                </w:p>
              </w:tc>
              <w:tc>
                <w:tcPr>
                  <w:tcW w:w="1021" w:type="pct"/>
                  <w:noWrap w:val="0"/>
                  <w:vAlign w:val="center"/>
                </w:tcPr>
                <w:p w14:paraId="734F5681">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cs="Times New Roman"/>
                      <w:b w:val="0"/>
                      <w:color w:val="auto"/>
                      <w:sz w:val="21"/>
                      <w:szCs w:val="21"/>
                      <w:lang w:val="en-US" w:eastAsia="zh-CN"/>
                    </w:rPr>
                  </w:pPr>
                  <w:r>
                    <w:rPr>
                      <w:rFonts w:hint="eastAsia" w:ascii="Times New Roman" w:cs="Times New Roman"/>
                      <w:b w:val="0"/>
                      <w:color w:val="auto"/>
                      <w:sz w:val="21"/>
                      <w:szCs w:val="21"/>
                      <w:lang w:val="en-US" w:eastAsia="zh-CN"/>
                    </w:rPr>
                    <w:t>0.109</w:t>
                  </w:r>
                </w:p>
              </w:tc>
              <w:tc>
                <w:tcPr>
                  <w:tcW w:w="1024" w:type="pct"/>
                  <w:noWrap w:val="0"/>
                  <w:vAlign w:val="center"/>
                </w:tcPr>
                <w:p w14:paraId="25DB5A0A">
                  <w:pPr>
                    <w:pStyle w:val="111"/>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eastAsia" w:ascii="Times New Roman" w:cs="Times New Roman"/>
                      <w:b w:val="0"/>
                      <w:color w:val="auto"/>
                      <w:sz w:val="21"/>
                      <w:szCs w:val="21"/>
                      <w:lang w:val="en-US" w:eastAsia="zh-CN"/>
                    </w:rPr>
                  </w:pPr>
                  <w:r>
                    <w:rPr>
                      <w:rFonts w:hint="eastAsia" w:ascii="Times New Roman" w:cs="Times New Roman"/>
                      <w:b w:val="0"/>
                      <w:color w:val="auto"/>
                      <w:sz w:val="21"/>
                      <w:szCs w:val="21"/>
                      <w:lang w:val="en-US" w:eastAsia="zh-CN"/>
                    </w:rPr>
                    <w:t>-</w:t>
                  </w:r>
                </w:p>
              </w:tc>
            </w:tr>
          </w:tbl>
          <w:p w14:paraId="316C1925">
            <w:pPr>
              <w:pStyle w:val="111"/>
              <w:keepLines w:val="0"/>
              <w:pageBreakBefore w:val="0"/>
              <w:shd w:val="clear"/>
              <w:topLinePunct w:val="0"/>
              <w:bidi w:val="0"/>
              <w:spacing w:beforeAutospacing="0" w:afterAutospacing="0" w:line="240" w:lineRule="auto"/>
              <w:ind w:right="0" w:rightChars="0"/>
              <w:jc w:val="center"/>
              <w:rPr>
                <w:rFonts w:hint="default" w:ascii="Times New Roman" w:hAnsi="Times New Roman" w:eastAsia="宋体" w:cs="Times New Roman"/>
                <w:b/>
                <w:bCs/>
                <w:color w:val="auto"/>
                <w:sz w:val="21"/>
                <w:szCs w:val="24"/>
                <w:highlight w:val="none"/>
              </w:rPr>
            </w:pPr>
            <w:r>
              <w:rPr>
                <w:rFonts w:hint="default" w:ascii="Times New Roman" w:hAnsi="Times New Roman" w:eastAsia="宋体" w:cs="Times New Roman"/>
                <w:b/>
                <w:bCs/>
                <w:color w:val="auto"/>
                <w:sz w:val="21"/>
                <w:szCs w:val="24"/>
                <w:highlight w:val="none"/>
              </w:rPr>
              <w:t>表3-</w:t>
            </w:r>
            <w:r>
              <w:rPr>
                <w:rFonts w:hint="eastAsia" w:ascii="Times New Roman" w:hAnsi="Times New Roman" w:eastAsia="宋体" w:cs="Times New Roman"/>
                <w:b/>
                <w:bCs/>
                <w:color w:val="auto"/>
                <w:sz w:val="21"/>
                <w:szCs w:val="24"/>
                <w:highlight w:val="none"/>
                <w:lang w:val="en-US" w:eastAsia="zh-CN"/>
              </w:rPr>
              <w:t xml:space="preserve">4 </w:t>
            </w:r>
            <w:r>
              <w:rPr>
                <w:rFonts w:hint="default" w:ascii="Times New Roman" w:hAnsi="Times New Roman" w:eastAsia="宋体" w:cs="Times New Roman"/>
                <w:b/>
                <w:bCs/>
                <w:color w:val="auto"/>
                <w:sz w:val="21"/>
                <w:szCs w:val="24"/>
                <w:highlight w:val="none"/>
              </w:rPr>
              <w:t xml:space="preserve"> 其他污染物环境质量现状（监测结果）表</w:t>
            </w:r>
          </w:p>
          <w:tbl>
            <w:tblPr>
              <w:tblStyle w:val="32"/>
              <w:tblW w:w="486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3"/>
              <w:gridCol w:w="1465"/>
              <w:gridCol w:w="1332"/>
              <w:gridCol w:w="450"/>
              <w:gridCol w:w="413"/>
              <w:gridCol w:w="1176"/>
              <w:gridCol w:w="1316"/>
              <w:gridCol w:w="515"/>
              <w:gridCol w:w="439"/>
              <w:gridCol w:w="414"/>
            </w:tblGrid>
            <w:tr w14:paraId="1F7EC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60" w:type="pct"/>
                  <w:vMerge w:val="restart"/>
                  <w:tcBorders>
                    <w:top w:val="single" w:color="000000" w:sz="12" w:space="0"/>
                    <w:left w:val="nil"/>
                    <w:right w:val="single" w:color="auto" w:sz="4" w:space="0"/>
                  </w:tcBorders>
                  <w:noWrap w:val="0"/>
                  <w:vAlign w:val="center"/>
                </w:tcPr>
                <w:p w14:paraId="1A7616F8">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监测点位</w:t>
                  </w:r>
                </w:p>
              </w:tc>
              <w:tc>
                <w:tcPr>
                  <w:tcW w:w="1761" w:type="pct"/>
                  <w:gridSpan w:val="2"/>
                  <w:tcBorders>
                    <w:top w:val="single" w:color="000000" w:sz="12" w:space="0"/>
                    <w:left w:val="single" w:color="auto" w:sz="4" w:space="0"/>
                    <w:bottom w:val="single" w:color="auto" w:sz="4" w:space="0"/>
                    <w:right w:val="single" w:color="auto" w:sz="4" w:space="0"/>
                  </w:tcBorders>
                  <w:noWrap w:val="0"/>
                  <w:vAlign w:val="center"/>
                </w:tcPr>
                <w:p w14:paraId="70FB5482">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检测点位坐标</w:t>
                  </w:r>
                </w:p>
              </w:tc>
              <w:tc>
                <w:tcPr>
                  <w:tcW w:w="283" w:type="pct"/>
                  <w:vMerge w:val="restart"/>
                  <w:tcBorders>
                    <w:top w:val="single" w:color="000000" w:sz="12" w:space="0"/>
                    <w:left w:val="single" w:color="auto" w:sz="4" w:space="0"/>
                    <w:bottom w:val="single" w:color="auto" w:sz="4" w:space="0"/>
                    <w:right w:val="single" w:color="auto" w:sz="4" w:space="0"/>
                  </w:tcBorders>
                  <w:noWrap w:val="0"/>
                  <w:vAlign w:val="center"/>
                </w:tcPr>
                <w:p w14:paraId="0D8CF110">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污染物</w:t>
                  </w:r>
                </w:p>
              </w:tc>
              <w:tc>
                <w:tcPr>
                  <w:tcW w:w="260" w:type="pct"/>
                  <w:vMerge w:val="restart"/>
                  <w:tcBorders>
                    <w:top w:val="single" w:color="000000" w:sz="12" w:space="0"/>
                    <w:left w:val="single" w:color="auto" w:sz="4" w:space="0"/>
                    <w:right w:val="single" w:color="auto" w:sz="4" w:space="0"/>
                  </w:tcBorders>
                  <w:noWrap w:val="0"/>
                  <w:vAlign w:val="center"/>
                </w:tcPr>
                <w:p w14:paraId="2BA43838">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平均时间</w:t>
                  </w:r>
                </w:p>
              </w:tc>
              <w:tc>
                <w:tcPr>
                  <w:tcW w:w="741" w:type="pct"/>
                  <w:vMerge w:val="restart"/>
                  <w:tcBorders>
                    <w:top w:val="single" w:color="000000" w:sz="12" w:space="0"/>
                    <w:left w:val="single" w:color="auto" w:sz="4" w:space="0"/>
                    <w:bottom w:val="single" w:color="auto" w:sz="4" w:space="0"/>
                    <w:right w:val="single" w:color="auto" w:sz="4" w:space="0"/>
                  </w:tcBorders>
                  <w:noWrap w:val="0"/>
                  <w:vAlign w:val="center"/>
                </w:tcPr>
                <w:p w14:paraId="4F8D2BB1">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评价标准</w:t>
                  </w:r>
                </w:p>
              </w:tc>
              <w:tc>
                <w:tcPr>
                  <w:tcW w:w="829" w:type="pct"/>
                  <w:vMerge w:val="restart"/>
                  <w:tcBorders>
                    <w:top w:val="single" w:color="000000" w:sz="12" w:space="0"/>
                    <w:left w:val="single" w:color="auto" w:sz="4" w:space="0"/>
                    <w:bottom w:val="single" w:color="auto" w:sz="4" w:space="0"/>
                    <w:right w:val="single" w:color="auto" w:sz="4" w:space="0"/>
                  </w:tcBorders>
                  <w:noWrap w:val="0"/>
                  <w:vAlign w:val="center"/>
                </w:tcPr>
                <w:p w14:paraId="59B6397A">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eastAsia" w:ascii="Times New Roman" w:hAnsi="Times New Roman" w:eastAsia="宋体" w:cs="Times New Roman"/>
                      <w:color w:val="auto"/>
                      <w:sz w:val="21"/>
                      <w:szCs w:val="24"/>
                      <w:lang w:eastAsia="zh-CN"/>
                    </w:rPr>
                  </w:pPr>
                  <w:r>
                    <w:rPr>
                      <w:rFonts w:hint="default" w:ascii="Times New Roman" w:hAnsi="Times New Roman" w:cs="Times New Roman"/>
                      <w:color w:val="auto"/>
                      <w:sz w:val="21"/>
                      <w:szCs w:val="24"/>
                    </w:rPr>
                    <w:t>监测浓度范围</w:t>
                  </w:r>
                  <w:r>
                    <w:rPr>
                      <w:rFonts w:hint="eastAsia" w:cs="Times New Roman"/>
                      <w:color w:val="auto"/>
                      <w:sz w:val="21"/>
                      <w:szCs w:val="24"/>
                      <w:lang w:eastAsia="zh-CN"/>
                    </w:rPr>
                    <w:t>（</w:t>
                  </w:r>
                  <w:r>
                    <w:rPr>
                      <w:rFonts w:hint="default" w:ascii="Times New Roman" w:hAnsi="Times New Roman" w:eastAsia="宋体" w:cs="Times New Roman"/>
                      <w:b w:val="0"/>
                      <w:color w:val="auto"/>
                      <w:sz w:val="21"/>
                      <w:szCs w:val="21"/>
                    </w:rPr>
                    <w:t>mg/m</w:t>
                  </w:r>
                  <w:r>
                    <w:rPr>
                      <w:rFonts w:hint="default" w:ascii="Times New Roman" w:hAnsi="Times New Roman" w:eastAsia="宋体" w:cs="Times New Roman"/>
                      <w:b w:val="0"/>
                      <w:color w:val="auto"/>
                      <w:sz w:val="21"/>
                      <w:szCs w:val="21"/>
                      <w:vertAlign w:val="superscript"/>
                    </w:rPr>
                    <w:t>3</w:t>
                  </w:r>
                  <w:r>
                    <w:rPr>
                      <w:rFonts w:hint="eastAsia" w:cs="Times New Roman"/>
                      <w:color w:val="auto"/>
                      <w:sz w:val="21"/>
                      <w:szCs w:val="24"/>
                      <w:lang w:eastAsia="zh-CN"/>
                    </w:rPr>
                    <w:t>）</w:t>
                  </w:r>
                </w:p>
              </w:tc>
              <w:tc>
                <w:tcPr>
                  <w:tcW w:w="324" w:type="pct"/>
                  <w:vMerge w:val="restart"/>
                  <w:tcBorders>
                    <w:top w:val="single" w:color="000000" w:sz="12" w:space="0"/>
                    <w:left w:val="single" w:color="auto" w:sz="4" w:space="0"/>
                    <w:bottom w:val="single" w:color="auto" w:sz="4" w:space="0"/>
                    <w:right w:val="single" w:color="auto" w:sz="4" w:space="0"/>
                  </w:tcBorders>
                  <w:noWrap w:val="0"/>
                  <w:vAlign w:val="center"/>
                </w:tcPr>
                <w:p w14:paraId="7FC2D9D4">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最大浓度占标率/%</w:t>
                  </w:r>
                </w:p>
              </w:tc>
              <w:tc>
                <w:tcPr>
                  <w:tcW w:w="276" w:type="pct"/>
                  <w:vMerge w:val="restart"/>
                  <w:tcBorders>
                    <w:top w:val="single" w:color="000000" w:sz="12" w:space="0"/>
                    <w:left w:val="single" w:color="auto" w:sz="4" w:space="0"/>
                    <w:bottom w:val="single" w:color="auto" w:sz="4" w:space="0"/>
                    <w:right w:val="single" w:color="auto" w:sz="4" w:space="0"/>
                  </w:tcBorders>
                  <w:noWrap w:val="0"/>
                  <w:vAlign w:val="center"/>
                </w:tcPr>
                <w:p w14:paraId="3249C256">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超标率/%</w:t>
                  </w:r>
                </w:p>
              </w:tc>
              <w:tc>
                <w:tcPr>
                  <w:tcW w:w="261" w:type="pct"/>
                  <w:vMerge w:val="restart"/>
                  <w:tcBorders>
                    <w:top w:val="single" w:color="000000" w:sz="12" w:space="0"/>
                    <w:left w:val="single" w:color="auto" w:sz="4" w:space="0"/>
                    <w:bottom w:val="single" w:color="auto" w:sz="4" w:space="0"/>
                    <w:right w:val="nil"/>
                  </w:tcBorders>
                  <w:noWrap w:val="0"/>
                  <w:vAlign w:val="center"/>
                </w:tcPr>
                <w:p w14:paraId="6BA2A5F3">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达标情况</w:t>
                  </w:r>
                </w:p>
              </w:tc>
            </w:tr>
            <w:tr w14:paraId="14A08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60" w:type="pct"/>
                  <w:vMerge w:val="continue"/>
                  <w:tcBorders>
                    <w:left w:val="nil"/>
                    <w:right w:val="single" w:color="auto" w:sz="4" w:space="0"/>
                  </w:tcBorders>
                  <w:noWrap w:val="0"/>
                  <w:vAlign w:val="center"/>
                </w:tcPr>
                <w:p w14:paraId="322F808A">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textAlignment w:val="auto"/>
                    <w:rPr>
                      <w:rFonts w:hint="default" w:ascii="Times New Roman" w:hAnsi="Times New Roman" w:cs="Times New Roman"/>
                      <w:color w:val="auto"/>
                      <w:sz w:val="21"/>
                      <w:szCs w:val="24"/>
                    </w:rPr>
                  </w:pPr>
                </w:p>
              </w:tc>
              <w:tc>
                <w:tcPr>
                  <w:tcW w:w="922" w:type="pct"/>
                  <w:tcBorders>
                    <w:top w:val="single" w:color="auto" w:sz="4" w:space="0"/>
                    <w:left w:val="single" w:color="auto" w:sz="4" w:space="0"/>
                    <w:bottom w:val="single" w:color="auto" w:sz="4" w:space="0"/>
                    <w:right w:val="single" w:color="auto" w:sz="4" w:space="0"/>
                  </w:tcBorders>
                  <w:noWrap w:val="0"/>
                  <w:vAlign w:val="center"/>
                </w:tcPr>
                <w:p w14:paraId="15EA3C68">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经度</w:t>
                  </w:r>
                </w:p>
              </w:tc>
              <w:tc>
                <w:tcPr>
                  <w:tcW w:w="838" w:type="pct"/>
                  <w:tcBorders>
                    <w:top w:val="single" w:color="auto" w:sz="4" w:space="0"/>
                    <w:left w:val="single" w:color="auto" w:sz="4" w:space="0"/>
                    <w:bottom w:val="single" w:color="auto" w:sz="4" w:space="0"/>
                    <w:right w:val="single" w:color="auto" w:sz="4" w:space="0"/>
                  </w:tcBorders>
                  <w:noWrap w:val="0"/>
                  <w:vAlign w:val="center"/>
                </w:tcPr>
                <w:p w14:paraId="076F1561">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纬度</w:t>
                  </w:r>
                </w:p>
              </w:tc>
              <w:tc>
                <w:tcPr>
                  <w:tcW w:w="283" w:type="pct"/>
                  <w:vMerge w:val="continue"/>
                  <w:tcBorders>
                    <w:top w:val="single" w:color="auto" w:sz="4" w:space="0"/>
                    <w:left w:val="single" w:color="auto" w:sz="4" w:space="0"/>
                    <w:bottom w:val="single" w:color="auto" w:sz="4" w:space="0"/>
                    <w:right w:val="single" w:color="auto" w:sz="4" w:space="0"/>
                  </w:tcBorders>
                  <w:noWrap w:val="0"/>
                  <w:vAlign w:val="center"/>
                </w:tcPr>
                <w:p w14:paraId="1BFDDFD6">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p>
              </w:tc>
              <w:tc>
                <w:tcPr>
                  <w:tcW w:w="260" w:type="pct"/>
                  <w:vMerge w:val="continue"/>
                  <w:tcBorders>
                    <w:left w:val="single" w:color="auto" w:sz="4" w:space="0"/>
                    <w:bottom w:val="single" w:color="auto" w:sz="4" w:space="0"/>
                    <w:right w:val="single" w:color="auto" w:sz="4" w:space="0"/>
                  </w:tcBorders>
                  <w:noWrap w:val="0"/>
                  <w:vAlign w:val="center"/>
                </w:tcPr>
                <w:p w14:paraId="05B47B1A">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p>
              </w:tc>
              <w:tc>
                <w:tcPr>
                  <w:tcW w:w="741" w:type="pct"/>
                  <w:vMerge w:val="continue"/>
                  <w:tcBorders>
                    <w:top w:val="single" w:color="auto" w:sz="4" w:space="0"/>
                    <w:left w:val="single" w:color="auto" w:sz="4" w:space="0"/>
                    <w:bottom w:val="single" w:color="auto" w:sz="4" w:space="0"/>
                    <w:right w:val="single" w:color="auto" w:sz="4" w:space="0"/>
                  </w:tcBorders>
                  <w:noWrap w:val="0"/>
                  <w:vAlign w:val="center"/>
                </w:tcPr>
                <w:p w14:paraId="07F24E24">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p>
              </w:tc>
              <w:tc>
                <w:tcPr>
                  <w:tcW w:w="829" w:type="pct"/>
                  <w:vMerge w:val="continue"/>
                  <w:tcBorders>
                    <w:top w:val="single" w:color="auto" w:sz="4" w:space="0"/>
                    <w:left w:val="single" w:color="auto" w:sz="4" w:space="0"/>
                    <w:bottom w:val="single" w:color="auto" w:sz="4" w:space="0"/>
                    <w:right w:val="single" w:color="auto" w:sz="4" w:space="0"/>
                  </w:tcBorders>
                  <w:noWrap w:val="0"/>
                  <w:vAlign w:val="center"/>
                </w:tcPr>
                <w:p w14:paraId="08EFADCD">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p>
              </w:tc>
              <w:tc>
                <w:tcPr>
                  <w:tcW w:w="324" w:type="pct"/>
                  <w:vMerge w:val="continue"/>
                  <w:tcBorders>
                    <w:top w:val="single" w:color="auto" w:sz="4" w:space="0"/>
                    <w:left w:val="single" w:color="auto" w:sz="4" w:space="0"/>
                    <w:bottom w:val="single" w:color="auto" w:sz="4" w:space="0"/>
                    <w:right w:val="single" w:color="auto" w:sz="4" w:space="0"/>
                  </w:tcBorders>
                  <w:noWrap w:val="0"/>
                  <w:vAlign w:val="center"/>
                </w:tcPr>
                <w:p w14:paraId="665A9D0B">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p>
              </w:tc>
              <w:tc>
                <w:tcPr>
                  <w:tcW w:w="276" w:type="pct"/>
                  <w:vMerge w:val="continue"/>
                  <w:tcBorders>
                    <w:top w:val="single" w:color="auto" w:sz="4" w:space="0"/>
                    <w:left w:val="single" w:color="auto" w:sz="4" w:space="0"/>
                    <w:bottom w:val="single" w:color="auto" w:sz="4" w:space="0"/>
                    <w:right w:val="single" w:color="auto" w:sz="4" w:space="0"/>
                  </w:tcBorders>
                  <w:noWrap w:val="0"/>
                  <w:vAlign w:val="center"/>
                </w:tcPr>
                <w:p w14:paraId="2C1C4116">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p>
              </w:tc>
              <w:tc>
                <w:tcPr>
                  <w:tcW w:w="261" w:type="pct"/>
                  <w:vMerge w:val="continue"/>
                  <w:tcBorders>
                    <w:top w:val="single" w:color="auto" w:sz="4" w:space="0"/>
                    <w:left w:val="single" w:color="auto" w:sz="4" w:space="0"/>
                    <w:bottom w:val="single" w:color="auto" w:sz="4" w:space="0"/>
                    <w:right w:val="nil"/>
                  </w:tcBorders>
                  <w:noWrap w:val="0"/>
                  <w:vAlign w:val="center"/>
                </w:tcPr>
                <w:p w14:paraId="00E73FE2">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p>
              </w:tc>
            </w:tr>
            <w:tr w14:paraId="109CD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3" w:hRule="atLeast"/>
                <w:jc w:val="center"/>
              </w:trPr>
              <w:tc>
                <w:tcPr>
                  <w:tcW w:w="260" w:type="pct"/>
                  <w:vMerge w:val="continue"/>
                  <w:tcBorders>
                    <w:left w:val="nil"/>
                    <w:right w:val="single" w:color="auto" w:sz="4" w:space="0"/>
                  </w:tcBorders>
                  <w:noWrap w:val="0"/>
                  <w:vAlign w:val="center"/>
                </w:tcPr>
                <w:p w14:paraId="53DA3DB5">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p>
              </w:tc>
              <w:tc>
                <w:tcPr>
                  <w:tcW w:w="922" w:type="pct"/>
                  <w:vMerge w:val="restart"/>
                  <w:tcBorders>
                    <w:left w:val="single" w:color="auto" w:sz="4" w:space="0"/>
                    <w:right w:val="single" w:color="auto" w:sz="4" w:space="0"/>
                  </w:tcBorders>
                  <w:noWrap w:val="0"/>
                  <w:vAlign w:val="center"/>
                </w:tcPr>
                <w:p w14:paraId="4A24AE11">
                  <w:pPr>
                    <w:shd w:val="clear"/>
                    <w:adjustRightInd w:val="0"/>
                    <w:snapToGrid w:val="0"/>
                    <w:rPr>
                      <w:rFonts w:hint="default" w:ascii="Times New Roman" w:hAnsi="Times New Roman" w:cs="Times New Roman"/>
                      <w:color w:val="auto"/>
                      <w:sz w:val="21"/>
                      <w:szCs w:val="24"/>
                    </w:rPr>
                  </w:pPr>
                  <w:r>
                    <w:rPr>
                      <w:rFonts w:hint="eastAsia" w:ascii="Times New Roman" w:hAnsi="Times New Roman" w:eastAsia="宋体"/>
                      <w:color w:val="auto"/>
                      <w:szCs w:val="21"/>
                      <w:highlight w:val="none"/>
                    </w:rPr>
                    <w:t>131.17355093</w:t>
                  </w:r>
                </w:p>
              </w:tc>
              <w:tc>
                <w:tcPr>
                  <w:tcW w:w="838" w:type="pct"/>
                  <w:vMerge w:val="restart"/>
                  <w:tcBorders>
                    <w:left w:val="single" w:color="auto" w:sz="4" w:space="0"/>
                    <w:right w:val="single" w:color="auto" w:sz="4" w:space="0"/>
                  </w:tcBorders>
                  <w:noWrap w:val="0"/>
                  <w:vAlign w:val="center"/>
                </w:tcPr>
                <w:p w14:paraId="0A60ADD8">
                  <w:pPr>
                    <w:shd w:val="clear"/>
                    <w:adjustRightInd w:val="0"/>
                    <w:snapToGrid w:val="0"/>
                    <w:rPr>
                      <w:rFonts w:hint="default" w:ascii="Times New Roman" w:hAnsi="Times New Roman" w:cs="Times New Roman"/>
                      <w:color w:val="auto"/>
                      <w:sz w:val="21"/>
                      <w:szCs w:val="24"/>
                    </w:rPr>
                  </w:pPr>
                  <w:r>
                    <w:rPr>
                      <w:rFonts w:hint="eastAsia" w:ascii="Times New Roman" w:hAnsi="Times New Roman" w:eastAsia="宋体"/>
                      <w:color w:val="auto"/>
                      <w:szCs w:val="21"/>
                      <w:highlight w:val="none"/>
                    </w:rPr>
                    <w:t>46.69071129</w:t>
                  </w:r>
                </w:p>
              </w:tc>
              <w:tc>
                <w:tcPr>
                  <w:tcW w:w="283" w:type="pct"/>
                  <w:tcBorders>
                    <w:top w:val="single" w:color="auto" w:sz="4" w:space="0"/>
                    <w:left w:val="single" w:color="auto" w:sz="4" w:space="0"/>
                    <w:bottom w:val="single" w:color="auto" w:sz="4" w:space="0"/>
                    <w:right w:val="single" w:color="auto" w:sz="4" w:space="0"/>
                  </w:tcBorders>
                  <w:noWrap w:val="0"/>
                  <w:vAlign w:val="center"/>
                </w:tcPr>
                <w:p w14:paraId="31C589CC">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4"/>
                      <w:lang w:val="en-US" w:eastAsia="zh-CN"/>
                    </w:rPr>
                  </w:pPr>
                  <w:r>
                    <w:rPr>
                      <w:rFonts w:hint="default" w:ascii="Times New Roman" w:hAnsi="Times New Roman" w:cs="Times New Roman"/>
                      <w:color w:val="auto"/>
                      <w:sz w:val="21"/>
                      <w:szCs w:val="24"/>
                      <w:lang w:val="en-US" w:eastAsia="zh-CN"/>
                    </w:rPr>
                    <w:t>TSP</w:t>
                  </w:r>
                </w:p>
              </w:tc>
              <w:tc>
                <w:tcPr>
                  <w:tcW w:w="260" w:type="pct"/>
                  <w:tcBorders>
                    <w:left w:val="single" w:color="auto" w:sz="4" w:space="0"/>
                    <w:right w:val="single" w:color="auto" w:sz="4" w:space="0"/>
                  </w:tcBorders>
                  <w:noWrap w:val="0"/>
                  <w:vAlign w:val="center"/>
                </w:tcPr>
                <w:p w14:paraId="03A1D243">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heme="minorEastAsia" w:hAnsiTheme="minorEastAsia" w:eastAsiaTheme="minorEastAsia" w:cstheme="minorEastAsia"/>
                      <w:color w:val="auto"/>
                      <w:kern w:val="2"/>
                      <w:sz w:val="21"/>
                      <w:szCs w:val="24"/>
                      <w:highlight w:val="none"/>
                      <w:lang w:val="en-US" w:eastAsia="zh-CN" w:bidi="ar-SA"/>
                    </w:rPr>
                  </w:pPr>
                  <w:r>
                    <w:rPr>
                      <w:rFonts w:hint="eastAsia" w:asciiTheme="minorEastAsia" w:hAnsiTheme="minorEastAsia" w:eastAsiaTheme="minorEastAsia" w:cstheme="minorEastAsia"/>
                      <w:color w:val="auto"/>
                      <w:sz w:val="21"/>
                      <w:szCs w:val="24"/>
                      <w:highlight w:val="none"/>
                    </w:rPr>
                    <w:t>日均值</w:t>
                  </w:r>
                </w:p>
              </w:tc>
              <w:tc>
                <w:tcPr>
                  <w:tcW w:w="741" w:type="pct"/>
                  <w:tcBorders>
                    <w:left w:val="single" w:color="auto" w:sz="4" w:space="0"/>
                    <w:right w:val="single" w:color="auto" w:sz="4" w:space="0"/>
                  </w:tcBorders>
                  <w:noWrap w:val="0"/>
                  <w:vAlign w:val="center"/>
                </w:tcPr>
                <w:p w14:paraId="00E5FCEE">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lang w:val="en-US" w:eastAsia="zh-CN"/>
                    </w:rPr>
                    <w:t>300</w:t>
                  </w:r>
                  <w:r>
                    <w:rPr>
                      <w:rFonts w:hint="default" w:ascii="Times New Roman" w:hAnsi="Times New Roman" w:cs="Times New Roman"/>
                      <w:color w:val="auto"/>
                      <w:sz w:val="21"/>
                      <w:szCs w:val="24"/>
                    </w:rPr>
                    <w:t>μg/m</w:t>
                  </w:r>
                  <w:r>
                    <w:rPr>
                      <w:rFonts w:hint="default" w:ascii="Times New Roman" w:hAnsi="Times New Roman" w:cs="Times New Roman"/>
                      <w:color w:val="auto"/>
                      <w:sz w:val="21"/>
                      <w:szCs w:val="24"/>
                      <w:vertAlign w:val="superscript"/>
                    </w:rPr>
                    <w:t>3</w:t>
                  </w:r>
                </w:p>
              </w:tc>
              <w:tc>
                <w:tcPr>
                  <w:tcW w:w="829" w:type="pct"/>
                  <w:tcBorders>
                    <w:left w:val="single" w:color="auto" w:sz="4" w:space="0"/>
                    <w:right w:val="single" w:color="auto" w:sz="4" w:space="0"/>
                  </w:tcBorders>
                  <w:noWrap w:val="0"/>
                  <w:vAlign w:val="center"/>
                </w:tcPr>
                <w:p w14:paraId="22CA4BCD">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4"/>
                      <w:highlight w:val="none"/>
                      <w:lang w:val="en-US" w:eastAsia="zh-CN"/>
                    </w:rPr>
                  </w:pPr>
                  <w:r>
                    <w:rPr>
                      <w:rFonts w:hint="eastAsia" w:cs="Times New Roman"/>
                      <w:color w:val="auto"/>
                      <w:sz w:val="21"/>
                      <w:szCs w:val="24"/>
                      <w:highlight w:val="none"/>
                      <w:lang w:val="en-US" w:eastAsia="zh-CN"/>
                    </w:rPr>
                    <w:t>0.098~0.111</w:t>
                  </w:r>
                </w:p>
              </w:tc>
              <w:tc>
                <w:tcPr>
                  <w:tcW w:w="324" w:type="pct"/>
                  <w:tcBorders>
                    <w:left w:val="single" w:color="auto" w:sz="4" w:space="0"/>
                    <w:right w:val="single" w:color="auto" w:sz="4" w:space="0"/>
                  </w:tcBorders>
                  <w:noWrap w:val="0"/>
                  <w:vAlign w:val="center"/>
                </w:tcPr>
                <w:p w14:paraId="4EE0035D">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4"/>
                      <w:highlight w:val="none"/>
                      <w:lang w:val="en-US" w:eastAsia="zh-CN"/>
                    </w:rPr>
                  </w:pPr>
                  <w:r>
                    <w:rPr>
                      <w:rFonts w:hint="eastAsia" w:cs="Times New Roman"/>
                      <w:color w:val="auto"/>
                      <w:sz w:val="21"/>
                      <w:szCs w:val="24"/>
                      <w:highlight w:val="none"/>
                      <w:lang w:val="en-US" w:eastAsia="zh-CN"/>
                    </w:rPr>
                    <w:t>37</w:t>
                  </w:r>
                </w:p>
              </w:tc>
              <w:tc>
                <w:tcPr>
                  <w:tcW w:w="276" w:type="pct"/>
                  <w:tcBorders>
                    <w:left w:val="single" w:color="auto" w:sz="4" w:space="0"/>
                    <w:right w:val="single" w:color="auto" w:sz="4" w:space="0"/>
                  </w:tcBorders>
                  <w:noWrap w:val="0"/>
                  <w:vAlign w:val="center"/>
                </w:tcPr>
                <w:p w14:paraId="6EFDAB50">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0</w:t>
                  </w:r>
                </w:p>
              </w:tc>
              <w:tc>
                <w:tcPr>
                  <w:tcW w:w="261" w:type="pct"/>
                  <w:tcBorders>
                    <w:left w:val="single" w:color="auto" w:sz="4" w:space="0"/>
                    <w:right w:val="nil"/>
                  </w:tcBorders>
                  <w:noWrap w:val="0"/>
                  <w:vAlign w:val="center"/>
                </w:tcPr>
                <w:p w14:paraId="52FBE7A7">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达标</w:t>
                  </w:r>
                </w:p>
              </w:tc>
            </w:tr>
            <w:tr w14:paraId="0603D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260" w:type="pct"/>
                  <w:vMerge w:val="continue"/>
                  <w:tcBorders>
                    <w:left w:val="nil"/>
                    <w:bottom w:val="single" w:color="000000" w:sz="12" w:space="0"/>
                    <w:right w:val="single" w:color="auto" w:sz="4" w:space="0"/>
                  </w:tcBorders>
                  <w:noWrap w:val="0"/>
                  <w:vAlign w:val="center"/>
                </w:tcPr>
                <w:p w14:paraId="2B615407">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p>
              </w:tc>
              <w:tc>
                <w:tcPr>
                  <w:tcW w:w="922" w:type="pct"/>
                  <w:vMerge w:val="continue"/>
                  <w:tcBorders>
                    <w:left w:val="single" w:color="auto" w:sz="4" w:space="0"/>
                    <w:bottom w:val="single" w:color="000000" w:sz="12" w:space="0"/>
                    <w:right w:val="single" w:color="auto" w:sz="4" w:space="0"/>
                  </w:tcBorders>
                  <w:noWrap w:val="0"/>
                  <w:vAlign w:val="center"/>
                </w:tcPr>
                <w:p w14:paraId="4EAF0ABE">
                  <w:pPr>
                    <w:shd w:val="clear"/>
                    <w:adjustRightInd w:val="0"/>
                    <w:snapToGrid w:val="0"/>
                    <w:rPr>
                      <w:rFonts w:hint="eastAsia"/>
                      <w:color w:val="auto"/>
                    </w:rPr>
                  </w:pPr>
                </w:p>
              </w:tc>
              <w:tc>
                <w:tcPr>
                  <w:tcW w:w="838" w:type="pct"/>
                  <w:vMerge w:val="continue"/>
                  <w:tcBorders>
                    <w:left w:val="single" w:color="auto" w:sz="4" w:space="0"/>
                    <w:bottom w:val="single" w:color="000000" w:sz="12" w:space="0"/>
                    <w:right w:val="single" w:color="auto" w:sz="4" w:space="0"/>
                  </w:tcBorders>
                  <w:noWrap w:val="0"/>
                  <w:vAlign w:val="center"/>
                </w:tcPr>
                <w:p w14:paraId="5C95A5F6">
                  <w:pPr>
                    <w:shd w:val="clear"/>
                    <w:adjustRightInd w:val="0"/>
                    <w:snapToGrid w:val="0"/>
                    <w:rPr>
                      <w:rFonts w:hint="eastAsia"/>
                      <w:color w:val="auto"/>
                    </w:rPr>
                  </w:pPr>
                </w:p>
              </w:tc>
              <w:tc>
                <w:tcPr>
                  <w:tcW w:w="283" w:type="pct"/>
                  <w:tcBorders>
                    <w:top w:val="single" w:color="auto" w:sz="4" w:space="0"/>
                    <w:left w:val="single" w:color="auto" w:sz="4" w:space="0"/>
                    <w:bottom w:val="single" w:color="000000" w:sz="12" w:space="0"/>
                    <w:right w:val="single" w:color="auto" w:sz="4" w:space="0"/>
                  </w:tcBorders>
                  <w:noWrap w:val="0"/>
                  <w:vAlign w:val="center"/>
                </w:tcPr>
                <w:p w14:paraId="688188A0">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lang w:val="en-US" w:eastAsia="zh-CN"/>
                    </w:rPr>
                  </w:pPr>
                  <w:r>
                    <w:rPr>
                      <w:rFonts w:hint="eastAsia" w:cs="Times New Roman"/>
                      <w:color w:val="auto"/>
                      <w:sz w:val="21"/>
                      <w:szCs w:val="24"/>
                      <w:lang w:val="en-US" w:eastAsia="zh-CN"/>
                    </w:rPr>
                    <w:t>氮氧化物</w:t>
                  </w:r>
                </w:p>
              </w:tc>
              <w:tc>
                <w:tcPr>
                  <w:tcW w:w="260" w:type="pct"/>
                  <w:tcBorders>
                    <w:left w:val="single" w:color="auto" w:sz="4" w:space="0"/>
                    <w:bottom w:val="single" w:color="000000" w:sz="12" w:space="0"/>
                    <w:right w:val="single" w:color="auto" w:sz="4" w:space="0"/>
                  </w:tcBorders>
                  <w:noWrap w:val="0"/>
                  <w:vAlign w:val="center"/>
                </w:tcPr>
                <w:p w14:paraId="3EF27AC0">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heme="minorEastAsia" w:hAnsiTheme="minorEastAsia" w:eastAsiaTheme="minorEastAsia" w:cstheme="minorEastAsia"/>
                      <w:color w:val="auto"/>
                      <w:sz w:val="21"/>
                      <w:szCs w:val="24"/>
                      <w:highlight w:val="none"/>
                      <w:lang w:val="en-US" w:eastAsia="zh-CN"/>
                    </w:rPr>
                  </w:pPr>
                  <w:r>
                    <w:rPr>
                      <w:rFonts w:hint="eastAsia" w:asciiTheme="minorEastAsia" w:hAnsiTheme="minorEastAsia" w:eastAsiaTheme="minorEastAsia" w:cstheme="minorEastAsia"/>
                      <w:color w:val="auto"/>
                      <w:sz w:val="21"/>
                      <w:szCs w:val="24"/>
                      <w:highlight w:val="none"/>
                      <w:lang w:val="en-US" w:eastAsia="zh-CN"/>
                    </w:rPr>
                    <w:t>小时值</w:t>
                  </w:r>
                </w:p>
              </w:tc>
              <w:tc>
                <w:tcPr>
                  <w:tcW w:w="741" w:type="pct"/>
                  <w:tcBorders>
                    <w:left w:val="single" w:color="auto" w:sz="4" w:space="0"/>
                    <w:bottom w:val="single" w:color="000000" w:sz="12" w:space="0"/>
                    <w:right w:val="single" w:color="auto" w:sz="4" w:space="0"/>
                  </w:tcBorders>
                  <w:noWrap w:val="0"/>
                  <w:vAlign w:val="center"/>
                </w:tcPr>
                <w:p w14:paraId="5DC54C76">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lang w:val="en-US" w:eastAsia="zh-CN"/>
                    </w:rPr>
                  </w:pPr>
                  <w:r>
                    <w:rPr>
                      <w:rFonts w:hint="eastAsia" w:cs="Times New Roman"/>
                      <w:color w:val="auto"/>
                      <w:sz w:val="21"/>
                      <w:szCs w:val="24"/>
                      <w:lang w:val="en-US" w:eastAsia="zh-CN"/>
                    </w:rPr>
                    <w:t>250</w:t>
                  </w:r>
                  <w:r>
                    <w:rPr>
                      <w:rFonts w:hint="default" w:ascii="Times New Roman" w:hAnsi="Times New Roman" w:cs="Times New Roman"/>
                      <w:color w:val="auto"/>
                      <w:sz w:val="21"/>
                      <w:szCs w:val="24"/>
                    </w:rPr>
                    <w:t>μg/m</w:t>
                  </w:r>
                  <w:r>
                    <w:rPr>
                      <w:rFonts w:hint="default" w:ascii="Times New Roman" w:hAnsi="Times New Roman" w:cs="Times New Roman"/>
                      <w:color w:val="auto"/>
                      <w:sz w:val="21"/>
                      <w:szCs w:val="24"/>
                      <w:vertAlign w:val="superscript"/>
                    </w:rPr>
                    <w:t>3</w:t>
                  </w:r>
                </w:p>
              </w:tc>
              <w:tc>
                <w:tcPr>
                  <w:tcW w:w="829" w:type="pct"/>
                  <w:tcBorders>
                    <w:left w:val="single" w:color="auto" w:sz="4" w:space="0"/>
                    <w:bottom w:val="single" w:color="000000" w:sz="12" w:space="0"/>
                    <w:right w:val="single" w:color="auto" w:sz="4" w:space="0"/>
                  </w:tcBorders>
                  <w:noWrap w:val="0"/>
                  <w:vAlign w:val="center"/>
                </w:tcPr>
                <w:p w14:paraId="00E248BF">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cs="Times New Roman"/>
                      <w:color w:val="auto"/>
                      <w:sz w:val="21"/>
                      <w:szCs w:val="24"/>
                      <w:highlight w:val="none"/>
                      <w:lang w:val="en-US" w:eastAsia="zh-CN"/>
                    </w:rPr>
                  </w:pPr>
                  <w:r>
                    <w:rPr>
                      <w:rFonts w:hint="eastAsia" w:cs="Times New Roman"/>
                      <w:color w:val="auto"/>
                      <w:sz w:val="21"/>
                      <w:szCs w:val="24"/>
                      <w:highlight w:val="none"/>
                      <w:lang w:val="en-US" w:eastAsia="zh-CN"/>
                    </w:rPr>
                    <w:t>0.028~0.034</w:t>
                  </w:r>
                </w:p>
              </w:tc>
              <w:tc>
                <w:tcPr>
                  <w:tcW w:w="324" w:type="pct"/>
                  <w:tcBorders>
                    <w:left w:val="single" w:color="auto" w:sz="4" w:space="0"/>
                    <w:bottom w:val="single" w:color="000000" w:sz="12" w:space="0"/>
                    <w:right w:val="single" w:color="auto" w:sz="4" w:space="0"/>
                  </w:tcBorders>
                  <w:noWrap w:val="0"/>
                  <w:vAlign w:val="center"/>
                </w:tcPr>
                <w:p w14:paraId="5AFE18D4">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cs="Times New Roman"/>
                      <w:color w:val="auto"/>
                      <w:sz w:val="21"/>
                      <w:szCs w:val="24"/>
                      <w:highlight w:val="none"/>
                      <w:lang w:val="en-US" w:eastAsia="zh-CN"/>
                    </w:rPr>
                  </w:pPr>
                  <w:r>
                    <w:rPr>
                      <w:rFonts w:hint="eastAsia" w:cs="Times New Roman"/>
                      <w:color w:val="auto"/>
                      <w:sz w:val="21"/>
                      <w:szCs w:val="24"/>
                      <w:highlight w:val="none"/>
                      <w:lang w:val="en-US" w:eastAsia="zh-CN"/>
                    </w:rPr>
                    <w:t>34</w:t>
                  </w:r>
                </w:p>
              </w:tc>
              <w:tc>
                <w:tcPr>
                  <w:tcW w:w="276" w:type="pct"/>
                  <w:tcBorders>
                    <w:left w:val="single" w:color="auto" w:sz="4" w:space="0"/>
                    <w:bottom w:val="single" w:color="000000" w:sz="12" w:space="0"/>
                    <w:right w:val="single" w:color="auto" w:sz="4" w:space="0"/>
                  </w:tcBorders>
                  <w:noWrap w:val="0"/>
                  <w:vAlign w:val="center"/>
                </w:tcPr>
                <w:p w14:paraId="2E7E5257">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0</w:t>
                  </w:r>
                </w:p>
              </w:tc>
              <w:tc>
                <w:tcPr>
                  <w:tcW w:w="261" w:type="pct"/>
                  <w:tcBorders>
                    <w:left w:val="single" w:color="auto" w:sz="4" w:space="0"/>
                    <w:bottom w:val="single" w:color="000000" w:sz="12" w:space="0"/>
                    <w:right w:val="nil"/>
                  </w:tcBorders>
                  <w:noWrap w:val="0"/>
                  <w:vAlign w:val="center"/>
                </w:tcPr>
                <w:p w14:paraId="095FFF51">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达标</w:t>
                  </w:r>
                </w:p>
              </w:tc>
            </w:tr>
          </w:tbl>
          <w:p w14:paraId="63AC9017">
            <w:pPr>
              <w:pStyle w:val="80"/>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0" w:leftChars="0" w:firstLine="480" w:firstLineChars="200"/>
              <w:textAlignment w:val="auto"/>
              <w:rPr>
                <w:rFonts w:hint="eastAsia" w:ascii="Times New Roman" w:hAnsi="Times New Roman" w:eastAsia="宋体" w:cs="Times New Roman"/>
                <w:color w:val="auto"/>
                <w:kern w:val="0"/>
                <w:sz w:val="24"/>
                <w:szCs w:val="28"/>
                <w:lang w:val="en-US" w:eastAsia="zh-CN" w:bidi="ar-SA"/>
              </w:rPr>
            </w:pPr>
            <w:r>
              <w:rPr>
                <w:rFonts w:hint="default" w:ascii="Times New Roman" w:hAnsi="Times New Roman" w:eastAsia="宋体" w:cs="Times New Roman"/>
                <w:color w:val="auto"/>
                <w:kern w:val="0"/>
                <w:sz w:val="24"/>
                <w:szCs w:val="28"/>
                <w:lang w:val="en-US" w:eastAsia="zh-CN" w:bidi="ar-SA"/>
              </w:rPr>
              <w:t>根据上表统计结果，本项目补充检测的TSP</w:t>
            </w:r>
            <w:r>
              <w:rPr>
                <w:rFonts w:hint="eastAsia" w:ascii="Times New Roman" w:hAnsi="Times New Roman" w:eastAsia="宋体" w:cs="Times New Roman"/>
                <w:color w:val="auto"/>
                <w:kern w:val="0"/>
                <w:sz w:val="24"/>
                <w:szCs w:val="28"/>
                <w:lang w:val="en-US" w:eastAsia="zh-CN" w:bidi="ar-SA"/>
              </w:rPr>
              <w:t>、氮氧化物</w:t>
            </w:r>
            <w:r>
              <w:rPr>
                <w:rFonts w:hint="default" w:ascii="Times New Roman" w:hAnsi="Times New Roman" w:eastAsia="宋体" w:cs="Times New Roman"/>
                <w:color w:val="auto"/>
                <w:kern w:val="0"/>
                <w:sz w:val="24"/>
                <w:szCs w:val="28"/>
                <w:lang w:val="en-US" w:eastAsia="zh-CN" w:bidi="ar-SA"/>
              </w:rPr>
              <w:t>环境空气质量现状满足《环境空气质量标准》（GB3095-2012）及修改单中二级标准要求。</w:t>
            </w:r>
          </w:p>
          <w:p w14:paraId="46C49F86">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eastAsia="宋体" w:cs="Times New Roman"/>
                <w:bCs/>
                <w:color w:val="auto"/>
                <w:kern w:val="0"/>
                <w:sz w:val="24"/>
                <w:lang w:val="en-US" w:eastAsia="zh-CN"/>
              </w:rPr>
            </w:pPr>
            <w:r>
              <w:rPr>
                <w:rFonts w:hint="eastAsia" w:ascii="Times New Roman" w:hAnsi="Times New Roman" w:eastAsia="宋体" w:cs="Times New Roman"/>
                <w:bCs/>
                <w:color w:val="auto"/>
                <w:kern w:val="0"/>
                <w:sz w:val="24"/>
                <w:lang w:val="en-US" w:eastAsia="zh-CN"/>
              </w:rPr>
              <w:t>2、地表水环境质量现状</w:t>
            </w:r>
          </w:p>
          <w:p w14:paraId="4A463399">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eastAsia="宋体" w:cs="Times New Roman"/>
                <w:bCs/>
                <w:color w:val="auto"/>
                <w:kern w:val="0"/>
                <w:sz w:val="24"/>
                <w:lang w:val="en-US" w:eastAsia="zh-CN"/>
              </w:rPr>
            </w:pPr>
            <w:r>
              <w:rPr>
                <w:rFonts w:hint="eastAsia" w:ascii="Times New Roman" w:hAnsi="Times New Roman" w:eastAsia="宋体" w:cs="Times New Roman"/>
                <w:bCs/>
                <w:color w:val="auto"/>
                <w:kern w:val="0"/>
                <w:sz w:val="24"/>
                <w:lang w:val="en-US" w:eastAsia="zh-CN"/>
              </w:rPr>
              <w:t>本项目所在地区地表水体为安邦河，根据《全国重要江河湖泊水功能区划（2011-2030年）》，本项目所在安邦河水功能区范围为安邦河双鸭山市排污控制区（窑地村-福富大桥），排污控制区水质标准应按其出流断面的水质状况达到相邻水功能区的水质控制标准确定，福富大桥以下断面水质目标为IV类，因此本项目所在安邦河水功能区（窑地村-福富大桥）参考IV类水体功能区执行，可以满足其相应的水体功能区标准，根据黑龙江省生态环境监测中心提供的《</w:t>
            </w:r>
            <w:r>
              <w:rPr>
                <w:rFonts w:hint="default" w:ascii="Times New Roman" w:hAnsi="Times New Roman" w:eastAsia="宋体" w:cs="Times New Roman"/>
                <w:bCs/>
                <w:color w:val="auto"/>
                <w:kern w:val="0"/>
                <w:sz w:val="24"/>
                <w:lang w:val="en-US" w:eastAsia="zh-CN"/>
              </w:rPr>
              <w:t>2024年黑龙江省生态环境质量状况</w:t>
            </w:r>
            <w:r>
              <w:rPr>
                <w:rFonts w:hint="eastAsia" w:ascii="Times New Roman" w:hAnsi="Times New Roman" w:eastAsia="宋体" w:cs="Times New Roman"/>
                <w:bCs/>
                <w:color w:val="auto"/>
                <w:kern w:val="0"/>
                <w:sz w:val="24"/>
                <w:lang w:val="en-US" w:eastAsia="zh-CN"/>
              </w:rPr>
              <w:t>》（2025年1月），双鸭山市参与国家考核计算的断面共6个，Ⅰ~Ⅲ类水质比例为66.7%，无劣V类水质断面。与上年同期相比，Ⅰ~Ⅲ类水质比例保持不变，均无劣V类水质断面。本项目安邦河水功能区（窑地村-福富大桥）水质满足《地表水环境质量标准》（GB3838-2002）中IV类水体功能规划的要求。</w:t>
            </w:r>
          </w:p>
          <w:p w14:paraId="08F726E2">
            <w:pPr>
              <w:pStyle w:val="80"/>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0" w:leftChars="0" w:firstLine="480" w:firstLineChars="200"/>
              <w:textAlignment w:val="auto"/>
              <w:rPr>
                <w:rFonts w:hint="eastAsia" w:ascii="Times New Roman" w:hAnsi="Times New Roman" w:eastAsia="宋体" w:cs="Times New Roman"/>
                <w:color w:val="auto"/>
                <w:kern w:val="0"/>
                <w:sz w:val="24"/>
                <w:szCs w:val="28"/>
                <w:lang w:val="en-US" w:eastAsia="zh-CN" w:bidi="ar-SA"/>
              </w:rPr>
            </w:pPr>
            <w:r>
              <w:rPr>
                <w:rFonts w:hint="eastAsia" w:ascii="Times New Roman" w:hAnsi="Times New Roman" w:eastAsia="宋体" w:cs="Times New Roman"/>
                <w:color w:val="auto"/>
                <w:kern w:val="0"/>
                <w:sz w:val="24"/>
                <w:szCs w:val="28"/>
                <w:lang w:val="en-US" w:eastAsia="zh-CN" w:bidi="ar-SA"/>
              </w:rPr>
              <w:t>3、声环境质量现状</w:t>
            </w:r>
          </w:p>
          <w:p w14:paraId="6A198EFC">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bCs/>
                <w:color w:val="auto"/>
                <w:kern w:val="0"/>
                <w:sz w:val="24"/>
              </w:rPr>
            </w:pPr>
            <w:r>
              <w:rPr>
                <w:rFonts w:hint="eastAsia" w:ascii="Times New Roman" w:hAnsi="Times New Roman" w:eastAsia="宋体"/>
                <w:bCs/>
                <w:color w:val="auto"/>
                <w:kern w:val="0"/>
                <w:sz w:val="24"/>
                <w:lang w:val="en-US" w:eastAsia="zh-CN"/>
              </w:rPr>
              <w:t>根据</w:t>
            </w:r>
            <w:r>
              <w:rPr>
                <w:rFonts w:hint="default" w:ascii="Times New Roman" w:hAnsi="Times New Roman" w:eastAsia="宋体" w:cs="Times New Roman"/>
                <w:color w:val="auto"/>
                <w:kern w:val="0"/>
                <w:sz w:val="24"/>
                <w:szCs w:val="28"/>
                <w:lang w:val="en-US" w:eastAsia="zh-CN" w:bidi="ar-SA"/>
              </w:rPr>
              <w:t>《2024年黑龙江省生态环境质量状况》</w:t>
            </w:r>
            <w:r>
              <w:rPr>
                <w:rFonts w:hint="eastAsia" w:ascii="Times New Roman" w:hAnsi="Times New Roman" w:eastAsia="宋体"/>
                <w:bCs/>
                <w:color w:val="auto"/>
                <w:kern w:val="0"/>
                <w:sz w:val="24"/>
                <w:lang w:val="en-US" w:eastAsia="zh-CN"/>
              </w:rPr>
              <w:t>可知，双鸭山市区域昼间声环境质量为二级，等效声级为54.4dB</w:t>
            </w:r>
            <w:r>
              <w:rPr>
                <w:rFonts w:hint="eastAsia"/>
                <w:bCs/>
                <w:color w:val="auto"/>
                <w:kern w:val="0"/>
                <w:sz w:val="24"/>
                <w:lang w:val="en-US" w:eastAsia="zh-CN"/>
              </w:rPr>
              <w:t>（</w:t>
            </w:r>
            <w:r>
              <w:rPr>
                <w:rFonts w:hint="eastAsia" w:ascii="Times New Roman" w:hAnsi="Times New Roman" w:eastAsia="宋体"/>
                <w:bCs/>
                <w:color w:val="auto"/>
                <w:kern w:val="0"/>
                <w:sz w:val="24"/>
                <w:lang w:val="en-US" w:eastAsia="zh-CN"/>
              </w:rPr>
              <w:t>A</w:t>
            </w:r>
            <w:r>
              <w:rPr>
                <w:rFonts w:hint="eastAsia"/>
                <w:bCs/>
                <w:color w:val="auto"/>
                <w:kern w:val="0"/>
                <w:sz w:val="24"/>
                <w:lang w:val="en-US" w:eastAsia="zh-CN"/>
              </w:rPr>
              <w:t>）；</w:t>
            </w:r>
            <w:r>
              <w:rPr>
                <w:rFonts w:hint="eastAsia" w:ascii="Times New Roman" w:hAnsi="Times New Roman" w:eastAsia="宋体"/>
                <w:bCs/>
                <w:color w:val="auto"/>
                <w:kern w:val="0"/>
                <w:sz w:val="24"/>
                <w:lang w:val="en-US" w:eastAsia="zh-CN"/>
              </w:rPr>
              <w:t>道路交通昼间声环境质量为一级，等效声级为67.</w:t>
            </w:r>
            <w:r>
              <w:rPr>
                <w:rFonts w:hint="eastAsia"/>
                <w:bCs/>
                <w:color w:val="auto"/>
                <w:kern w:val="0"/>
                <w:sz w:val="24"/>
                <w:lang w:val="en-US" w:eastAsia="zh-CN"/>
              </w:rPr>
              <w:t>6</w:t>
            </w:r>
            <w:r>
              <w:rPr>
                <w:rFonts w:hint="eastAsia" w:ascii="Times New Roman" w:hAnsi="Times New Roman" w:eastAsia="宋体"/>
                <w:bCs/>
                <w:color w:val="auto"/>
                <w:kern w:val="0"/>
                <w:sz w:val="24"/>
                <w:lang w:val="en-US" w:eastAsia="zh-CN"/>
              </w:rPr>
              <w:t>dB</w:t>
            </w:r>
            <w:r>
              <w:rPr>
                <w:rFonts w:hint="eastAsia"/>
                <w:bCs/>
                <w:color w:val="auto"/>
                <w:kern w:val="0"/>
                <w:sz w:val="24"/>
                <w:lang w:val="en-US" w:eastAsia="zh-CN"/>
              </w:rPr>
              <w:t>（</w:t>
            </w:r>
            <w:r>
              <w:rPr>
                <w:rFonts w:hint="eastAsia" w:ascii="Times New Roman" w:hAnsi="Times New Roman" w:eastAsia="宋体"/>
                <w:bCs/>
                <w:color w:val="auto"/>
                <w:kern w:val="0"/>
                <w:sz w:val="24"/>
                <w:lang w:val="en-US" w:eastAsia="zh-CN"/>
              </w:rPr>
              <w:t>A</w:t>
            </w:r>
            <w:r>
              <w:rPr>
                <w:rFonts w:hint="eastAsia"/>
                <w:bCs/>
                <w:color w:val="auto"/>
                <w:kern w:val="0"/>
                <w:sz w:val="24"/>
                <w:lang w:val="en-US" w:eastAsia="zh-CN"/>
              </w:rPr>
              <w:t>）；</w:t>
            </w:r>
            <w:r>
              <w:rPr>
                <w:rFonts w:hint="eastAsia" w:ascii="Times New Roman" w:hAnsi="Times New Roman" w:eastAsia="宋体"/>
                <w:bCs/>
                <w:color w:val="auto"/>
                <w:kern w:val="0"/>
                <w:sz w:val="24"/>
                <w:lang w:val="en-US" w:eastAsia="zh-CN"/>
              </w:rPr>
              <w:t>功能区昼间达标率100%</w:t>
            </w:r>
            <w:r>
              <w:rPr>
                <w:rFonts w:hint="eastAsia"/>
                <w:bCs/>
                <w:color w:val="auto"/>
                <w:kern w:val="0"/>
                <w:sz w:val="24"/>
                <w:lang w:val="en-US" w:eastAsia="zh-CN"/>
              </w:rPr>
              <w:t>；</w:t>
            </w:r>
            <w:r>
              <w:rPr>
                <w:rFonts w:hint="eastAsia" w:ascii="Times New Roman" w:hAnsi="Times New Roman" w:eastAsia="宋体"/>
                <w:bCs/>
                <w:color w:val="auto"/>
                <w:kern w:val="0"/>
                <w:sz w:val="24"/>
                <w:lang w:val="en-US" w:eastAsia="zh-CN"/>
              </w:rPr>
              <w:t>功能区夜间达率</w:t>
            </w:r>
            <w:r>
              <w:rPr>
                <w:rFonts w:hint="eastAsia"/>
                <w:bCs/>
                <w:color w:val="auto"/>
                <w:kern w:val="0"/>
                <w:sz w:val="24"/>
                <w:lang w:val="en-US" w:eastAsia="zh-CN"/>
              </w:rPr>
              <w:t>93.8</w:t>
            </w:r>
            <w:r>
              <w:rPr>
                <w:rFonts w:hint="eastAsia" w:ascii="Times New Roman" w:hAnsi="Times New Roman" w:eastAsia="宋体"/>
                <w:bCs/>
                <w:color w:val="auto"/>
                <w:kern w:val="0"/>
                <w:sz w:val="24"/>
                <w:lang w:val="en-US" w:eastAsia="zh-CN"/>
              </w:rPr>
              <w:t>%。</w:t>
            </w:r>
          </w:p>
          <w:p w14:paraId="1F8386C0">
            <w:pPr>
              <w:widowControl/>
              <w:adjustRightInd w:val="0"/>
              <w:snapToGrid w:val="0"/>
              <w:spacing w:line="360" w:lineRule="auto"/>
              <w:ind w:firstLine="480" w:firstLineChars="200"/>
              <w:jc w:val="left"/>
              <w:rPr>
                <w:rFonts w:hint="eastAsia"/>
                <w:color w:val="auto"/>
                <w:kern w:val="0"/>
                <w:sz w:val="24"/>
                <w:szCs w:val="20"/>
              </w:rPr>
            </w:pPr>
            <w:r>
              <w:rPr>
                <w:rFonts w:hint="eastAsia"/>
                <w:color w:val="auto"/>
                <w:kern w:val="0"/>
                <w:sz w:val="24"/>
                <w:szCs w:val="20"/>
                <w:lang w:val="en-US" w:eastAsia="zh-CN"/>
              </w:rPr>
              <w:t>本</w:t>
            </w:r>
            <w:r>
              <w:rPr>
                <w:rFonts w:hint="eastAsia"/>
                <w:color w:val="auto"/>
                <w:kern w:val="0"/>
                <w:sz w:val="24"/>
                <w:szCs w:val="20"/>
              </w:rPr>
              <w:t>项目周边50m范围内</w:t>
            </w:r>
            <w:r>
              <w:rPr>
                <w:rFonts w:hint="eastAsia"/>
                <w:color w:val="auto"/>
                <w:kern w:val="0"/>
                <w:sz w:val="24"/>
                <w:szCs w:val="20"/>
                <w:lang w:val="en-US" w:eastAsia="zh-CN"/>
              </w:rPr>
              <w:t>有</w:t>
            </w:r>
            <w:r>
              <w:rPr>
                <w:rFonts w:hint="eastAsia"/>
                <w:color w:val="auto"/>
                <w:kern w:val="0"/>
                <w:sz w:val="24"/>
                <w:szCs w:val="20"/>
              </w:rPr>
              <w:t>声环境敏感目标，企业委托</w:t>
            </w:r>
            <w:r>
              <w:rPr>
                <w:rFonts w:hint="eastAsia"/>
                <w:snapToGrid w:val="0"/>
                <w:color w:val="auto"/>
                <w:sz w:val="24"/>
                <w:lang w:val="en-GB"/>
              </w:rPr>
              <w:t>黑龙江华洲检测有限公司</w:t>
            </w:r>
            <w:r>
              <w:rPr>
                <w:rFonts w:hint="eastAsia"/>
                <w:color w:val="auto"/>
                <w:kern w:val="0"/>
                <w:sz w:val="24"/>
                <w:szCs w:val="20"/>
              </w:rPr>
              <w:t>于</w:t>
            </w:r>
            <w:r>
              <w:rPr>
                <w:color w:val="auto"/>
                <w:kern w:val="0"/>
                <w:sz w:val="24"/>
                <w:szCs w:val="20"/>
              </w:rPr>
              <w:t>202</w:t>
            </w:r>
            <w:r>
              <w:rPr>
                <w:rFonts w:hint="eastAsia"/>
                <w:color w:val="auto"/>
                <w:kern w:val="0"/>
                <w:sz w:val="24"/>
                <w:szCs w:val="20"/>
                <w:lang w:val="en-US" w:eastAsia="zh-CN"/>
              </w:rPr>
              <w:t>5</w:t>
            </w:r>
            <w:r>
              <w:rPr>
                <w:rFonts w:hint="eastAsia"/>
                <w:color w:val="auto"/>
                <w:kern w:val="0"/>
                <w:sz w:val="24"/>
                <w:szCs w:val="20"/>
              </w:rPr>
              <w:t>年</w:t>
            </w:r>
            <w:r>
              <w:rPr>
                <w:rFonts w:hint="eastAsia"/>
                <w:color w:val="auto"/>
                <w:kern w:val="0"/>
                <w:sz w:val="24"/>
                <w:szCs w:val="20"/>
                <w:lang w:val="en-US" w:eastAsia="zh-CN"/>
              </w:rPr>
              <w:t>8</w:t>
            </w:r>
            <w:r>
              <w:rPr>
                <w:rFonts w:hint="eastAsia"/>
                <w:color w:val="auto"/>
                <w:kern w:val="0"/>
                <w:sz w:val="24"/>
                <w:szCs w:val="20"/>
              </w:rPr>
              <w:t>月</w:t>
            </w:r>
            <w:r>
              <w:rPr>
                <w:rFonts w:hint="eastAsia"/>
                <w:color w:val="auto"/>
                <w:kern w:val="0"/>
                <w:sz w:val="24"/>
                <w:szCs w:val="20"/>
                <w:lang w:val="en-US" w:eastAsia="zh-CN"/>
              </w:rPr>
              <w:t>25</w:t>
            </w:r>
            <w:r>
              <w:rPr>
                <w:rFonts w:hint="eastAsia"/>
                <w:color w:val="auto"/>
                <w:kern w:val="0"/>
                <w:sz w:val="24"/>
                <w:szCs w:val="20"/>
              </w:rPr>
              <w:t>日</w:t>
            </w:r>
            <w:r>
              <w:rPr>
                <w:rFonts w:hint="eastAsia"/>
                <w:color w:val="auto"/>
                <w:kern w:val="0"/>
                <w:sz w:val="24"/>
                <w:szCs w:val="20"/>
                <w:lang w:val="en-US" w:eastAsia="zh-CN"/>
              </w:rPr>
              <w:t>至2025年8月26日</w:t>
            </w:r>
            <w:r>
              <w:rPr>
                <w:rFonts w:hint="eastAsia"/>
                <w:color w:val="auto"/>
                <w:kern w:val="0"/>
                <w:sz w:val="24"/>
                <w:szCs w:val="20"/>
              </w:rPr>
              <w:t>对</w:t>
            </w:r>
            <w:r>
              <w:rPr>
                <w:rFonts w:hint="eastAsia"/>
                <w:color w:val="auto"/>
                <w:kern w:val="0"/>
                <w:sz w:val="24"/>
                <w:szCs w:val="20"/>
                <w:lang w:val="en-US" w:eastAsia="zh-CN"/>
              </w:rPr>
              <w:t>敏感目标</w:t>
            </w:r>
            <w:r>
              <w:rPr>
                <w:rFonts w:hint="eastAsia"/>
                <w:color w:val="auto"/>
                <w:kern w:val="0"/>
                <w:sz w:val="24"/>
                <w:szCs w:val="20"/>
              </w:rPr>
              <w:t>进行了环境噪声监测</w:t>
            </w:r>
            <w:r>
              <w:rPr>
                <w:rFonts w:hint="eastAsia"/>
                <w:color w:val="auto"/>
                <w:kern w:val="0"/>
                <w:sz w:val="24"/>
                <w:szCs w:val="28"/>
              </w:rPr>
              <w:t>，</w:t>
            </w:r>
            <w:r>
              <w:rPr>
                <w:rFonts w:hint="eastAsia"/>
                <w:color w:val="auto"/>
                <w:kern w:val="0"/>
                <w:sz w:val="24"/>
                <w:szCs w:val="28"/>
                <w:lang w:eastAsia="zh-CN"/>
              </w:rPr>
              <w:t>监测示意图见图</w:t>
            </w:r>
            <w:r>
              <w:rPr>
                <w:rFonts w:hint="eastAsia"/>
                <w:color w:val="auto"/>
                <w:kern w:val="0"/>
                <w:sz w:val="24"/>
                <w:szCs w:val="28"/>
                <w:lang w:val="en-US" w:eastAsia="zh-CN"/>
              </w:rPr>
              <w:t>3-3。</w:t>
            </w:r>
          </w:p>
          <w:p w14:paraId="10D95AF1">
            <w:pPr>
              <w:pStyle w:val="2"/>
              <w:rPr>
                <w:rFonts w:hint="eastAsia"/>
                <w:color w:val="auto"/>
                <w:kern w:val="0"/>
                <w:sz w:val="24"/>
                <w:szCs w:val="20"/>
              </w:rPr>
            </w:pPr>
            <w:r>
              <w:rPr>
                <w:color w:val="auto"/>
              </w:rPr>
              <w:drawing>
                <wp:inline distT="0" distB="0" distL="114300" distR="114300">
                  <wp:extent cx="5248275" cy="3876675"/>
                  <wp:effectExtent l="0" t="0" r="9525" b="9525"/>
                  <wp:docPr id="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
                          <pic:cNvPicPr>
                            <a:picLocks noChangeAspect="1"/>
                          </pic:cNvPicPr>
                        </pic:nvPicPr>
                        <pic:blipFill>
                          <a:blip r:embed="rId14"/>
                          <a:stretch>
                            <a:fillRect/>
                          </a:stretch>
                        </pic:blipFill>
                        <pic:spPr>
                          <a:xfrm>
                            <a:off x="0" y="0"/>
                            <a:ext cx="5248275" cy="3876675"/>
                          </a:xfrm>
                          <a:prstGeom prst="rect">
                            <a:avLst/>
                          </a:prstGeom>
                          <a:noFill/>
                          <a:ln>
                            <a:noFill/>
                          </a:ln>
                        </pic:spPr>
                      </pic:pic>
                    </a:graphicData>
                  </a:graphic>
                </wp:inline>
              </w:drawing>
            </w:r>
          </w:p>
          <w:p w14:paraId="63765DD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422" w:firstLineChars="200"/>
              <w:jc w:val="center"/>
              <w:textAlignment w:val="auto"/>
              <w:rPr>
                <w:color w:val="auto"/>
              </w:rPr>
            </w:pPr>
            <w:r>
              <w:rPr>
                <w:rFonts w:hint="eastAsia" w:ascii="Times New Roman" w:hAnsi="Times New Roman" w:eastAsia="宋体" w:cs="Times New Roman"/>
                <w:b/>
                <w:bCs/>
                <w:color w:val="auto"/>
                <w:kern w:val="0"/>
                <w:sz w:val="21"/>
                <w:szCs w:val="24"/>
                <w:highlight w:val="none"/>
                <w:lang w:val="en-US" w:eastAsia="zh-CN" w:bidi="ar-SA"/>
              </w:rPr>
              <w:t>图3-</w:t>
            </w:r>
            <w:r>
              <w:rPr>
                <w:rFonts w:hint="eastAsia" w:cs="Times New Roman"/>
                <w:b/>
                <w:bCs/>
                <w:color w:val="auto"/>
                <w:kern w:val="0"/>
                <w:sz w:val="21"/>
                <w:szCs w:val="24"/>
                <w:highlight w:val="none"/>
                <w:lang w:val="en-US" w:eastAsia="zh-CN" w:bidi="ar-SA"/>
              </w:rPr>
              <w:t>2</w:t>
            </w:r>
            <w:r>
              <w:rPr>
                <w:rFonts w:hint="eastAsia" w:ascii="Times New Roman" w:hAnsi="Times New Roman" w:eastAsia="宋体" w:cs="Times New Roman"/>
                <w:b/>
                <w:bCs/>
                <w:color w:val="auto"/>
                <w:kern w:val="0"/>
                <w:sz w:val="21"/>
                <w:szCs w:val="24"/>
                <w:highlight w:val="none"/>
                <w:lang w:val="en-US" w:eastAsia="zh-CN" w:bidi="ar-SA"/>
              </w:rPr>
              <w:t xml:space="preserve">  噪声监测示意图</w:t>
            </w:r>
          </w:p>
          <w:p w14:paraId="7DF42EA3">
            <w:pPr>
              <w:keepNext w:val="0"/>
              <w:keepLines w:val="0"/>
              <w:pageBreakBefore w:val="0"/>
              <w:widowControl w:val="0"/>
              <w:kinsoku/>
              <w:wordWrap/>
              <w:overflowPunct/>
              <w:topLinePunct w:val="0"/>
              <w:autoSpaceDE/>
              <w:autoSpaceDN/>
              <w:bidi w:val="0"/>
              <w:adjustRightInd w:val="0"/>
              <w:snapToGrid/>
              <w:spacing w:beforeAutospacing="0" w:afterAutospacing="0" w:line="360" w:lineRule="auto"/>
              <w:ind w:right="0" w:rightChars="0" w:firstLine="480" w:firstLineChars="200"/>
              <w:textAlignment w:val="auto"/>
              <w:rPr>
                <w:rFonts w:hint="default" w:ascii="Times New Roman" w:hAnsi="Times New Roman" w:eastAsia="宋体" w:cs="Times New Roman"/>
                <w:b/>
                <w:bCs/>
                <w:color w:val="auto"/>
                <w:kern w:val="0"/>
                <w:sz w:val="21"/>
                <w:szCs w:val="24"/>
                <w:highlight w:val="none"/>
                <w:lang w:val="en-US" w:eastAsia="zh-CN" w:bidi="ar-SA"/>
              </w:rPr>
            </w:pPr>
            <w:r>
              <w:rPr>
                <w:rFonts w:hint="eastAsia" w:ascii="Times New Roman" w:hAnsi="Times New Roman" w:eastAsia="宋体" w:cs="Times New Roman"/>
                <w:snapToGrid w:val="0"/>
                <w:color w:val="auto"/>
                <w:sz w:val="24"/>
                <w:szCs w:val="24"/>
                <w:highlight w:val="none"/>
                <w:lang w:val="en-US" w:eastAsia="zh-CN"/>
              </w:rPr>
              <w:t>噪声检测结果见表3-</w:t>
            </w:r>
            <w:r>
              <w:rPr>
                <w:rFonts w:hint="eastAsia" w:cs="Times New Roman"/>
                <w:snapToGrid w:val="0"/>
                <w:color w:val="auto"/>
                <w:sz w:val="24"/>
                <w:szCs w:val="24"/>
                <w:highlight w:val="none"/>
                <w:lang w:val="en-US" w:eastAsia="zh-CN"/>
              </w:rPr>
              <w:t>5</w:t>
            </w:r>
            <w:r>
              <w:rPr>
                <w:rFonts w:hint="eastAsia" w:ascii="Times New Roman" w:hAnsi="Times New Roman" w:eastAsia="宋体" w:cs="Times New Roman"/>
                <w:snapToGrid w:val="0"/>
                <w:color w:val="auto"/>
                <w:sz w:val="24"/>
                <w:szCs w:val="24"/>
                <w:highlight w:val="none"/>
                <w:lang w:val="en-US" w:eastAsia="zh-CN"/>
              </w:rPr>
              <w:t>。</w:t>
            </w:r>
          </w:p>
          <w:p w14:paraId="28EECAAC">
            <w:pPr>
              <w:keepLines w:val="0"/>
              <w:pageBreakBefore w:val="0"/>
              <w:topLinePunct w:val="0"/>
              <w:bidi w:val="0"/>
              <w:adjustRightInd w:val="0"/>
              <w:snapToGrid w:val="0"/>
              <w:spacing w:beforeAutospacing="0" w:afterAutospacing="0" w:line="240" w:lineRule="auto"/>
              <w:ind w:left="0" w:leftChars="0" w:right="0" w:rightChars="0" w:firstLine="422" w:firstLineChars="200"/>
              <w:jc w:val="center"/>
              <w:rPr>
                <w:color w:val="auto"/>
              </w:rPr>
            </w:pPr>
            <w:r>
              <w:rPr>
                <w:rFonts w:hint="default" w:ascii="Times New Roman" w:hAnsi="Times New Roman" w:eastAsia="宋体" w:cs="Times New Roman"/>
                <w:b/>
                <w:bCs/>
                <w:color w:val="auto"/>
                <w:kern w:val="0"/>
                <w:sz w:val="21"/>
                <w:szCs w:val="24"/>
                <w:highlight w:val="none"/>
                <w:lang w:val="en-US" w:eastAsia="zh-CN" w:bidi="ar-SA"/>
              </w:rPr>
              <w:t>表3-</w:t>
            </w:r>
            <w:r>
              <w:rPr>
                <w:rFonts w:hint="eastAsia" w:cs="Times New Roman"/>
                <w:b/>
                <w:bCs/>
                <w:color w:val="auto"/>
                <w:kern w:val="0"/>
                <w:sz w:val="21"/>
                <w:szCs w:val="24"/>
                <w:highlight w:val="none"/>
                <w:lang w:val="en-US" w:eastAsia="zh-CN" w:bidi="ar-SA"/>
              </w:rPr>
              <w:t xml:space="preserve">5 </w:t>
            </w:r>
            <w:r>
              <w:rPr>
                <w:rFonts w:hint="default" w:ascii="Times New Roman" w:hAnsi="Times New Roman" w:eastAsia="宋体" w:cs="Times New Roman"/>
                <w:b/>
                <w:bCs/>
                <w:color w:val="auto"/>
                <w:kern w:val="0"/>
                <w:sz w:val="21"/>
                <w:szCs w:val="24"/>
                <w:highlight w:val="none"/>
                <w:lang w:val="en-US" w:eastAsia="zh-CN" w:bidi="ar-SA"/>
              </w:rPr>
              <w:t xml:space="preserve"> 噪声监测结果</w:t>
            </w:r>
            <w:r>
              <w:rPr>
                <w:rFonts w:hint="eastAsia" w:cs="Times New Roman"/>
                <w:b/>
                <w:bCs/>
                <w:color w:val="auto"/>
                <w:kern w:val="0"/>
                <w:sz w:val="21"/>
                <w:szCs w:val="24"/>
                <w:highlight w:val="none"/>
                <w:lang w:val="en-US" w:eastAsia="zh-CN" w:bidi="ar-SA"/>
              </w:rPr>
              <w:t xml:space="preserve">  </w:t>
            </w:r>
            <w:r>
              <w:rPr>
                <w:rFonts w:hint="eastAsia" w:ascii="Times New Roman" w:hAnsi="Times New Roman" w:eastAsia="宋体" w:cs="Times New Roman"/>
                <w:b/>
                <w:bCs/>
                <w:color w:val="auto"/>
                <w:kern w:val="0"/>
                <w:sz w:val="21"/>
                <w:szCs w:val="24"/>
                <w:highlight w:val="none"/>
                <w:lang w:val="en-US" w:eastAsia="zh-CN" w:bidi="ar-SA"/>
              </w:rPr>
              <w:t>单位：</w:t>
            </w:r>
            <w:r>
              <w:rPr>
                <w:rFonts w:hint="default" w:ascii="Times New Roman" w:hAnsi="Times New Roman" w:eastAsia="宋体" w:cs="Times New Roman"/>
                <w:b/>
                <w:bCs/>
                <w:color w:val="auto"/>
                <w:kern w:val="0"/>
                <w:sz w:val="21"/>
                <w:szCs w:val="24"/>
                <w:highlight w:val="none"/>
                <w:lang w:val="en-US" w:eastAsia="zh-CN" w:bidi="ar-SA"/>
              </w:rPr>
              <w:t>dB（A）</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92"/>
              <w:gridCol w:w="1391"/>
              <w:gridCol w:w="1393"/>
              <w:gridCol w:w="1391"/>
              <w:gridCol w:w="1396"/>
            </w:tblGrid>
            <w:tr w14:paraId="5CC070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tblHeader/>
                <w:jc w:val="center"/>
              </w:trPr>
              <w:tc>
                <w:tcPr>
                  <w:tcW w:w="1587" w:type="pct"/>
                  <w:vMerge w:val="restart"/>
                  <w:vAlign w:val="center"/>
                </w:tcPr>
                <w:p w14:paraId="3330B125">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420" w:firstLineChars="200"/>
                    <w:jc w:val="center"/>
                    <w:textAlignment w:val="auto"/>
                    <w:rPr>
                      <w:rFonts w:hint="eastAsia"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监测地点</w:t>
                  </w:r>
                </w:p>
              </w:tc>
              <w:tc>
                <w:tcPr>
                  <w:tcW w:w="1705" w:type="pct"/>
                  <w:gridSpan w:val="2"/>
                  <w:vAlign w:val="center"/>
                </w:tcPr>
                <w:p w14:paraId="70C7B3C8">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2025年8月25日</w:t>
                  </w:r>
                </w:p>
              </w:tc>
              <w:tc>
                <w:tcPr>
                  <w:tcW w:w="1706" w:type="pct"/>
                  <w:gridSpan w:val="2"/>
                  <w:vAlign w:val="center"/>
                </w:tcPr>
                <w:p w14:paraId="2BD94BF6">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2025年8月26日</w:t>
                  </w:r>
                </w:p>
              </w:tc>
            </w:tr>
            <w:tr w14:paraId="26C18C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587" w:type="pct"/>
                  <w:vMerge w:val="continue"/>
                  <w:vAlign w:val="center"/>
                </w:tcPr>
                <w:p w14:paraId="1DE5F021">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420" w:firstLineChars="200"/>
                    <w:jc w:val="center"/>
                    <w:textAlignment w:val="auto"/>
                    <w:rPr>
                      <w:rFonts w:hint="default" w:ascii="Times New Roman" w:hAnsi="Times New Roman" w:eastAsia="宋体" w:cs="Times New Roman"/>
                      <w:color w:val="auto"/>
                      <w:kern w:val="0"/>
                      <w:sz w:val="21"/>
                      <w:szCs w:val="21"/>
                      <w:highlight w:val="none"/>
                    </w:rPr>
                  </w:pPr>
                </w:p>
              </w:tc>
              <w:tc>
                <w:tcPr>
                  <w:tcW w:w="852" w:type="pct"/>
                  <w:vAlign w:val="center"/>
                </w:tcPr>
                <w:p w14:paraId="2FA6BA64">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昼间</w:t>
                  </w:r>
                </w:p>
              </w:tc>
              <w:tc>
                <w:tcPr>
                  <w:tcW w:w="853" w:type="pct"/>
                  <w:vAlign w:val="center"/>
                </w:tcPr>
                <w:p w14:paraId="531FAE74">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夜间</w:t>
                  </w:r>
                </w:p>
              </w:tc>
              <w:tc>
                <w:tcPr>
                  <w:tcW w:w="852" w:type="pct"/>
                  <w:vAlign w:val="center"/>
                </w:tcPr>
                <w:p w14:paraId="05A7A30D">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昼间</w:t>
                  </w:r>
                </w:p>
              </w:tc>
              <w:tc>
                <w:tcPr>
                  <w:tcW w:w="854" w:type="pct"/>
                  <w:vAlign w:val="center"/>
                </w:tcPr>
                <w:p w14:paraId="2E62CE4A">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夜间</w:t>
                  </w:r>
                </w:p>
              </w:tc>
            </w:tr>
            <w:tr w14:paraId="2AC750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7" w:type="pct"/>
                  <w:vAlign w:val="center"/>
                </w:tcPr>
                <w:p w14:paraId="6B4AF0FE">
                  <w:pPr>
                    <w:jc w:val="center"/>
                    <w:rPr>
                      <w:rFonts w:hint="eastAsia"/>
                      <w:color w:val="auto"/>
                      <w:szCs w:val="21"/>
                      <w:lang w:eastAsia="zh-CN"/>
                    </w:rPr>
                  </w:pPr>
                  <w:r>
                    <w:rPr>
                      <w:rFonts w:hint="eastAsia"/>
                      <w:color w:val="auto"/>
                      <w:szCs w:val="21"/>
                      <w:lang w:val="en-US" w:eastAsia="zh-CN"/>
                    </w:rPr>
                    <w:t>北</w:t>
                  </w:r>
                  <w:r>
                    <w:rPr>
                      <w:rFonts w:hint="eastAsia" w:ascii="Times New Roman" w:hAnsi="Times New Roman"/>
                      <w:color w:val="auto"/>
                      <w:szCs w:val="21"/>
                      <w:lang w:eastAsia="zh-CN"/>
                    </w:rPr>
                    <w:t>侧</w:t>
                  </w:r>
                  <w:r>
                    <w:rPr>
                      <w:rFonts w:ascii="Times New Roman" w:hAnsi="Times New Roman"/>
                      <w:color w:val="auto"/>
                      <w:szCs w:val="21"/>
                    </w:rPr>
                    <w:t>房屋</w:t>
                  </w:r>
                  <w:r>
                    <w:rPr>
                      <w:rFonts w:hint="eastAsia" w:ascii="Times New Roman" w:hAnsi="Times New Roman"/>
                      <w:color w:val="auto"/>
                      <w:szCs w:val="21"/>
                    </w:rPr>
                    <w:t>前1m处</w:t>
                  </w:r>
                </w:p>
              </w:tc>
              <w:tc>
                <w:tcPr>
                  <w:tcW w:w="852" w:type="pct"/>
                  <w:vAlign w:val="center"/>
                </w:tcPr>
                <w:p w14:paraId="414F01AB">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50.6</w:t>
                  </w:r>
                </w:p>
              </w:tc>
              <w:tc>
                <w:tcPr>
                  <w:tcW w:w="853" w:type="pct"/>
                  <w:vAlign w:val="center"/>
                </w:tcPr>
                <w:p w14:paraId="5A94B6B3">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37.2</w:t>
                  </w:r>
                </w:p>
              </w:tc>
              <w:tc>
                <w:tcPr>
                  <w:tcW w:w="852" w:type="pct"/>
                  <w:vAlign w:val="center"/>
                </w:tcPr>
                <w:p w14:paraId="5FD70FD5">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51.0</w:t>
                  </w:r>
                </w:p>
              </w:tc>
              <w:tc>
                <w:tcPr>
                  <w:tcW w:w="854" w:type="pct"/>
                  <w:vAlign w:val="center"/>
                </w:tcPr>
                <w:p w14:paraId="70B9A39F">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38.4</w:t>
                  </w:r>
                </w:p>
              </w:tc>
            </w:tr>
          </w:tbl>
          <w:p w14:paraId="6ED92796">
            <w:pPr>
              <w:widowControl/>
              <w:adjustRightInd w:val="0"/>
              <w:snapToGrid w:val="0"/>
              <w:spacing w:line="360" w:lineRule="auto"/>
              <w:ind w:firstLine="480" w:firstLineChars="200"/>
              <w:jc w:val="left"/>
              <w:rPr>
                <w:rFonts w:hint="eastAsia" w:ascii="Times New Roman" w:hAnsi="Times New Roman" w:eastAsia="宋体" w:cs="Times New Roman"/>
                <w:color w:val="auto"/>
                <w:kern w:val="0"/>
                <w:sz w:val="24"/>
                <w:szCs w:val="28"/>
                <w:lang w:val="en-US" w:eastAsia="zh-CN" w:bidi="ar-SA"/>
              </w:rPr>
            </w:pPr>
            <w:r>
              <w:rPr>
                <w:rFonts w:hint="eastAsia" w:cs="Times New Roman"/>
                <w:snapToGrid w:val="0"/>
                <w:color w:val="auto"/>
                <w:sz w:val="24"/>
                <w:szCs w:val="24"/>
                <w:highlight w:val="none"/>
                <w:lang w:val="en-GB" w:eastAsia="zh-CN"/>
              </w:rPr>
              <w:t>根据监测报告的数据</w:t>
            </w:r>
            <w:r>
              <w:rPr>
                <w:rFonts w:hint="default" w:ascii="Times New Roman" w:hAnsi="Times New Roman" w:eastAsia="宋体" w:cs="Times New Roman"/>
                <w:snapToGrid w:val="0"/>
                <w:color w:val="auto"/>
                <w:sz w:val="24"/>
                <w:szCs w:val="24"/>
                <w:highlight w:val="none"/>
                <w:lang w:val="en-GB"/>
              </w:rPr>
              <w:t>，监测期间厂界周边50m范围内昼间噪声值满足声环境质量满足《声环境质量标准》（GB3096-2008）表1中</w:t>
            </w:r>
            <w:r>
              <w:rPr>
                <w:rFonts w:hint="eastAsia" w:cs="Times New Roman"/>
                <w:snapToGrid w:val="0"/>
                <w:color w:val="auto"/>
                <w:sz w:val="24"/>
                <w:szCs w:val="24"/>
                <w:highlight w:val="none"/>
                <w:lang w:val="en-US" w:eastAsia="zh-CN"/>
              </w:rPr>
              <w:t>1</w:t>
            </w:r>
            <w:r>
              <w:rPr>
                <w:rFonts w:hint="default" w:ascii="Times New Roman" w:hAnsi="Times New Roman" w:eastAsia="宋体" w:cs="Times New Roman"/>
                <w:snapToGrid w:val="0"/>
                <w:color w:val="auto"/>
                <w:sz w:val="24"/>
                <w:szCs w:val="24"/>
                <w:highlight w:val="none"/>
                <w:lang w:val="en-GB"/>
              </w:rPr>
              <w:t>类声环境功能区标准要求</w:t>
            </w:r>
            <w:r>
              <w:rPr>
                <w:rFonts w:hint="default" w:ascii="Times New Roman" w:hAnsi="Times New Roman" w:eastAsia="宋体" w:cs="Times New Roman"/>
                <w:snapToGrid w:val="0"/>
                <w:color w:val="auto"/>
                <w:sz w:val="24"/>
                <w:szCs w:val="24"/>
                <w:highlight w:val="none"/>
                <w:lang w:val="en-GB" w:eastAsia="zh-CN"/>
              </w:rPr>
              <w:t>。</w:t>
            </w:r>
          </w:p>
          <w:p w14:paraId="4176C371">
            <w:pPr>
              <w:keepNext w:val="0"/>
              <w:keepLines w:val="0"/>
              <w:suppressLineNumbers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8"/>
                <w:lang w:val="en-US" w:eastAsia="zh-CN" w:bidi="ar-SA"/>
              </w:rPr>
            </w:pPr>
            <w:r>
              <w:rPr>
                <w:rFonts w:hint="eastAsia" w:ascii="Times New Roman" w:hAnsi="Times New Roman" w:eastAsia="宋体" w:cs="Times New Roman"/>
                <w:color w:val="auto"/>
                <w:kern w:val="0"/>
                <w:sz w:val="24"/>
                <w:szCs w:val="28"/>
                <w:lang w:val="en-US" w:eastAsia="zh-CN" w:bidi="ar-SA"/>
              </w:rPr>
              <w:t>4、生态环境质量</w:t>
            </w:r>
          </w:p>
          <w:p w14:paraId="0EA33682">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8"/>
                <w:lang w:val="en-US" w:eastAsia="zh-CN" w:bidi="ar-SA"/>
              </w:rPr>
            </w:pPr>
            <w:r>
              <w:rPr>
                <w:rFonts w:hint="eastAsia" w:ascii="Times New Roman" w:hAnsi="Times New Roman" w:eastAsia="宋体" w:cs="Times New Roman"/>
                <w:color w:val="auto"/>
                <w:kern w:val="0"/>
                <w:sz w:val="24"/>
                <w:szCs w:val="28"/>
                <w:lang w:val="en-US" w:eastAsia="zh-CN" w:bidi="ar-SA"/>
              </w:rPr>
              <w:t>本项目用地</w:t>
            </w:r>
            <w:r>
              <w:rPr>
                <w:rFonts w:hint="eastAsia" w:cs="Times New Roman"/>
                <w:color w:val="auto"/>
                <w:spacing w:val="4"/>
                <w:sz w:val="24"/>
                <w:highlight w:val="none"/>
                <w:lang w:val="en-US" w:eastAsia="zh-CN"/>
              </w:rPr>
              <w:t>10000</w:t>
            </w:r>
            <w:r>
              <w:rPr>
                <w:rFonts w:hint="default" w:ascii="Times New Roman" w:hAnsi="Times New Roman" w:eastAsia="宋体" w:cs="Times New Roman"/>
                <w:color w:val="auto"/>
                <w:spacing w:val="4"/>
                <w:sz w:val="24"/>
                <w:highlight w:val="none"/>
              </w:rPr>
              <w:t>m</w:t>
            </w:r>
            <w:r>
              <w:rPr>
                <w:rFonts w:hint="default" w:ascii="Times New Roman" w:hAnsi="Times New Roman" w:eastAsia="宋体" w:cs="Times New Roman"/>
                <w:color w:val="auto"/>
                <w:spacing w:val="4"/>
                <w:sz w:val="24"/>
                <w:highlight w:val="none"/>
                <w:vertAlign w:val="superscript"/>
              </w:rPr>
              <w:t>2</w:t>
            </w:r>
            <w:r>
              <w:rPr>
                <w:rFonts w:hint="eastAsia" w:ascii="Times New Roman" w:hAnsi="Times New Roman" w:eastAsia="宋体" w:cs="Times New Roman"/>
                <w:color w:val="auto"/>
                <w:kern w:val="0"/>
                <w:sz w:val="24"/>
                <w:szCs w:val="28"/>
                <w:lang w:val="en-US" w:eastAsia="zh-CN" w:bidi="ar-SA"/>
              </w:rPr>
              <w:t>，用地类型为</w:t>
            </w:r>
            <w:r>
              <w:rPr>
                <w:rFonts w:hint="eastAsia" w:cs="Times New Roman"/>
                <w:color w:val="auto"/>
                <w:kern w:val="0"/>
                <w:sz w:val="24"/>
                <w:szCs w:val="24"/>
                <w:highlight w:val="none"/>
                <w:lang w:val="en-US" w:eastAsia="zh-CN" w:bidi="ar-SA"/>
              </w:rPr>
              <w:t>村庄经营性建设用地（仓储）</w:t>
            </w:r>
            <w:r>
              <w:rPr>
                <w:rFonts w:hint="eastAsia" w:ascii="Times New Roman" w:hAnsi="Times New Roman" w:eastAsia="宋体" w:cs="Times New Roman"/>
                <w:color w:val="auto"/>
                <w:kern w:val="0"/>
                <w:sz w:val="24"/>
                <w:szCs w:val="28"/>
                <w:lang w:val="en-US" w:eastAsia="zh-CN" w:bidi="ar-SA"/>
              </w:rPr>
              <w:t>，地表无植被覆盖，本项目周边无国家级、省级、市级名胜古迹、自然保护区，生态敏感、脆弱区，故本项目不开展生态环境现状调查。</w:t>
            </w:r>
          </w:p>
          <w:p w14:paraId="2AE9633A">
            <w:pPr>
              <w:keepNext w:val="0"/>
              <w:keepLines w:val="0"/>
              <w:suppressLineNumbers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8"/>
                <w:lang w:val="en-US" w:eastAsia="zh-CN" w:bidi="ar-SA"/>
              </w:rPr>
            </w:pPr>
            <w:r>
              <w:rPr>
                <w:rFonts w:hint="eastAsia" w:ascii="Times New Roman" w:hAnsi="Times New Roman" w:eastAsia="宋体" w:cs="Times New Roman"/>
                <w:color w:val="auto"/>
                <w:kern w:val="0"/>
                <w:sz w:val="24"/>
                <w:szCs w:val="28"/>
                <w:lang w:val="en-US" w:eastAsia="zh-CN" w:bidi="ar-SA"/>
              </w:rPr>
              <w:t>5、地下水和土壤环境质量</w:t>
            </w:r>
          </w:p>
          <w:p w14:paraId="06D825ED">
            <w:pPr>
              <w:keepNext w:val="0"/>
              <w:keepLines w:val="0"/>
              <w:suppressLineNumbers w:val="0"/>
              <w:snapToGrid w:val="0"/>
              <w:spacing w:before="0" w:beforeAutospacing="0" w:after="0" w:afterAutospacing="0" w:line="360" w:lineRule="auto"/>
              <w:ind w:left="0" w:right="0" w:firstLine="480" w:firstLineChars="200"/>
              <w:rPr>
                <w:color w:val="auto"/>
              </w:rPr>
            </w:pPr>
            <w:r>
              <w:rPr>
                <w:rFonts w:hint="eastAsia" w:cs="Times New Roman"/>
                <w:color w:val="auto"/>
                <w:kern w:val="0"/>
                <w:sz w:val="24"/>
                <w:szCs w:val="24"/>
                <w:highlight w:val="none"/>
                <w:lang w:val="en-US" w:eastAsia="zh-CN" w:bidi="ar-SA"/>
              </w:rPr>
              <w:t>本项目厂区路面全部硬化，</w:t>
            </w:r>
            <w:r>
              <w:rPr>
                <w:color w:val="auto"/>
                <w:kern w:val="0"/>
                <w:sz w:val="24"/>
              </w:rPr>
              <w:t>不会对地下水产生影响。本项目废气不涉及重金属、持久性有机污染物，</w:t>
            </w:r>
            <w:r>
              <w:rPr>
                <w:rFonts w:hint="eastAsia"/>
                <w:color w:val="auto"/>
                <w:kern w:val="0"/>
                <w:sz w:val="24"/>
                <w:lang w:val="en-US" w:eastAsia="zh-CN"/>
              </w:rPr>
              <w:t>厂区路面全部水泥硬化，</w:t>
            </w:r>
            <w:r>
              <w:rPr>
                <w:color w:val="auto"/>
                <w:kern w:val="0"/>
                <w:sz w:val="24"/>
              </w:rPr>
              <w:t>无土壤污染途径</w:t>
            </w:r>
            <w:r>
              <w:rPr>
                <w:rFonts w:hint="eastAsia"/>
                <w:color w:val="auto"/>
                <w:kern w:val="0"/>
                <w:sz w:val="24"/>
                <w:lang w:eastAsia="zh-CN"/>
              </w:rPr>
              <w:t>。</w:t>
            </w:r>
            <w:r>
              <w:rPr>
                <w:rFonts w:hint="eastAsia" w:ascii="Times New Roman" w:hAnsi="Times New Roman" w:eastAsia="宋体" w:cs="Times New Roman"/>
                <w:color w:val="auto"/>
                <w:kern w:val="0"/>
                <w:sz w:val="24"/>
                <w:szCs w:val="28"/>
                <w:lang w:val="en-US" w:eastAsia="zh-CN" w:bidi="ar-SA"/>
              </w:rPr>
              <w:t>综合分析对土壤和地下水影响较小。根据《建设项目环境影响报告表编制技术指南（污染影响类）（试行）》中的相关要求，本项目不需开展环境质量现状调查。</w:t>
            </w:r>
          </w:p>
        </w:tc>
      </w:tr>
      <w:tr w14:paraId="6EEB45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59" w:hRule="atLeast"/>
          <w:jc w:val="center"/>
        </w:trPr>
        <w:tc>
          <w:tcPr>
            <w:tcW w:w="374" w:type="pct"/>
            <w:vAlign w:val="center"/>
          </w:tcPr>
          <w:p w14:paraId="3F7E5212">
            <w:pPr>
              <w:adjustRightInd w:val="0"/>
              <w:snapToGrid w:val="0"/>
              <w:jc w:val="center"/>
              <w:rPr>
                <w:b/>
                <w:bCs/>
                <w:color w:val="auto"/>
                <w:kern w:val="0"/>
                <w:szCs w:val="21"/>
              </w:rPr>
            </w:pPr>
            <w:r>
              <w:rPr>
                <w:b/>
                <w:bCs/>
                <w:color w:val="auto"/>
                <w:kern w:val="0"/>
                <w:szCs w:val="21"/>
              </w:rPr>
              <w:t>环境</w:t>
            </w:r>
          </w:p>
          <w:p w14:paraId="0561FC66">
            <w:pPr>
              <w:adjustRightInd w:val="0"/>
              <w:snapToGrid w:val="0"/>
              <w:jc w:val="center"/>
              <w:rPr>
                <w:b/>
                <w:bCs/>
                <w:color w:val="auto"/>
                <w:kern w:val="0"/>
                <w:szCs w:val="21"/>
              </w:rPr>
            </w:pPr>
            <w:r>
              <w:rPr>
                <w:b/>
                <w:bCs/>
                <w:color w:val="auto"/>
                <w:kern w:val="0"/>
                <w:szCs w:val="21"/>
              </w:rPr>
              <w:t>保护</w:t>
            </w:r>
          </w:p>
          <w:p w14:paraId="164710DE">
            <w:pPr>
              <w:adjustRightInd w:val="0"/>
              <w:snapToGrid w:val="0"/>
              <w:jc w:val="center"/>
              <w:rPr>
                <w:b/>
                <w:bCs/>
                <w:color w:val="auto"/>
                <w:kern w:val="0"/>
                <w:szCs w:val="21"/>
              </w:rPr>
            </w:pPr>
            <w:r>
              <w:rPr>
                <w:b/>
                <w:bCs/>
                <w:color w:val="auto"/>
                <w:kern w:val="0"/>
                <w:szCs w:val="21"/>
              </w:rPr>
              <w:t>目标</w:t>
            </w:r>
          </w:p>
        </w:tc>
        <w:tc>
          <w:tcPr>
            <w:tcW w:w="4625" w:type="pct"/>
            <w:vAlign w:val="center"/>
          </w:tcPr>
          <w:p w14:paraId="213A7C8D">
            <w:pPr>
              <w:pStyle w:val="80"/>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0" w:leftChars="0" w:firstLine="480" w:firstLineChars="200"/>
              <w:textAlignment w:val="auto"/>
              <w:rPr>
                <w:rFonts w:hint="default" w:ascii="Times New Roman" w:hAnsi="Times New Roman" w:eastAsia="宋体" w:cs="Times New Roman"/>
                <w:snapToGrid w:val="0"/>
                <w:color w:val="auto"/>
                <w:kern w:val="2"/>
                <w:sz w:val="24"/>
                <w:szCs w:val="24"/>
                <w:highlight w:val="none"/>
                <w:lang w:val="en-US" w:eastAsia="zh-CN" w:bidi="ar-SA"/>
              </w:rPr>
            </w:pPr>
            <w:r>
              <w:rPr>
                <w:rFonts w:hint="eastAsia" w:ascii="Times New Roman" w:hAnsi="Times New Roman" w:eastAsia="宋体" w:cs="Times New Roman"/>
                <w:snapToGrid w:val="0"/>
                <w:color w:val="auto"/>
                <w:kern w:val="2"/>
                <w:sz w:val="24"/>
                <w:szCs w:val="24"/>
                <w:highlight w:val="none"/>
                <w:lang w:val="en-US" w:eastAsia="zh-CN" w:bidi="ar-SA"/>
              </w:rPr>
              <w:t>1、</w:t>
            </w:r>
            <w:r>
              <w:rPr>
                <w:rFonts w:hint="default" w:ascii="Times New Roman" w:hAnsi="Times New Roman" w:eastAsia="宋体" w:cs="Times New Roman"/>
                <w:snapToGrid w:val="0"/>
                <w:color w:val="auto"/>
                <w:kern w:val="2"/>
                <w:sz w:val="24"/>
                <w:szCs w:val="24"/>
                <w:highlight w:val="none"/>
                <w:lang w:val="en-US" w:eastAsia="zh-CN" w:bidi="ar-SA"/>
              </w:rPr>
              <w:t>大气环境保护目标</w:t>
            </w:r>
          </w:p>
          <w:p w14:paraId="071E33D6">
            <w:pPr>
              <w:keepLines w:val="0"/>
              <w:pageBreakBefore w:val="0"/>
              <w:topLinePunct w:val="0"/>
              <w:bidi w:val="0"/>
              <w:spacing w:beforeAutospacing="0" w:afterAutospacing="0" w:line="360" w:lineRule="auto"/>
              <w:ind w:left="0" w:leftChars="0" w:right="0" w:rightChars="0" w:firstLine="480" w:firstLineChars="200"/>
              <w:rPr>
                <w:rFonts w:hint="default" w:ascii="Times New Roman" w:hAnsi="Times New Roman" w:cs="Times New Roman" w:eastAsiaTheme="minorEastAsia"/>
                <w:color w:val="auto"/>
                <w:sz w:val="24"/>
                <w:lang w:val="en-US" w:eastAsia="zh-CN"/>
              </w:rPr>
            </w:pPr>
            <w:r>
              <w:rPr>
                <w:rFonts w:hint="default" w:ascii="Times New Roman" w:hAnsi="Times New Roman" w:cs="Times New Roman" w:eastAsiaTheme="minorEastAsia"/>
                <w:color w:val="auto"/>
                <w:sz w:val="24"/>
                <w:lang w:val="en-US" w:eastAsia="zh-CN"/>
              </w:rPr>
              <w:t>本项目评价范围内无自然保护区、风景名胜区等保护目标，根据项目特点及周边环境状况，确定大气环境保护目标，详见表3-</w:t>
            </w:r>
            <w:r>
              <w:rPr>
                <w:rFonts w:hint="eastAsia" w:cs="Times New Roman" w:eastAsiaTheme="minorEastAsia"/>
                <w:color w:val="auto"/>
                <w:sz w:val="24"/>
                <w:lang w:val="en-US" w:eastAsia="zh-CN"/>
              </w:rPr>
              <w:t>6</w:t>
            </w:r>
            <w:r>
              <w:rPr>
                <w:rFonts w:hint="default" w:ascii="Times New Roman" w:hAnsi="Times New Roman" w:cs="Times New Roman" w:eastAsiaTheme="minorEastAsia"/>
                <w:color w:val="auto"/>
                <w:sz w:val="24"/>
                <w:lang w:val="en-US" w:eastAsia="zh-CN"/>
              </w:rPr>
              <w:t>。</w:t>
            </w:r>
          </w:p>
          <w:p w14:paraId="2CF7EC26">
            <w:pPr>
              <w:pStyle w:val="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cs="Times New Roman" w:eastAsiaTheme="minorEastAsia"/>
                <w:b/>
                <w:bCs/>
                <w:color w:val="auto"/>
                <w:kern w:val="2"/>
                <w:sz w:val="21"/>
                <w:szCs w:val="24"/>
                <w:lang w:val="en-US" w:eastAsia="zh-CN" w:bidi="ar-SA"/>
              </w:rPr>
            </w:pPr>
            <w:r>
              <w:rPr>
                <w:rFonts w:hint="default" w:ascii="Times New Roman" w:hAnsi="Times New Roman" w:cs="Times New Roman" w:eastAsiaTheme="minorEastAsia"/>
                <w:b/>
                <w:bCs/>
                <w:color w:val="auto"/>
                <w:kern w:val="2"/>
                <w:sz w:val="21"/>
                <w:szCs w:val="24"/>
                <w:lang w:val="en-US" w:eastAsia="zh-CN" w:bidi="ar-SA"/>
              </w:rPr>
              <w:t>表3-</w:t>
            </w:r>
            <w:r>
              <w:rPr>
                <w:rFonts w:hint="eastAsia" w:cs="Times New Roman" w:eastAsiaTheme="minorEastAsia"/>
                <w:b/>
                <w:bCs/>
                <w:color w:val="auto"/>
                <w:kern w:val="2"/>
                <w:sz w:val="21"/>
                <w:szCs w:val="24"/>
                <w:lang w:val="en-US" w:eastAsia="zh-CN" w:bidi="ar-SA"/>
              </w:rPr>
              <w:t>6</w:t>
            </w:r>
            <w:r>
              <w:rPr>
                <w:rFonts w:hint="default" w:ascii="Times New Roman" w:hAnsi="Times New Roman" w:cs="Times New Roman" w:eastAsiaTheme="minorEastAsia"/>
                <w:b/>
                <w:bCs/>
                <w:color w:val="auto"/>
                <w:kern w:val="2"/>
                <w:sz w:val="21"/>
                <w:szCs w:val="24"/>
                <w:lang w:val="en-US" w:eastAsia="zh-CN" w:bidi="ar-SA"/>
              </w:rPr>
              <w:t xml:space="preserve">  环境空气保护目标一览表</w:t>
            </w:r>
          </w:p>
          <w:tbl>
            <w:tblPr>
              <w:tblStyle w:val="33"/>
              <w:tblW w:w="814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672"/>
              <w:gridCol w:w="1199"/>
              <w:gridCol w:w="1288"/>
              <w:gridCol w:w="851"/>
              <w:gridCol w:w="611"/>
              <w:gridCol w:w="1496"/>
              <w:gridCol w:w="861"/>
              <w:gridCol w:w="738"/>
            </w:tblGrid>
            <w:tr w14:paraId="7734B3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6" w:type="dxa"/>
                  <w:vMerge w:val="restart"/>
                  <w:tcBorders>
                    <w:tl2br w:val="nil"/>
                    <w:tr2bl w:val="nil"/>
                  </w:tcBorders>
                  <w:vAlign w:val="center"/>
                </w:tcPr>
                <w:p w14:paraId="4151DF21">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SA"/>
                    </w:rPr>
                    <w:t>环境要素</w:t>
                  </w:r>
                </w:p>
              </w:tc>
              <w:tc>
                <w:tcPr>
                  <w:tcW w:w="672" w:type="dxa"/>
                  <w:vMerge w:val="restart"/>
                  <w:tcBorders>
                    <w:tl2br w:val="nil"/>
                    <w:tr2bl w:val="nil"/>
                  </w:tcBorders>
                  <w:vAlign w:val="center"/>
                </w:tcPr>
                <w:p w14:paraId="044B0BEA">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SA"/>
                    </w:rPr>
                    <w:t>名称</w:t>
                  </w:r>
                </w:p>
              </w:tc>
              <w:tc>
                <w:tcPr>
                  <w:tcW w:w="2487" w:type="dxa"/>
                  <w:gridSpan w:val="2"/>
                  <w:tcBorders>
                    <w:tl2br w:val="nil"/>
                    <w:tr2bl w:val="nil"/>
                  </w:tcBorders>
                  <w:vAlign w:val="center"/>
                </w:tcPr>
                <w:p w14:paraId="13500205">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坐标（°）</w:t>
                  </w:r>
                </w:p>
              </w:tc>
              <w:tc>
                <w:tcPr>
                  <w:tcW w:w="851" w:type="dxa"/>
                  <w:vMerge w:val="restart"/>
                  <w:tcBorders>
                    <w:tl2br w:val="nil"/>
                    <w:tr2bl w:val="nil"/>
                  </w:tcBorders>
                  <w:vAlign w:val="center"/>
                </w:tcPr>
                <w:p w14:paraId="636196AA">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保护</w:t>
                  </w:r>
                </w:p>
                <w:p w14:paraId="4CF4A034">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kern w:val="0"/>
                      <w:sz w:val="21"/>
                      <w:szCs w:val="21"/>
                    </w:rPr>
                    <w:t>对象</w:t>
                  </w:r>
                </w:p>
              </w:tc>
              <w:tc>
                <w:tcPr>
                  <w:tcW w:w="611" w:type="dxa"/>
                  <w:vMerge w:val="restart"/>
                  <w:tcBorders>
                    <w:tl2br w:val="nil"/>
                    <w:tr2bl w:val="nil"/>
                  </w:tcBorders>
                  <w:vAlign w:val="center"/>
                </w:tcPr>
                <w:p w14:paraId="000073E0">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kern w:val="0"/>
                      <w:sz w:val="21"/>
                      <w:szCs w:val="21"/>
                    </w:rPr>
                    <w:t>保护内容</w:t>
                  </w:r>
                </w:p>
              </w:tc>
              <w:tc>
                <w:tcPr>
                  <w:tcW w:w="1496" w:type="dxa"/>
                  <w:vMerge w:val="restart"/>
                  <w:tcBorders>
                    <w:tl2br w:val="nil"/>
                    <w:tr2bl w:val="nil"/>
                  </w:tcBorders>
                  <w:vAlign w:val="center"/>
                </w:tcPr>
                <w:p w14:paraId="20B3F4DD">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kern w:val="0"/>
                      <w:sz w:val="21"/>
                      <w:szCs w:val="21"/>
                    </w:rPr>
                    <w:t>环境功能区</w:t>
                  </w:r>
                </w:p>
              </w:tc>
              <w:tc>
                <w:tcPr>
                  <w:tcW w:w="861" w:type="dxa"/>
                  <w:vMerge w:val="restart"/>
                  <w:tcBorders>
                    <w:tl2br w:val="nil"/>
                    <w:tr2bl w:val="nil"/>
                  </w:tcBorders>
                  <w:vAlign w:val="center"/>
                </w:tcPr>
                <w:p w14:paraId="1B138B9E">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kern w:val="0"/>
                      <w:sz w:val="21"/>
                      <w:szCs w:val="21"/>
                    </w:rPr>
                    <w:t>相对厂址方位</w:t>
                  </w:r>
                </w:p>
              </w:tc>
              <w:tc>
                <w:tcPr>
                  <w:tcW w:w="738" w:type="dxa"/>
                  <w:vMerge w:val="restart"/>
                  <w:tcBorders>
                    <w:tl2br w:val="nil"/>
                    <w:tr2bl w:val="nil"/>
                  </w:tcBorders>
                  <w:vAlign w:val="center"/>
                </w:tcPr>
                <w:p w14:paraId="40273657">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kern w:val="0"/>
                      <w:sz w:val="21"/>
                      <w:szCs w:val="21"/>
                    </w:rPr>
                    <w:t>相对</w:t>
                  </w:r>
                  <w:r>
                    <w:rPr>
                      <w:rFonts w:hint="default" w:ascii="Times New Roman" w:hAnsi="Times New Roman" w:cs="Times New Roman"/>
                      <w:color w:val="auto"/>
                      <w:kern w:val="0"/>
                      <w:sz w:val="21"/>
                      <w:szCs w:val="21"/>
                      <w:lang w:eastAsia="zh-CN"/>
                    </w:rPr>
                    <w:t>厂界</w:t>
                  </w:r>
                  <w:r>
                    <w:rPr>
                      <w:rFonts w:hint="default" w:ascii="Times New Roman" w:hAnsi="Times New Roman" w:cs="Times New Roman"/>
                      <w:color w:val="auto"/>
                      <w:kern w:val="0"/>
                      <w:sz w:val="21"/>
                      <w:szCs w:val="21"/>
                    </w:rPr>
                    <w:t>距离/m</w:t>
                  </w:r>
                </w:p>
              </w:tc>
            </w:tr>
            <w:tr w14:paraId="0B723E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6" w:type="dxa"/>
                  <w:vMerge w:val="continue"/>
                  <w:tcBorders>
                    <w:tl2br w:val="nil"/>
                    <w:tr2bl w:val="nil"/>
                  </w:tcBorders>
                  <w:vAlign w:val="center"/>
                </w:tcPr>
                <w:p w14:paraId="576568A8">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672" w:type="dxa"/>
                  <w:vMerge w:val="continue"/>
                  <w:tcBorders>
                    <w:tl2br w:val="nil"/>
                    <w:tr2bl w:val="nil"/>
                  </w:tcBorders>
                  <w:vAlign w:val="center"/>
                </w:tcPr>
                <w:p w14:paraId="4A5D29FF">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99" w:type="dxa"/>
                  <w:tcBorders>
                    <w:tl2br w:val="nil"/>
                    <w:tr2bl w:val="nil"/>
                  </w:tcBorders>
                  <w:vAlign w:val="center"/>
                </w:tcPr>
                <w:p w14:paraId="3716440E">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iCs/>
                      <w:color w:val="auto"/>
                      <w:kern w:val="0"/>
                      <w:sz w:val="21"/>
                      <w:szCs w:val="21"/>
                    </w:rPr>
                    <w:t>经度</w:t>
                  </w:r>
                </w:p>
              </w:tc>
              <w:tc>
                <w:tcPr>
                  <w:tcW w:w="1288" w:type="dxa"/>
                  <w:tcBorders>
                    <w:tl2br w:val="nil"/>
                    <w:tr2bl w:val="nil"/>
                  </w:tcBorders>
                  <w:vAlign w:val="center"/>
                </w:tcPr>
                <w:p w14:paraId="6C700A59">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iCs/>
                      <w:color w:val="auto"/>
                      <w:kern w:val="0"/>
                      <w:sz w:val="21"/>
                      <w:szCs w:val="21"/>
                    </w:rPr>
                    <w:t>纬度</w:t>
                  </w:r>
                </w:p>
              </w:tc>
              <w:tc>
                <w:tcPr>
                  <w:tcW w:w="851" w:type="dxa"/>
                  <w:vMerge w:val="continue"/>
                  <w:tcBorders>
                    <w:tl2br w:val="nil"/>
                    <w:tr2bl w:val="nil"/>
                  </w:tcBorders>
                  <w:vAlign w:val="center"/>
                </w:tcPr>
                <w:p w14:paraId="5C3452EC">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611" w:type="dxa"/>
                  <w:vMerge w:val="continue"/>
                  <w:tcBorders>
                    <w:tl2br w:val="nil"/>
                    <w:tr2bl w:val="nil"/>
                  </w:tcBorders>
                  <w:vAlign w:val="center"/>
                </w:tcPr>
                <w:p w14:paraId="0F53D3EA">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496" w:type="dxa"/>
                  <w:vMerge w:val="continue"/>
                  <w:tcBorders>
                    <w:tl2br w:val="nil"/>
                    <w:tr2bl w:val="nil"/>
                  </w:tcBorders>
                  <w:vAlign w:val="center"/>
                </w:tcPr>
                <w:p w14:paraId="0407B25A">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861" w:type="dxa"/>
                  <w:vMerge w:val="continue"/>
                  <w:tcBorders>
                    <w:tl2br w:val="nil"/>
                    <w:tr2bl w:val="nil"/>
                  </w:tcBorders>
                  <w:vAlign w:val="center"/>
                </w:tcPr>
                <w:p w14:paraId="5A360105">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738" w:type="dxa"/>
                  <w:vMerge w:val="continue"/>
                  <w:tcBorders>
                    <w:tl2br w:val="nil"/>
                    <w:tr2bl w:val="nil"/>
                  </w:tcBorders>
                  <w:vAlign w:val="center"/>
                </w:tcPr>
                <w:p w14:paraId="1B8A8003">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r>
            <w:tr w14:paraId="2127C7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6" w:type="dxa"/>
                  <w:vMerge w:val="restart"/>
                  <w:tcBorders>
                    <w:tl2br w:val="nil"/>
                    <w:tr2bl w:val="nil"/>
                  </w:tcBorders>
                  <w:vAlign w:val="center"/>
                </w:tcPr>
                <w:p w14:paraId="64C809D5">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环境空气</w:t>
                  </w:r>
                </w:p>
              </w:tc>
              <w:tc>
                <w:tcPr>
                  <w:tcW w:w="672" w:type="dxa"/>
                  <w:tcBorders>
                    <w:tl2br w:val="nil"/>
                    <w:tr2bl w:val="nil"/>
                  </w:tcBorders>
                  <w:vAlign w:val="center"/>
                </w:tcPr>
                <w:p w14:paraId="4A6B2554">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sz w:val="22"/>
                      <w:szCs w:val="22"/>
                      <w:highlight w:val="none"/>
                      <w:lang w:val="en-US" w:eastAsia="zh-CN"/>
                    </w:rPr>
                    <w:t>安邦乡</w:t>
                  </w:r>
                  <w:r>
                    <w:rPr>
                      <w:rFonts w:hint="eastAsia" w:ascii="Times New Roman" w:cs="Times New Roman"/>
                      <w:color w:val="auto"/>
                      <w:kern w:val="0"/>
                      <w:sz w:val="21"/>
                      <w:szCs w:val="21"/>
                      <w:lang w:val="en-US" w:eastAsia="zh-CN" w:bidi="ar-SA"/>
                    </w:rPr>
                    <w:t>公立村</w:t>
                  </w:r>
                </w:p>
              </w:tc>
              <w:tc>
                <w:tcPr>
                  <w:tcW w:w="1199" w:type="dxa"/>
                  <w:tcBorders>
                    <w:tl2br w:val="nil"/>
                    <w:tr2bl w:val="nil"/>
                  </w:tcBorders>
                  <w:vAlign w:val="center"/>
                </w:tcPr>
                <w:p w14:paraId="5D2B5B93">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131.17280617</w:t>
                  </w:r>
                </w:p>
              </w:tc>
              <w:tc>
                <w:tcPr>
                  <w:tcW w:w="1288" w:type="dxa"/>
                  <w:tcBorders>
                    <w:tl2br w:val="nil"/>
                    <w:tr2bl w:val="nil"/>
                  </w:tcBorders>
                  <w:vAlign w:val="center"/>
                </w:tcPr>
                <w:p w14:paraId="5E42AFAF">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46.69242925</w:t>
                  </w:r>
                </w:p>
              </w:tc>
              <w:tc>
                <w:tcPr>
                  <w:tcW w:w="851" w:type="dxa"/>
                  <w:tcBorders>
                    <w:tl2br w:val="nil"/>
                    <w:tr2bl w:val="nil"/>
                  </w:tcBorders>
                  <w:vAlign w:val="center"/>
                </w:tcPr>
                <w:p w14:paraId="69B85FCA">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农村人群集中区</w:t>
                  </w:r>
                </w:p>
              </w:tc>
              <w:tc>
                <w:tcPr>
                  <w:tcW w:w="611" w:type="dxa"/>
                  <w:tcBorders>
                    <w:tl2br w:val="nil"/>
                    <w:tr2bl w:val="nil"/>
                  </w:tcBorders>
                  <w:vAlign w:val="center"/>
                </w:tcPr>
                <w:p w14:paraId="3F4DA7B9">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人群</w:t>
                  </w:r>
                </w:p>
              </w:tc>
              <w:tc>
                <w:tcPr>
                  <w:tcW w:w="1496" w:type="dxa"/>
                  <w:vMerge w:val="restart"/>
                  <w:tcBorders>
                    <w:tl2br w:val="nil"/>
                    <w:tr2bl w:val="nil"/>
                  </w:tcBorders>
                  <w:vAlign w:val="center"/>
                </w:tcPr>
                <w:p w14:paraId="111CEA04">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《环境空气质量标准》</w:t>
                  </w:r>
                  <w:r>
                    <w:rPr>
                      <w:rFonts w:hint="eastAsia" w:ascii="Times New Roman" w:cs="Times New Roman"/>
                      <w:color w:val="auto"/>
                      <w:kern w:val="0"/>
                      <w:sz w:val="21"/>
                      <w:szCs w:val="21"/>
                      <w:lang w:val="en-US" w:eastAsia="zh-CN" w:bidi="ar-SA"/>
                    </w:rPr>
                    <w:t>（</w:t>
                  </w:r>
                  <w:r>
                    <w:rPr>
                      <w:rFonts w:hint="default" w:ascii="Times New Roman" w:hAnsi="Times New Roman" w:eastAsia="宋体" w:cs="Times New Roman"/>
                      <w:color w:val="auto"/>
                      <w:kern w:val="0"/>
                      <w:sz w:val="21"/>
                      <w:szCs w:val="21"/>
                      <w:lang w:val="en-US" w:eastAsia="zh-CN" w:bidi="ar-SA"/>
                    </w:rPr>
                    <w:t>GB3095-2012</w:t>
                  </w:r>
                  <w:r>
                    <w:rPr>
                      <w:rFonts w:hint="eastAsia" w:ascii="Times New Roman" w:cs="Times New Roman"/>
                      <w:color w:val="auto"/>
                      <w:kern w:val="0"/>
                      <w:sz w:val="21"/>
                      <w:szCs w:val="21"/>
                      <w:lang w:val="en-US" w:eastAsia="zh-CN" w:bidi="ar-SA"/>
                    </w:rPr>
                    <w:t>）</w:t>
                  </w:r>
                  <w:r>
                    <w:rPr>
                      <w:rFonts w:hint="default" w:ascii="Times New Roman" w:hAnsi="Times New Roman" w:eastAsia="宋体" w:cs="Times New Roman"/>
                      <w:color w:val="auto"/>
                      <w:kern w:val="0"/>
                      <w:sz w:val="21"/>
                      <w:szCs w:val="21"/>
                      <w:lang w:val="en-US" w:eastAsia="zh-CN" w:bidi="ar-SA"/>
                    </w:rPr>
                    <w:t>及其修改单二类标准</w:t>
                  </w:r>
                </w:p>
              </w:tc>
              <w:tc>
                <w:tcPr>
                  <w:tcW w:w="861" w:type="dxa"/>
                  <w:tcBorders>
                    <w:tl2br w:val="nil"/>
                    <w:tr2bl w:val="nil"/>
                  </w:tcBorders>
                  <w:vAlign w:val="center"/>
                </w:tcPr>
                <w:p w14:paraId="2B04BF61">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N</w:t>
                  </w:r>
                </w:p>
              </w:tc>
              <w:tc>
                <w:tcPr>
                  <w:tcW w:w="738" w:type="dxa"/>
                  <w:tcBorders>
                    <w:tl2br w:val="nil"/>
                    <w:tr2bl w:val="nil"/>
                  </w:tcBorders>
                  <w:vAlign w:val="center"/>
                </w:tcPr>
                <w:p w14:paraId="11B68B8E">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10</w:t>
                  </w:r>
                </w:p>
              </w:tc>
            </w:tr>
            <w:tr w14:paraId="52AD0F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6" w:type="dxa"/>
                  <w:vMerge w:val="continue"/>
                  <w:tcBorders>
                    <w:tl2br w:val="nil"/>
                    <w:tr2bl w:val="nil"/>
                  </w:tcBorders>
                  <w:vAlign w:val="center"/>
                </w:tcPr>
                <w:p w14:paraId="37828C3A">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672" w:type="dxa"/>
                  <w:tcBorders>
                    <w:tl2br w:val="nil"/>
                    <w:tr2bl w:val="nil"/>
                  </w:tcBorders>
                  <w:vAlign w:val="center"/>
                </w:tcPr>
                <w:p w14:paraId="4DB96A95">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黑龙江能源职业学院</w:t>
                  </w:r>
                </w:p>
              </w:tc>
              <w:tc>
                <w:tcPr>
                  <w:tcW w:w="1199" w:type="dxa"/>
                  <w:tcBorders>
                    <w:tl2br w:val="nil"/>
                    <w:tr2bl w:val="nil"/>
                  </w:tcBorders>
                  <w:vAlign w:val="center"/>
                </w:tcPr>
                <w:p w14:paraId="5B599BC7">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131.16671999</w:t>
                  </w:r>
                </w:p>
              </w:tc>
              <w:tc>
                <w:tcPr>
                  <w:tcW w:w="1288" w:type="dxa"/>
                  <w:tcBorders>
                    <w:tl2br w:val="nil"/>
                    <w:tr2bl w:val="nil"/>
                  </w:tcBorders>
                  <w:vAlign w:val="center"/>
                </w:tcPr>
                <w:p w14:paraId="54CAB441">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46.69163121</w:t>
                  </w:r>
                </w:p>
              </w:tc>
              <w:tc>
                <w:tcPr>
                  <w:tcW w:w="851" w:type="dxa"/>
                  <w:tcBorders>
                    <w:tl2br w:val="nil"/>
                    <w:tr2bl w:val="nil"/>
                  </w:tcBorders>
                  <w:vAlign w:val="center"/>
                </w:tcPr>
                <w:p w14:paraId="30B8ABEA">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学校</w:t>
                  </w:r>
                </w:p>
              </w:tc>
              <w:tc>
                <w:tcPr>
                  <w:tcW w:w="611" w:type="dxa"/>
                  <w:tcBorders>
                    <w:tl2br w:val="nil"/>
                    <w:tr2bl w:val="nil"/>
                  </w:tcBorders>
                  <w:vAlign w:val="center"/>
                </w:tcPr>
                <w:p w14:paraId="6DF98CB1">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学生</w:t>
                  </w:r>
                </w:p>
              </w:tc>
              <w:tc>
                <w:tcPr>
                  <w:tcW w:w="1496" w:type="dxa"/>
                  <w:vMerge w:val="continue"/>
                  <w:tcBorders>
                    <w:tl2br w:val="nil"/>
                    <w:tr2bl w:val="nil"/>
                  </w:tcBorders>
                  <w:vAlign w:val="center"/>
                </w:tcPr>
                <w:p w14:paraId="62CBF392">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861" w:type="dxa"/>
                  <w:tcBorders>
                    <w:tl2br w:val="nil"/>
                    <w:tr2bl w:val="nil"/>
                  </w:tcBorders>
                  <w:vAlign w:val="center"/>
                </w:tcPr>
                <w:p w14:paraId="6B8BFE3F">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W</w:t>
                  </w:r>
                </w:p>
              </w:tc>
              <w:tc>
                <w:tcPr>
                  <w:tcW w:w="738" w:type="dxa"/>
                  <w:tcBorders>
                    <w:tl2br w:val="nil"/>
                    <w:tr2bl w:val="nil"/>
                  </w:tcBorders>
                  <w:vAlign w:val="center"/>
                </w:tcPr>
                <w:p w14:paraId="771D7009">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400</w:t>
                  </w:r>
                </w:p>
              </w:tc>
            </w:tr>
          </w:tbl>
          <w:p w14:paraId="544A760D">
            <w:pPr>
              <w:pStyle w:val="80"/>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0" w:leftChars="0" w:firstLine="480" w:firstLineChars="200"/>
              <w:textAlignment w:val="auto"/>
              <w:rPr>
                <w:rFonts w:hint="default" w:ascii="Times New Roman" w:hAnsi="Times New Roman" w:eastAsia="宋体" w:cs="Times New Roman"/>
                <w:snapToGrid w:val="0"/>
                <w:color w:val="auto"/>
                <w:kern w:val="2"/>
                <w:sz w:val="24"/>
                <w:szCs w:val="24"/>
                <w:highlight w:val="none"/>
                <w:lang w:val="en-US" w:eastAsia="zh-CN" w:bidi="ar-SA"/>
              </w:rPr>
            </w:pPr>
            <w:r>
              <w:rPr>
                <w:rFonts w:hint="eastAsia" w:ascii="Times New Roman" w:hAnsi="Times New Roman" w:eastAsia="宋体" w:cs="Times New Roman"/>
                <w:snapToGrid w:val="0"/>
                <w:color w:val="auto"/>
                <w:kern w:val="2"/>
                <w:sz w:val="24"/>
                <w:szCs w:val="24"/>
                <w:highlight w:val="none"/>
                <w:lang w:val="en-US" w:eastAsia="zh-CN" w:bidi="ar-SA"/>
              </w:rPr>
              <w:t>2、</w:t>
            </w:r>
            <w:r>
              <w:rPr>
                <w:rFonts w:hint="default" w:ascii="Times New Roman" w:hAnsi="Times New Roman" w:eastAsia="宋体" w:cs="Times New Roman"/>
                <w:snapToGrid w:val="0"/>
                <w:color w:val="auto"/>
                <w:kern w:val="2"/>
                <w:sz w:val="24"/>
                <w:szCs w:val="24"/>
                <w:highlight w:val="none"/>
                <w:lang w:val="en-US" w:eastAsia="zh-CN" w:bidi="ar-SA"/>
              </w:rPr>
              <w:t>声环境保护目标</w:t>
            </w:r>
          </w:p>
          <w:p w14:paraId="10DFAAEF">
            <w:pPr>
              <w:spacing w:line="360" w:lineRule="auto"/>
              <w:ind w:firstLine="480" w:firstLineChars="200"/>
              <w:rPr>
                <w:rFonts w:eastAsiaTheme="minorEastAsia"/>
                <w:color w:val="auto"/>
                <w:sz w:val="24"/>
              </w:rPr>
            </w:pPr>
            <w:r>
              <w:rPr>
                <w:rFonts w:hint="eastAsia" w:eastAsiaTheme="minorEastAsia"/>
                <w:color w:val="auto"/>
                <w:sz w:val="24"/>
                <w:lang w:val="en-US" w:eastAsia="zh-CN"/>
              </w:rPr>
              <w:t>安邦乡公立村</w:t>
            </w:r>
            <w:r>
              <w:rPr>
                <w:rFonts w:eastAsiaTheme="minorEastAsia"/>
                <w:color w:val="auto"/>
                <w:sz w:val="24"/>
              </w:rPr>
              <w:t>位于厂界外50m范围内，为声环境保护目标</w:t>
            </w:r>
            <w:r>
              <w:rPr>
                <w:rFonts w:hint="eastAsia" w:eastAsiaTheme="minorEastAsia"/>
                <w:color w:val="auto"/>
                <w:sz w:val="24"/>
              </w:rPr>
              <w:t>，</w:t>
            </w:r>
            <w:r>
              <w:rPr>
                <w:rFonts w:eastAsiaTheme="minorEastAsia"/>
                <w:color w:val="auto"/>
                <w:sz w:val="24"/>
              </w:rPr>
              <w:t>详见表3-</w:t>
            </w:r>
            <w:r>
              <w:rPr>
                <w:rFonts w:hint="eastAsia" w:eastAsiaTheme="minorEastAsia"/>
                <w:color w:val="auto"/>
                <w:sz w:val="24"/>
                <w:lang w:val="en-US" w:eastAsia="zh-CN"/>
              </w:rPr>
              <w:t>7</w:t>
            </w:r>
            <w:r>
              <w:rPr>
                <w:rFonts w:eastAsiaTheme="minorEastAsia"/>
                <w:color w:val="auto"/>
                <w:sz w:val="24"/>
              </w:rPr>
              <w:t>。</w:t>
            </w:r>
          </w:p>
          <w:p w14:paraId="29A7321E">
            <w:pPr>
              <w:pStyle w:val="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cs="Times New Roman" w:eastAsiaTheme="minorEastAsia"/>
                <w:b/>
                <w:bCs/>
                <w:color w:val="auto"/>
                <w:kern w:val="2"/>
                <w:sz w:val="21"/>
                <w:szCs w:val="24"/>
                <w:lang w:val="en-US" w:eastAsia="zh-CN" w:bidi="ar-SA"/>
              </w:rPr>
            </w:pPr>
            <w:r>
              <w:rPr>
                <w:rFonts w:hint="default" w:ascii="Times New Roman" w:hAnsi="Times New Roman" w:cs="Times New Roman" w:eastAsiaTheme="minorEastAsia"/>
                <w:b/>
                <w:bCs/>
                <w:color w:val="auto"/>
                <w:kern w:val="2"/>
                <w:sz w:val="21"/>
                <w:szCs w:val="24"/>
                <w:lang w:val="en-US" w:eastAsia="zh-CN" w:bidi="ar-SA"/>
              </w:rPr>
              <w:t>表3</w:t>
            </w:r>
            <w:r>
              <w:rPr>
                <w:rFonts w:hint="eastAsia" w:ascii="Times New Roman" w:hAnsi="Times New Roman" w:cs="Times New Roman" w:eastAsiaTheme="minorEastAsia"/>
                <w:b/>
                <w:bCs/>
                <w:color w:val="auto"/>
                <w:kern w:val="2"/>
                <w:sz w:val="21"/>
                <w:szCs w:val="24"/>
                <w:lang w:val="en-US" w:eastAsia="zh-CN" w:bidi="ar-SA"/>
              </w:rPr>
              <w:t>-</w:t>
            </w:r>
            <w:r>
              <w:rPr>
                <w:rFonts w:hint="eastAsia" w:cs="Times New Roman" w:eastAsiaTheme="minorEastAsia"/>
                <w:b/>
                <w:bCs/>
                <w:color w:val="auto"/>
                <w:kern w:val="2"/>
                <w:sz w:val="21"/>
                <w:szCs w:val="24"/>
                <w:lang w:val="en-US" w:eastAsia="zh-CN" w:bidi="ar-SA"/>
              </w:rPr>
              <w:t>7</w:t>
            </w:r>
            <w:r>
              <w:rPr>
                <w:rFonts w:hint="default" w:ascii="Times New Roman" w:hAnsi="Times New Roman" w:cs="Times New Roman" w:eastAsiaTheme="minorEastAsia"/>
                <w:b/>
                <w:bCs/>
                <w:color w:val="auto"/>
                <w:kern w:val="2"/>
                <w:sz w:val="21"/>
                <w:szCs w:val="24"/>
                <w:lang w:val="en-US" w:eastAsia="zh-CN" w:bidi="ar-SA"/>
              </w:rPr>
              <w:t xml:space="preserve">  声环境保护目标一览表</w:t>
            </w:r>
          </w:p>
          <w:tbl>
            <w:tblPr>
              <w:tblStyle w:val="3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7"/>
              <w:gridCol w:w="934"/>
              <w:gridCol w:w="718"/>
              <w:gridCol w:w="718"/>
              <w:gridCol w:w="720"/>
              <w:gridCol w:w="705"/>
              <w:gridCol w:w="698"/>
              <w:gridCol w:w="1305"/>
              <w:gridCol w:w="1887"/>
            </w:tblGrid>
            <w:tr w14:paraId="77A4DB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2" w:type="pct"/>
                  <w:vMerge w:val="restart"/>
                  <w:tcBorders>
                    <w:tl2br w:val="nil"/>
                    <w:tr2bl w:val="nil"/>
                  </w:tcBorders>
                  <w:vAlign w:val="center"/>
                </w:tcPr>
                <w:p w14:paraId="5A34C598">
                  <w:pPr>
                    <w:pStyle w:val="3"/>
                    <w:jc w:val="center"/>
                    <w:rPr>
                      <w:rFonts w:hint="eastAsia" w:ascii="Times New Roman" w:eastAsia="宋体"/>
                      <w:color w:val="auto"/>
                      <w:sz w:val="21"/>
                      <w:lang w:val="en-US" w:eastAsia="zh-CN"/>
                    </w:rPr>
                  </w:pPr>
                  <w:r>
                    <w:rPr>
                      <w:rFonts w:hint="eastAsia" w:ascii="Times New Roman"/>
                      <w:color w:val="auto"/>
                      <w:sz w:val="21"/>
                      <w:lang w:val="en-US" w:eastAsia="zh-CN"/>
                    </w:rPr>
                    <w:t>序号</w:t>
                  </w:r>
                </w:p>
              </w:tc>
              <w:tc>
                <w:tcPr>
                  <w:tcW w:w="572" w:type="pct"/>
                  <w:vMerge w:val="restart"/>
                  <w:tcBorders>
                    <w:tl2br w:val="nil"/>
                    <w:tr2bl w:val="nil"/>
                  </w:tcBorders>
                  <w:vAlign w:val="center"/>
                </w:tcPr>
                <w:p w14:paraId="22C715BD">
                  <w:pPr>
                    <w:pStyle w:val="3"/>
                    <w:jc w:val="center"/>
                    <w:rPr>
                      <w:rFonts w:hint="default" w:ascii="Times New Roman" w:eastAsia="宋体"/>
                      <w:color w:val="auto"/>
                      <w:sz w:val="21"/>
                      <w:lang w:val="en-US" w:eastAsia="zh-CN"/>
                    </w:rPr>
                  </w:pPr>
                  <w:r>
                    <w:rPr>
                      <w:rFonts w:hint="eastAsia" w:ascii="Times New Roman"/>
                      <w:color w:val="auto"/>
                      <w:sz w:val="21"/>
                      <w:lang w:val="en-US" w:eastAsia="zh-CN"/>
                    </w:rPr>
                    <w:t>声环境保护目标名称</w:t>
                  </w:r>
                </w:p>
              </w:tc>
              <w:tc>
                <w:tcPr>
                  <w:tcW w:w="1321" w:type="pct"/>
                  <w:gridSpan w:val="3"/>
                  <w:tcBorders>
                    <w:tl2br w:val="nil"/>
                    <w:tr2bl w:val="nil"/>
                  </w:tcBorders>
                  <w:vAlign w:val="center"/>
                </w:tcPr>
                <w:p w14:paraId="014F60AF">
                  <w:pPr>
                    <w:pStyle w:val="3"/>
                    <w:jc w:val="center"/>
                    <w:rPr>
                      <w:rFonts w:hint="default" w:ascii="Times New Roman" w:eastAsia="宋体"/>
                      <w:color w:val="auto"/>
                      <w:sz w:val="21"/>
                      <w:lang w:val="en-US" w:eastAsia="zh-CN"/>
                    </w:rPr>
                  </w:pPr>
                  <w:r>
                    <w:rPr>
                      <w:rFonts w:hint="eastAsia" w:ascii="Times New Roman"/>
                      <w:color w:val="auto"/>
                      <w:sz w:val="21"/>
                      <w:lang w:val="en-US" w:eastAsia="zh-CN"/>
                    </w:rPr>
                    <w:t>空间相对位置/m</w:t>
                  </w:r>
                </w:p>
              </w:tc>
              <w:tc>
                <w:tcPr>
                  <w:tcW w:w="432" w:type="pct"/>
                  <w:vMerge w:val="restart"/>
                  <w:tcBorders>
                    <w:tl2br w:val="nil"/>
                    <w:tr2bl w:val="nil"/>
                  </w:tcBorders>
                  <w:vAlign w:val="center"/>
                </w:tcPr>
                <w:p w14:paraId="12812886">
                  <w:pPr>
                    <w:widowControl/>
                    <w:jc w:val="center"/>
                    <w:rPr>
                      <w:color w:val="auto"/>
                      <w:kern w:val="0"/>
                      <w:szCs w:val="21"/>
                    </w:rPr>
                  </w:pPr>
                  <w:r>
                    <w:rPr>
                      <w:rFonts w:hint="eastAsia"/>
                      <w:color w:val="auto"/>
                      <w:kern w:val="0"/>
                      <w:szCs w:val="21"/>
                      <w:lang w:val="en-US" w:eastAsia="zh-CN"/>
                    </w:rPr>
                    <w:t>距厂界最近</w:t>
                  </w:r>
                  <w:r>
                    <w:rPr>
                      <w:color w:val="auto"/>
                      <w:kern w:val="0"/>
                      <w:szCs w:val="21"/>
                    </w:rPr>
                    <w:t>距离/m</w:t>
                  </w:r>
                </w:p>
              </w:tc>
              <w:tc>
                <w:tcPr>
                  <w:tcW w:w="427" w:type="pct"/>
                  <w:vMerge w:val="restart"/>
                  <w:tcBorders>
                    <w:tl2br w:val="nil"/>
                    <w:tr2bl w:val="nil"/>
                  </w:tcBorders>
                  <w:vAlign w:val="center"/>
                </w:tcPr>
                <w:p w14:paraId="1F9A6659">
                  <w:pPr>
                    <w:widowControl/>
                    <w:jc w:val="center"/>
                    <w:rPr>
                      <w:color w:val="auto"/>
                      <w:szCs w:val="21"/>
                    </w:rPr>
                  </w:pPr>
                  <w:r>
                    <w:rPr>
                      <w:color w:val="auto"/>
                      <w:kern w:val="0"/>
                      <w:szCs w:val="21"/>
                    </w:rPr>
                    <w:t>方位</w:t>
                  </w:r>
                </w:p>
              </w:tc>
              <w:tc>
                <w:tcPr>
                  <w:tcW w:w="799" w:type="pct"/>
                  <w:vMerge w:val="restart"/>
                  <w:tcBorders>
                    <w:tl2br w:val="nil"/>
                    <w:tr2bl w:val="nil"/>
                  </w:tcBorders>
                  <w:vAlign w:val="center"/>
                </w:tcPr>
                <w:p w14:paraId="62ECAE15">
                  <w:pPr>
                    <w:widowControl/>
                    <w:jc w:val="center"/>
                    <w:rPr>
                      <w:rFonts w:hint="default" w:eastAsia="宋体"/>
                      <w:color w:val="auto"/>
                      <w:kern w:val="0"/>
                      <w:szCs w:val="21"/>
                      <w:lang w:val="en-US" w:eastAsia="zh-CN"/>
                    </w:rPr>
                  </w:pPr>
                  <w:r>
                    <w:rPr>
                      <w:rFonts w:hint="eastAsia"/>
                      <w:color w:val="auto"/>
                      <w:kern w:val="0"/>
                      <w:szCs w:val="21"/>
                      <w:lang w:val="en-US" w:eastAsia="zh-CN"/>
                    </w:rPr>
                    <w:t>执行标准/功能区类别</w:t>
                  </w:r>
                </w:p>
              </w:tc>
              <w:tc>
                <w:tcPr>
                  <w:tcW w:w="1156" w:type="pct"/>
                  <w:vMerge w:val="restart"/>
                  <w:tcBorders>
                    <w:tl2br w:val="nil"/>
                    <w:tr2bl w:val="nil"/>
                  </w:tcBorders>
                  <w:vAlign w:val="center"/>
                </w:tcPr>
                <w:p w14:paraId="1F256F77">
                  <w:pPr>
                    <w:widowControl/>
                    <w:jc w:val="center"/>
                    <w:rPr>
                      <w:color w:val="auto"/>
                      <w:szCs w:val="21"/>
                    </w:rPr>
                  </w:pPr>
                  <w:r>
                    <w:rPr>
                      <w:rFonts w:hint="eastAsia"/>
                      <w:color w:val="auto"/>
                      <w:kern w:val="0"/>
                      <w:szCs w:val="21"/>
                    </w:rPr>
                    <w:t>声环境保护目标情况说明</w:t>
                  </w:r>
                </w:p>
              </w:tc>
            </w:tr>
            <w:tr w14:paraId="54A259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2" w:type="pct"/>
                  <w:vMerge w:val="continue"/>
                  <w:tcBorders>
                    <w:tl2br w:val="nil"/>
                    <w:tr2bl w:val="nil"/>
                  </w:tcBorders>
                  <w:vAlign w:val="center"/>
                </w:tcPr>
                <w:p w14:paraId="4B6347DF">
                  <w:pPr>
                    <w:pStyle w:val="3"/>
                    <w:jc w:val="center"/>
                    <w:rPr>
                      <w:rFonts w:hint="eastAsia" w:ascii="Times New Roman" w:eastAsia="宋体"/>
                      <w:color w:val="auto"/>
                      <w:sz w:val="21"/>
                      <w:lang w:val="en-US" w:eastAsia="zh-CN"/>
                    </w:rPr>
                  </w:pPr>
                </w:p>
              </w:tc>
              <w:tc>
                <w:tcPr>
                  <w:tcW w:w="572" w:type="pct"/>
                  <w:vMerge w:val="continue"/>
                  <w:tcBorders>
                    <w:tl2br w:val="nil"/>
                    <w:tr2bl w:val="nil"/>
                  </w:tcBorders>
                  <w:vAlign w:val="center"/>
                </w:tcPr>
                <w:p w14:paraId="5689A7EB">
                  <w:pPr>
                    <w:pStyle w:val="3"/>
                    <w:jc w:val="center"/>
                    <w:rPr>
                      <w:rFonts w:hint="default" w:ascii="Times New Roman" w:eastAsia="宋体"/>
                      <w:color w:val="auto"/>
                      <w:sz w:val="21"/>
                      <w:lang w:val="en-US" w:eastAsia="zh-CN"/>
                    </w:rPr>
                  </w:pPr>
                </w:p>
              </w:tc>
              <w:tc>
                <w:tcPr>
                  <w:tcW w:w="440" w:type="pct"/>
                  <w:tcBorders>
                    <w:tl2br w:val="nil"/>
                    <w:tr2bl w:val="nil"/>
                  </w:tcBorders>
                  <w:vAlign w:val="center"/>
                </w:tcPr>
                <w:p w14:paraId="170D60C4">
                  <w:pPr>
                    <w:pStyle w:val="3"/>
                    <w:jc w:val="center"/>
                    <w:rPr>
                      <w:rFonts w:hint="eastAsia" w:ascii="Times New Roman" w:eastAsia="宋体"/>
                      <w:color w:val="auto"/>
                      <w:sz w:val="21"/>
                      <w:lang w:val="en-US" w:eastAsia="zh-CN"/>
                    </w:rPr>
                  </w:pPr>
                  <w:r>
                    <w:rPr>
                      <w:rFonts w:hint="eastAsia" w:ascii="Times New Roman"/>
                      <w:color w:val="auto"/>
                      <w:sz w:val="21"/>
                      <w:lang w:val="en-US" w:eastAsia="zh-CN"/>
                    </w:rPr>
                    <w:t>X</w:t>
                  </w:r>
                </w:p>
              </w:tc>
              <w:tc>
                <w:tcPr>
                  <w:tcW w:w="440" w:type="pct"/>
                  <w:tcBorders>
                    <w:tl2br w:val="nil"/>
                    <w:tr2bl w:val="nil"/>
                  </w:tcBorders>
                  <w:vAlign w:val="center"/>
                </w:tcPr>
                <w:p w14:paraId="7557A356">
                  <w:pPr>
                    <w:pStyle w:val="3"/>
                    <w:jc w:val="center"/>
                    <w:rPr>
                      <w:rFonts w:hint="eastAsia" w:ascii="Times New Roman" w:eastAsia="宋体"/>
                      <w:color w:val="auto"/>
                      <w:sz w:val="21"/>
                      <w:lang w:val="en-US" w:eastAsia="zh-CN"/>
                    </w:rPr>
                  </w:pPr>
                  <w:r>
                    <w:rPr>
                      <w:rFonts w:hint="eastAsia" w:ascii="Times New Roman"/>
                      <w:color w:val="auto"/>
                      <w:sz w:val="21"/>
                      <w:lang w:val="en-US" w:eastAsia="zh-CN"/>
                    </w:rPr>
                    <w:t>Y</w:t>
                  </w:r>
                </w:p>
              </w:tc>
              <w:tc>
                <w:tcPr>
                  <w:tcW w:w="440" w:type="pct"/>
                  <w:tcBorders>
                    <w:tl2br w:val="nil"/>
                    <w:tr2bl w:val="nil"/>
                  </w:tcBorders>
                  <w:vAlign w:val="center"/>
                </w:tcPr>
                <w:p w14:paraId="3F4C2173">
                  <w:pPr>
                    <w:pStyle w:val="3"/>
                    <w:jc w:val="center"/>
                    <w:rPr>
                      <w:rFonts w:hint="eastAsia" w:ascii="Times New Roman" w:eastAsia="宋体"/>
                      <w:color w:val="auto"/>
                      <w:sz w:val="21"/>
                      <w:lang w:val="en-US" w:eastAsia="zh-CN"/>
                    </w:rPr>
                  </w:pPr>
                  <w:r>
                    <w:rPr>
                      <w:rFonts w:hint="eastAsia" w:ascii="Times New Roman"/>
                      <w:color w:val="auto"/>
                      <w:sz w:val="21"/>
                      <w:lang w:val="en-US" w:eastAsia="zh-CN"/>
                    </w:rPr>
                    <w:t>Z</w:t>
                  </w:r>
                </w:p>
              </w:tc>
              <w:tc>
                <w:tcPr>
                  <w:tcW w:w="432" w:type="pct"/>
                  <w:vMerge w:val="continue"/>
                  <w:tcBorders>
                    <w:tl2br w:val="nil"/>
                    <w:tr2bl w:val="nil"/>
                  </w:tcBorders>
                  <w:vAlign w:val="center"/>
                </w:tcPr>
                <w:p w14:paraId="3DA05E7C">
                  <w:pPr>
                    <w:widowControl/>
                    <w:jc w:val="center"/>
                    <w:rPr>
                      <w:color w:val="auto"/>
                      <w:kern w:val="0"/>
                      <w:szCs w:val="21"/>
                    </w:rPr>
                  </w:pPr>
                </w:p>
              </w:tc>
              <w:tc>
                <w:tcPr>
                  <w:tcW w:w="427" w:type="pct"/>
                  <w:vMerge w:val="continue"/>
                  <w:tcBorders>
                    <w:tl2br w:val="nil"/>
                    <w:tr2bl w:val="nil"/>
                  </w:tcBorders>
                  <w:vAlign w:val="center"/>
                </w:tcPr>
                <w:p w14:paraId="782DED5A">
                  <w:pPr>
                    <w:widowControl/>
                    <w:jc w:val="center"/>
                    <w:rPr>
                      <w:color w:val="auto"/>
                      <w:szCs w:val="21"/>
                    </w:rPr>
                  </w:pPr>
                </w:p>
              </w:tc>
              <w:tc>
                <w:tcPr>
                  <w:tcW w:w="799" w:type="pct"/>
                  <w:vMerge w:val="continue"/>
                  <w:tcBorders>
                    <w:tl2br w:val="nil"/>
                    <w:tr2bl w:val="nil"/>
                  </w:tcBorders>
                  <w:vAlign w:val="center"/>
                </w:tcPr>
                <w:p w14:paraId="448EA6EA">
                  <w:pPr>
                    <w:widowControl/>
                    <w:jc w:val="center"/>
                    <w:rPr>
                      <w:rFonts w:hint="default" w:eastAsia="宋体"/>
                      <w:color w:val="auto"/>
                      <w:kern w:val="0"/>
                      <w:szCs w:val="21"/>
                      <w:lang w:val="en-US" w:eastAsia="zh-CN"/>
                    </w:rPr>
                  </w:pPr>
                </w:p>
              </w:tc>
              <w:tc>
                <w:tcPr>
                  <w:tcW w:w="1156" w:type="pct"/>
                  <w:vMerge w:val="continue"/>
                  <w:tcBorders>
                    <w:tl2br w:val="nil"/>
                    <w:tr2bl w:val="nil"/>
                  </w:tcBorders>
                  <w:vAlign w:val="center"/>
                </w:tcPr>
                <w:p w14:paraId="66DBEC90">
                  <w:pPr>
                    <w:widowControl/>
                    <w:jc w:val="center"/>
                    <w:rPr>
                      <w:color w:val="auto"/>
                      <w:szCs w:val="21"/>
                    </w:rPr>
                  </w:pPr>
                </w:p>
              </w:tc>
            </w:tr>
            <w:tr w14:paraId="4F19CE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2" w:type="pct"/>
                  <w:tcBorders>
                    <w:tl2br w:val="nil"/>
                    <w:tr2bl w:val="nil"/>
                  </w:tcBorders>
                  <w:vAlign w:val="center"/>
                </w:tcPr>
                <w:p w14:paraId="3468FFF5">
                  <w:pPr>
                    <w:pStyle w:val="3"/>
                    <w:jc w:val="center"/>
                    <w:rPr>
                      <w:rFonts w:hint="eastAsia" w:ascii="Times New Roman" w:eastAsia="宋体"/>
                      <w:color w:val="auto"/>
                      <w:sz w:val="21"/>
                      <w:lang w:val="en-US" w:eastAsia="zh-CN"/>
                    </w:rPr>
                  </w:pPr>
                  <w:r>
                    <w:rPr>
                      <w:rFonts w:hint="eastAsia" w:ascii="Times New Roman"/>
                      <w:color w:val="auto"/>
                      <w:sz w:val="21"/>
                      <w:lang w:val="en-US" w:eastAsia="zh-CN"/>
                    </w:rPr>
                    <w:t>1</w:t>
                  </w:r>
                </w:p>
              </w:tc>
              <w:tc>
                <w:tcPr>
                  <w:tcW w:w="572" w:type="pct"/>
                  <w:tcBorders>
                    <w:tl2br w:val="nil"/>
                    <w:tr2bl w:val="nil"/>
                  </w:tcBorders>
                  <w:vAlign w:val="center"/>
                </w:tcPr>
                <w:p w14:paraId="0CF7C044">
                  <w:pPr>
                    <w:jc w:val="center"/>
                    <w:rPr>
                      <w:rFonts w:ascii="Times New Roman"/>
                      <w:color w:val="auto"/>
                      <w:sz w:val="21"/>
                    </w:rPr>
                  </w:pPr>
                  <w:r>
                    <w:rPr>
                      <w:rFonts w:hint="eastAsia" w:cs="Times New Roman"/>
                      <w:color w:val="auto"/>
                      <w:sz w:val="22"/>
                      <w:szCs w:val="22"/>
                      <w:highlight w:val="none"/>
                      <w:lang w:val="en-US" w:eastAsia="zh-CN"/>
                    </w:rPr>
                    <w:t>安邦乡</w:t>
                  </w:r>
                  <w:r>
                    <w:rPr>
                      <w:rFonts w:hint="eastAsia" w:ascii="Times New Roman" w:cs="Times New Roman"/>
                      <w:color w:val="auto"/>
                      <w:kern w:val="0"/>
                      <w:sz w:val="21"/>
                      <w:szCs w:val="21"/>
                      <w:lang w:val="en-US" w:eastAsia="zh-CN" w:bidi="ar-SA"/>
                    </w:rPr>
                    <w:t>公立村</w:t>
                  </w:r>
                </w:p>
              </w:tc>
              <w:tc>
                <w:tcPr>
                  <w:tcW w:w="440" w:type="pct"/>
                  <w:tcBorders>
                    <w:tl2br w:val="nil"/>
                    <w:tr2bl w:val="nil"/>
                  </w:tcBorders>
                  <w:vAlign w:val="center"/>
                </w:tcPr>
                <w:p w14:paraId="64EAD4F2">
                  <w:pPr>
                    <w:jc w:val="center"/>
                    <w:rPr>
                      <w:rFonts w:hint="default" w:eastAsia="宋体"/>
                      <w:color w:val="auto"/>
                      <w:kern w:val="0"/>
                      <w:szCs w:val="21"/>
                      <w:lang w:val="en-US" w:eastAsia="zh-CN"/>
                    </w:rPr>
                  </w:pPr>
                  <w:r>
                    <w:rPr>
                      <w:rFonts w:hint="eastAsia"/>
                      <w:color w:val="auto"/>
                      <w:kern w:val="0"/>
                      <w:szCs w:val="21"/>
                      <w:lang w:val="en-US" w:eastAsia="zh-CN"/>
                    </w:rPr>
                    <w:t>0</w:t>
                  </w:r>
                </w:p>
              </w:tc>
              <w:tc>
                <w:tcPr>
                  <w:tcW w:w="440" w:type="pct"/>
                  <w:tcBorders>
                    <w:tl2br w:val="nil"/>
                    <w:tr2bl w:val="nil"/>
                  </w:tcBorders>
                  <w:vAlign w:val="center"/>
                </w:tcPr>
                <w:p w14:paraId="7AC4A7B5">
                  <w:pPr>
                    <w:jc w:val="center"/>
                    <w:rPr>
                      <w:rFonts w:hint="default" w:eastAsia="宋体"/>
                      <w:color w:val="auto"/>
                      <w:kern w:val="0"/>
                      <w:szCs w:val="21"/>
                      <w:lang w:val="en-US" w:eastAsia="zh-CN"/>
                    </w:rPr>
                  </w:pPr>
                  <w:r>
                    <w:rPr>
                      <w:rFonts w:hint="eastAsia"/>
                      <w:color w:val="auto"/>
                      <w:kern w:val="0"/>
                      <w:szCs w:val="21"/>
                      <w:lang w:val="en-US" w:eastAsia="zh-CN"/>
                    </w:rPr>
                    <w:t>64</w:t>
                  </w:r>
                </w:p>
              </w:tc>
              <w:tc>
                <w:tcPr>
                  <w:tcW w:w="440" w:type="pct"/>
                  <w:tcBorders>
                    <w:tl2br w:val="nil"/>
                    <w:tr2bl w:val="nil"/>
                  </w:tcBorders>
                  <w:vAlign w:val="center"/>
                </w:tcPr>
                <w:p w14:paraId="4E7ECFBC">
                  <w:pPr>
                    <w:jc w:val="center"/>
                    <w:rPr>
                      <w:rFonts w:hint="default" w:eastAsia="宋体"/>
                      <w:color w:val="auto"/>
                      <w:szCs w:val="21"/>
                      <w:lang w:val="en-US" w:eastAsia="zh-CN"/>
                    </w:rPr>
                  </w:pPr>
                  <w:r>
                    <w:rPr>
                      <w:rFonts w:hint="eastAsia"/>
                      <w:color w:val="auto"/>
                      <w:szCs w:val="21"/>
                      <w:lang w:val="en-US" w:eastAsia="zh-CN"/>
                    </w:rPr>
                    <w:t>2.5</w:t>
                  </w:r>
                </w:p>
              </w:tc>
              <w:tc>
                <w:tcPr>
                  <w:tcW w:w="432" w:type="pct"/>
                  <w:tcBorders>
                    <w:tl2br w:val="nil"/>
                    <w:tr2bl w:val="nil"/>
                  </w:tcBorders>
                  <w:vAlign w:val="center"/>
                </w:tcPr>
                <w:p w14:paraId="3D8F48BA">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eastAsia="宋体"/>
                      <w:color w:val="auto"/>
                      <w:sz w:val="21"/>
                      <w:lang w:val="en-US" w:eastAsia="zh-CN"/>
                    </w:rPr>
                  </w:pPr>
                  <w:r>
                    <w:rPr>
                      <w:rFonts w:hint="eastAsia" w:ascii="Times New Roman" w:cs="Times New Roman"/>
                      <w:color w:val="auto"/>
                      <w:kern w:val="0"/>
                      <w:sz w:val="21"/>
                      <w:szCs w:val="21"/>
                      <w:lang w:val="en-US" w:eastAsia="zh-CN" w:bidi="ar-SA"/>
                    </w:rPr>
                    <w:t>10</w:t>
                  </w:r>
                </w:p>
              </w:tc>
              <w:tc>
                <w:tcPr>
                  <w:tcW w:w="427" w:type="pct"/>
                  <w:tcBorders>
                    <w:tl2br w:val="nil"/>
                    <w:tr2bl w:val="nil"/>
                  </w:tcBorders>
                  <w:vAlign w:val="center"/>
                </w:tcPr>
                <w:p w14:paraId="17AE8B6F">
                  <w:pPr>
                    <w:pStyle w:val="3"/>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N</w:t>
                  </w:r>
                </w:p>
              </w:tc>
              <w:tc>
                <w:tcPr>
                  <w:tcW w:w="799" w:type="pct"/>
                  <w:tcBorders>
                    <w:tl2br w:val="nil"/>
                    <w:tr2bl w:val="nil"/>
                  </w:tcBorders>
                  <w:vAlign w:val="center"/>
                </w:tcPr>
                <w:p w14:paraId="26608AD0">
                  <w:pPr>
                    <w:pStyle w:val="3"/>
                    <w:jc w:val="center"/>
                    <w:rPr>
                      <w:rFonts w:ascii="Times New Roman" w:hAnsi="Times New Roman" w:eastAsia="宋体" w:cs="Times New Roman"/>
                      <w:color w:val="auto"/>
                      <w:kern w:val="0"/>
                      <w:sz w:val="21"/>
                      <w:szCs w:val="21"/>
                      <w:lang w:val="en-US" w:eastAsia="zh-CN" w:bidi="ar-SA"/>
                    </w:rPr>
                  </w:pPr>
                  <w:r>
                    <w:rPr>
                      <w:rFonts w:ascii="Times New Roman"/>
                      <w:color w:val="auto"/>
                      <w:sz w:val="21"/>
                    </w:rPr>
                    <w:t>《声环境质量标准》GB3096-2008</w:t>
                  </w:r>
                  <w:r>
                    <w:rPr>
                      <w:rFonts w:hint="eastAsia" w:ascii="Times New Roman"/>
                      <w:color w:val="auto"/>
                      <w:sz w:val="21"/>
                    </w:rPr>
                    <w:t>）</w:t>
                  </w:r>
                  <w:r>
                    <w:rPr>
                      <w:rFonts w:hint="eastAsia" w:ascii="Times New Roman"/>
                      <w:color w:val="auto"/>
                      <w:sz w:val="21"/>
                      <w:lang w:val="en-US" w:eastAsia="zh-CN"/>
                    </w:rPr>
                    <w:t>1</w:t>
                  </w:r>
                  <w:r>
                    <w:rPr>
                      <w:rFonts w:ascii="Times New Roman"/>
                      <w:color w:val="auto"/>
                      <w:sz w:val="21"/>
                    </w:rPr>
                    <w:t>类</w:t>
                  </w:r>
                </w:p>
              </w:tc>
              <w:tc>
                <w:tcPr>
                  <w:tcW w:w="1156" w:type="pct"/>
                  <w:tcBorders>
                    <w:tl2br w:val="nil"/>
                    <w:tr2bl w:val="nil"/>
                  </w:tcBorders>
                  <w:vAlign w:val="center"/>
                </w:tcPr>
                <w:p w14:paraId="1382D7D5">
                  <w:pPr>
                    <w:pStyle w:val="3"/>
                    <w:jc w:val="center"/>
                    <w:rPr>
                      <w:rFonts w:hint="default" w:ascii="Times New Roman" w:eastAsia="宋体"/>
                      <w:color w:val="auto"/>
                      <w:sz w:val="21"/>
                      <w:lang w:val="en-US" w:eastAsia="zh-CN"/>
                    </w:rPr>
                  </w:pPr>
                  <w:r>
                    <w:rPr>
                      <w:rFonts w:hint="eastAsia" w:ascii="Times New Roman"/>
                      <w:color w:val="auto"/>
                      <w:sz w:val="21"/>
                      <w:lang w:val="en-US" w:eastAsia="zh-CN"/>
                    </w:rPr>
                    <w:t>砖混结构，南北朝向</w:t>
                  </w:r>
                </w:p>
              </w:tc>
            </w:tr>
          </w:tbl>
          <w:p w14:paraId="2DBC9A3E">
            <w:pPr>
              <w:pStyle w:val="80"/>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0" w:leftChars="0" w:firstLine="480" w:firstLineChars="200"/>
              <w:textAlignment w:val="auto"/>
              <w:rPr>
                <w:rFonts w:hint="default" w:ascii="Times New Roman" w:hAnsi="Times New Roman" w:eastAsia="宋体" w:cs="Times New Roman"/>
                <w:snapToGrid w:val="0"/>
                <w:color w:val="auto"/>
                <w:kern w:val="2"/>
                <w:sz w:val="24"/>
                <w:szCs w:val="24"/>
                <w:highlight w:val="none"/>
                <w:lang w:val="en-US" w:eastAsia="zh-CN" w:bidi="ar-SA"/>
              </w:rPr>
            </w:pPr>
            <w:r>
              <w:rPr>
                <w:rFonts w:hint="eastAsia" w:ascii="Times New Roman" w:hAnsi="Times New Roman" w:eastAsia="宋体" w:cs="Times New Roman"/>
                <w:snapToGrid w:val="0"/>
                <w:color w:val="auto"/>
                <w:kern w:val="2"/>
                <w:sz w:val="24"/>
                <w:szCs w:val="24"/>
                <w:highlight w:val="none"/>
                <w:lang w:val="en-US" w:eastAsia="zh-CN" w:bidi="ar-SA"/>
              </w:rPr>
              <w:t>3</w:t>
            </w:r>
            <w:r>
              <w:rPr>
                <w:rFonts w:hint="default" w:ascii="Times New Roman" w:hAnsi="Times New Roman" w:eastAsia="宋体" w:cs="Times New Roman"/>
                <w:snapToGrid w:val="0"/>
                <w:color w:val="auto"/>
                <w:kern w:val="2"/>
                <w:sz w:val="24"/>
                <w:szCs w:val="24"/>
                <w:highlight w:val="none"/>
                <w:lang w:val="en-US" w:eastAsia="zh-CN" w:bidi="ar-SA"/>
              </w:rPr>
              <w:t>、地下水环境保护目标</w:t>
            </w:r>
          </w:p>
          <w:p w14:paraId="1C4C226D">
            <w:pPr>
              <w:pStyle w:val="80"/>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0" w:leftChars="0" w:firstLine="480" w:firstLineChars="200"/>
              <w:textAlignment w:val="auto"/>
              <w:rPr>
                <w:rFonts w:hint="eastAsia" w:ascii="Times New Roman" w:hAnsi="Times New Roman" w:eastAsia="宋体" w:cs="Times New Roman"/>
                <w:snapToGrid w:val="0"/>
                <w:color w:val="auto"/>
                <w:kern w:val="2"/>
                <w:sz w:val="24"/>
                <w:szCs w:val="24"/>
                <w:highlight w:val="none"/>
                <w:lang w:val="en-US" w:eastAsia="zh-CN" w:bidi="ar-SA"/>
              </w:rPr>
            </w:pPr>
            <w:r>
              <w:rPr>
                <w:rFonts w:hint="default" w:ascii="Times New Roman" w:hAnsi="Times New Roman" w:eastAsia="宋体" w:cs="Times New Roman"/>
                <w:color w:val="auto"/>
                <w:sz w:val="24"/>
                <w:szCs w:val="24"/>
                <w:lang w:val="en-US" w:eastAsia="zh-CN"/>
              </w:rPr>
              <w:t>敏感目标</w:t>
            </w:r>
            <w:r>
              <w:rPr>
                <w:rFonts w:hint="eastAsia" w:ascii="Times New Roman" w:hAnsi="Times New Roman" w:eastAsia="宋体" w:cs="Times New Roman"/>
                <w:color w:val="auto"/>
                <w:sz w:val="24"/>
                <w:szCs w:val="24"/>
                <w:lang w:val="en-US" w:eastAsia="zh-CN"/>
              </w:rPr>
              <w:t>公立村和黑龙江能源职业学院饮用水水源均采用市政供水管网，</w:t>
            </w:r>
            <w:r>
              <w:rPr>
                <w:rFonts w:hint="eastAsia" w:ascii="宋体" w:hAnsi="宋体" w:eastAsia="宋体" w:cs="宋体"/>
                <w:color w:val="auto"/>
                <w:sz w:val="24"/>
                <w:szCs w:val="24"/>
                <w:lang w:val="en-US" w:eastAsia="zh-CN"/>
              </w:rPr>
              <w:t>不属</w:t>
            </w:r>
            <w:r>
              <w:rPr>
                <w:rFonts w:hint="eastAsia" w:cs="Times New Roman" w:eastAsiaTheme="minorEastAsia"/>
                <w:color w:val="auto"/>
                <w:sz w:val="24"/>
                <w:lang w:val="en-US" w:eastAsia="zh-CN"/>
              </w:rPr>
              <w:t>于</w:t>
            </w:r>
            <w:r>
              <w:rPr>
                <w:rFonts w:hint="eastAsia" w:ascii="宋体" w:hAnsi="宋体" w:eastAsia="宋体" w:cs="宋体"/>
                <w:color w:val="auto"/>
                <w:sz w:val="24"/>
                <w:szCs w:val="24"/>
                <w:lang w:eastAsia="zh-CN"/>
              </w:rPr>
              <w:t>《</w:t>
            </w:r>
            <w:r>
              <w:rPr>
                <w:rFonts w:ascii="宋体" w:hAnsi="宋体" w:eastAsia="宋体" w:cs="宋体"/>
                <w:color w:val="auto"/>
                <w:sz w:val="24"/>
                <w:szCs w:val="24"/>
              </w:rPr>
              <w:t>建设项目环境影响报告表编制技术指南</w:t>
            </w:r>
            <w:r>
              <w:rPr>
                <w:rFonts w:hint="eastAsia" w:ascii="宋体" w:hAnsi="宋体" w:eastAsia="宋体" w:cs="宋体"/>
                <w:color w:val="auto"/>
                <w:sz w:val="24"/>
                <w:szCs w:val="24"/>
                <w:lang w:eastAsia="zh-CN"/>
              </w:rPr>
              <w:t>》（污染影响类）地下水环境保护目标。</w:t>
            </w:r>
          </w:p>
          <w:p w14:paraId="7663EA06">
            <w:pPr>
              <w:pStyle w:val="80"/>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0" w:leftChars="0" w:firstLine="480" w:firstLineChars="200"/>
              <w:textAlignment w:val="auto"/>
              <w:rPr>
                <w:rFonts w:hint="default" w:ascii="Times New Roman" w:hAnsi="Times New Roman" w:eastAsia="宋体" w:cs="Times New Roman"/>
                <w:snapToGrid w:val="0"/>
                <w:color w:val="auto"/>
                <w:kern w:val="2"/>
                <w:sz w:val="24"/>
                <w:szCs w:val="24"/>
                <w:highlight w:val="none"/>
                <w:lang w:val="en-US" w:eastAsia="zh-CN" w:bidi="ar-SA"/>
              </w:rPr>
            </w:pPr>
            <w:r>
              <w:rPr>
                <w:rFonts w:hint="eastAsia" w:ascii="Times New Roman" w:hAnsi="Times New Roman" w:eastAsia="宋体" w:cs="Times New Roman"/>
                <w:snapToGrid w:val="0"/>
                <w:color w:val="auto"/>
                <w:kern w:val="2"/>
                <w:sz w:val="24"/>
                <w:szCs w:val="24"/>
                <w:highlight w:val="none"/>
                <w:lang w:val="en-US" w:eastAsia="zh-CN" w:bidi="ar-SA"/>
              </w:rPr>
              <w:t>4</w:t>
            </w:r>
            <w:r>
              <w:rPr>
                <w:rFonts w:hint="default" w:ascii="Times New Roman" w:hAnsi="Times New Roman" w:eastAsia="宋体" w:cs="Times New Roman"/>
                <w:snapToGrid w:val="0"/>
                <w:color w:val="auto"/>
                <w:kern w:val="2"/>
                <w:sz w:val="24"/>
                <w:szCs w:val="24"/>
                <w:highlight w:val="none"/>
                <w:lang w:val="en-US" w:eastAsia="zh-CN" w:bidi="ar-SA"/>
              </w:rPr>
              <w:t>、生态环境保护目标</w:t>
            </w:r>
          </w:p>
          <w:p w14:paraId="0BEA2F7D">
            <w:pPr>
              <w:pStyle w:val="80"/>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0" w:leftChars="0" w:firstLine="480" w:firstLineChars="200"/>
              <w:textAlignment w:val="auto"/>
              <w:rPr>
                <w:rFonts w:ascii="Times New Roman" w:hAnsi="Times New Roman" w:eastAsia="宋体" w:cs="Times New Roman"/>
                <w:color w:val="auto"/>
              </w:rPr>
            </w:pPr>
            <w:r>
              <w:rPr>
                <w:rFonts w:hint="default" w:ascii="Times New Roman" w:hAnsi="Times New Roman" w:eastAsia="宋体" w:cs="Times New Roman"/>
                <w:snapToGrid w:val="0"/>
                <w:color w:val="auto"/>
                <w:kern w:val="2"/>
                <w:sz w:val="24"/>
                <w:szCs w:val="24"/>
                <w:highlight w:val="none"/>
                <w:lang w:val="en-US" w:eastAsia="zh-CN" w:bidi="ar-SA"/>
              </w:rPr>
              <w:t>本项目占地范围内无特殊生态敏感区及重要生态敏感区等生态环境保护目标。</w:t>
            </w:r>
          </w:p>
        </w:tc>
      </w:tr>
      <w:tr w14:paraId="4F903F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374" w:type="pct"/>
            <w:vAlign w:val="center"/>
          </w:tcPr>
          <w:p w14:paraId="0B45BF7D">
            <w:pPr>
              <w:adjustRightInd w:val="0"/>
              <w:snapToGrid w:val="0"/>
              <w:jc w:val="center"/>
              <w:rPr>
                <w:b/>
                <w:bCs/>
                <w:color w:val="auto"/>
                <w:kern w:val="0"/>
                <w:szCs w:val="21"/>
              </w:rPr>
            </w:pPr>
            <w:r>
              <w:rPr>
                <w:rFonts w:hint="default" w:ascii="Times New Roman" w:hAnsi="Times New Roman" w:eastAsia="宋体" w:cs="Times New Roman"/>
                <w:b/>
                <w:bCs/>
                <w:color w:val="auto"/>
                <w:kern w:val="0"/>
                <w:szCs w:val="21"/>
              </w:rPr>
              <w:t>污染物排放控制标准</w:t>
            </w:r>
          </w:p>
        </w:tc>
        <w:tc>
          <w:tcPr>
            <w:tcW w:w="4625" w:type="pct"/>
            <w:vAlign w:val="center"/>
          </w:tcPr>
          <w:p w14:paraId="017E8BD0">
            <w:pPr>
              <w:keepLines w:val="0"/>
              <w:pageBreakBefore w:val="0"/>
              <w:numPr>
                <w:ilvl w:val="0"/>
                <w:numId w:val="0"/>
              </w:numPr>
              <w:topLinePunct w:val="0"/>
              <w:bidi w:val="0"/>
              <w:spacing w:beforeAutospacing="0" w:afterAutospacing="0" w:line="360" w:lineRule="auto"/>
              <w:ind w:leftChars="200" w:right="0" w:rightChars="0"/>
              <w:rPr>
                <w:rFonts w:hint="eastAsia" w:ascii="Times New Roman" w:hAnsi="Times New Roman" w:eastAsia="宋体" w:cs="Times New Roman"/>
                <w:color w:val="auto"/>
                <w:kern w:val="0"/>
                <w:sz w:val="24"/>
                <w:szCs w:val="24"/>
                <w:lang w:eastAsia="zh-CN"/>
              </w:rPr>
            </w:pPr>
            <w:r>
              <w:rPr>
                <w:rFonts w:hint="eastAsia" w:ascii="Times New Roman" w:hAnsi="Times New Roman" w:cs="Times New Roman" w:eastAsiaTheme="minorEastAsia"/>
                <w:b w:val="0"/>
                <w:bCs w:val="0"/>
                <w:color w:val="auto"/>
                <w:sz w:val="24"/>
                <w:lang w:val="en-US" w:eastAsia="zh-CN"/>
              </w:rPr>
              <w:t>1、</w:t>
            </w:r>
            <w:r>
              <w:rPr>
                <w:rFonts w:hint="default" w:ascii="Times New Roman" w:hAnsi="Times New Roman" w:cs="Times New Roman" w:eastAsiaTheme="minorEastAsia"/>
                <w:b w:val="0"/>
                <w:bCs w:val="0"/>
                <w:color w:val="auto"/>
                <w:sz w:val="24"/>
                <w:lang w:val="en-US" w:eastAsia="zh-CN"/>
              </w:rPr>
              <w:t>废气排放标准</w:t>
            </w:r>
            <w:bookmarkStart w:id="14" w:name="_Toc10181"/>
            <w:bookmarkStart w:id="15" w:name="_Toc6193"/>
            <w:bookmarkStart w:id="16" w:name="_Toc513990587"/>
            <w:bookmarkStart w:id="17" w:name="_Toc27943530"/>
            <w:bookmarkStart w:id="18" w:name="_Toc17923"/>
          </w:p>
          <w:p w14:paraId="7511E658">
            <w:pPr>
              <w:keepLines w:val="0"/>
              <w:pageBreakBefore w:val="0"/>
              <w:topLinePunct w:val="0"/>
              <w:bidi w:val="0"/>
              <w:spacing w:beforeAutospacing="0" w:afterAutospacing="0" w:line="360" w:lineRule="auto"/>
              <w:ind w:left="0" w:leftChars="0" w:right="0" w:rightChars="0" w:firstLine="480" w:firstLineChars="200"/>
              <w:rPr>
                <w:rFonts w:hint="default" w:cs="Times New Roman"/>
                <w:color w:val="auto"/>
                <w:kern w:val="0"/>
                <w:sz w:val="24"/>
                <w:szCs w:val="24"/>
                <w:lang w:val="en-US" w:eastAsia="zh-CN"/>
              </w:rPr>
            </w:pPr>
            <w:r>
              <w:rPr>
                <w:rFonts w:hint="eastAsia" w:ascii="Times New Roman" w:hAnsi="Times New Roman" w:eastAsia="宋体" w:cs="Times New Roman"/>
                <w:color w:val="auto"/>
                <w:kern w:val="0"/>
                <w:sz w:val="24"/>
                <w:szCs w:val="24"/>
                <w:lang w:eastAsia="zh-CN"/>
              </w:rPr>
              <w:t>本项目营运期</w:t>
            </w:r>
            <w:r>
              <w:rPr>
                <w:rFonts w:hint="eastAsia" w:cs="Times New Roman"/>
                <w:color w:val="auto"/>
                <w:kern w:val="0"/>
                <w:sz w:val="24"/>
                <w:szCs w:val="24"/>
                <w:lang w:val="en-US" w:eastAsia="zh-CN"/>
              </w:rPr>
              <w:t>燃生物质</w:t>
            </w:r>
            <w:r>
              <w:rPr>
                <w:rFonts w:hint="eastAsia" w:ascii="Times New Roman" w:hAnsi="Times New Roman" w:eastAsia="宋体" w:cs="Times New Roman"/>
                <w:color w:val="auto"/>
                <w:kern w:val="0"/>
                <w:sz w:val="24"/>
                <w:szCs w:val="24"/>
                <w:lang w:eastAsia="zh-CN"/>
              </w:rPr>
              <w:t>蒸汽锅炉产生SO</w:t>
            </w:r>
            <w:r>
              <w:rPr>
                <w:rFonts w:hint="eastAsia" w:ascii="Times New Roman" w:hAnsi="Times New Roman" w:eastAsia="宋体" w:cs="Times New Roman"/>
                <w:color w:val="auto"/>
                <w:kern w:val="0"/>
                <w:sz w:val="24"/>
                <w:szCs w:val="24"/>
                <w:vertAlign w:val="subscript"/>
                <w:lang w:eastAsia="zh-CN"/>
              </w:rPr>
              <w:t>2</w:t>
            </w:r>
            <w:r>
              <w:rPr>
                <w:rFonts w:hint="eastAsia" w:ascii="Times New Roman" w:hAnsi="Times New Roman" w:eastAsia="宋体" w:cs="Times New Roman"/>
                <w:color w:val="auto"/>
                <w:kern w:val="0"/>
                <w:sz w:val="24"/>
                <w:szCs w:val="24"/>
                <w:lang w:eastAsia="zh-CN"/>
              </w:rPr>
              <w:t>、NOx、颗粒物排放执行《锅炉大气污染物排放标准》（GB13271-2014）表</w:t>
            </w:r>
            <w:r>
              <w:rPr>
                <w:rFonts w:hint="eastAsia" w:ascii="Times New Roman" w:hAnsi="Times New Roman" w:eastAsia="宋体" w:cs="Times New Roman"/>
                <w:color w:val="auto"/>
                <w:kern w:val="0"/>
                <w:sz w:val="24"/>
                <w:szCs w:val="24"/>
                <w:lang w:val="en-US" w:eastAsia="zh-CN"/>
              </w:rPr>
              <w:t>2</w:t>
            </w:r>
            <w:r>
              <w:rPr>
                <w:rFonts w:hint="eastAsia" w:ascii="Times New Roman" w:hAnsi="Times New Roman" w:eastAsia="宋体" w:cs="Times New Roman"/>
                <w:color w:val="auto"/>
                <w:kern w:val="0"/>
                <w:sz w:val="24"/>
                <w:szCs w:val="24"/>
                <w:lang w:eastAsia="zh-CN"/>
              </w:rPr>
              <w:t>中燃煤锅炉大气污染物排放限值标准要求</w:t>
            </w:r>
            <w:r>
              <w:rPr>
                <w:rFonts w:hint="eastAsia" w:cs="Times New Roman"/>
                <w:color w:val="auto"/>
                <w:kern w:val="0"/>
                <w:sz w:val="24"/>
                <w:szCs w:val="24"/>
                <w:lang w:eastAsia="zh-CN"/>
              </w:rPr>
              <w:t>。</w:t>
            </w:r>
            <w:r>
              <w:rPr>
                <w:rFonts w:hint="eastAsia" w:cs="Times New Roman"/>
                <w:color w:val="auto"/>
                <w:kern w:val="0"/>
                <w:sz w:val="24"/>
                <w:szCs w:val="24"/>
                <w:lang w:val="en-US" w:eastAsia="zh-CN"/>
              </w:rPr>
              <w:t>无组织</w:t>
            </w:r>
            <w:r>
              <w:rPr>
                <w:rFonts w:hint="eastAsia" w:ascii="Times New Roman" w:hAnsi="Times New Roman" w:eastAsia="宋体" w:cs="Times New Roman"/>
                <w:color w:val="auto"/>
                <w:kern w:val="0"/>
                <w:sz w:val="24"/>
                <w:szCs w:val="24"/>
                <w:lang w:eastAsia="zh-CN"/>
              </w:rPr>
              <w:t>臭气浓度排放执行《恶臭污染物排放标准》（GB14554-93）表1恶臭污染物厂界标准值</w:t>
            </w:r>
            <w:r>
              <w:rPr>
                <w:rFonts w:hint="eastAsia" w:cs="Times New Roman"/>
                <w:color w:val="auto"/>
                <w:kern w:val="0"/>
                <w:sz w:val="24"/>
                <w:szCs w:val="24"/>
                <w:lang w:eastAsia="zh-CN"/>
              </w:rPr>
              <w:t>。</w:t>
            </w:r>
            <w:r>
              <w:rPr>
                <w:rFonts w:hint="eastAsia" w:cs="Times New Roman"/>
                <w:color w:val="auto"/>
                <w:kern w:val="0"/>
                <w:sz w:val="24"/>
                <w:szCs w:val="24"/>
                <w:lang w:val="en-US" w:eastAsia="zh-CN"/>
              </w:rPr>
              <w:t>厂界无组织颗粒物排放执行</w:t>
            </w:r>
            <w:r>
              <w:rPr>
                <w:rFonts w:hint="eastAsia" w:ascii="Times New Roman" w:hAnsi="Times New Roman" w:eastAsia="宋体" w:cs="Times New Roman"/>
                <w:bCs/>
                <w:color w:val="auto"/>
                <w:sz w:val="24"/>
                <w:highlight w:val="none"/>
                <w:lang w:eastAsia="zh-CN"/>
              </w:rPr>
              <w:t>《大气污染物综合排放标准》（GB16297-1996）表2中</w:t>
            </w:r>
            <w:r>
              <w:rPr>
                <w:rFonts w:hint="eastAsia" w:ascii="Times New Roman" w:hAnsi="Times New Roman" w:eastAsia="宋体" w:cs="Times New Roman"/>
                <w:bCs/>
                <w:color w:val="auto"/>
                <w:sz w:val="24"/>
                <w:highlight w:val="none"/>
                <w:lang w:val="en-US" w:eastAsia="zh-CN"/>
              </w:rPr>
              <w:t>无组织排放监控浓度限值</w:t>
            </w:r>
            <w:r>
              <w:rPr>
                <w:rFonts w:hint="eastAsia"/>
                <w:color w:val="auto"/>
                <w:sz w:val="24"/>
                <w:highlight w:val="none"/>
                <w:lang w:eastAsia="zh-CN"/>
              </w:rPr>
              <w:t>要求。</w:t>
            </w:r>
          </w:p>
          <w:p w14:paraId="23AE0ED9">
            <w:pPr>
              <w:keepLines w:val="0"/>
              <w:pageBreakBefore w:val="0"/>
              <w:topLinePunct w:val="0"/>
              <w:bidi w:val="0"/>
              <w:spacing w:beforeAutospacing="0" w:afterAutospacing="0" w:line="360" w:lineRule="auto"/>
              <w:ind w:left="0" w:leftChars="0" w:right="0" w:rightChars="0" w:firstLine="480" w:firstLineChars="200"/>
              <w:rPr>
                <w:rFonts w:hint="default" w:ascii="Times New Roman" w:hAnsi="Times New Roman" w:cs="Times New Roman" w:eastAsiaTheme="minorEastAsia"/>
                <w:color w:val="auto"/>
                <w:sz w:val="24"/>
              </w:rPr>
            </w:pPr>
            <w:r>
              <w:rPr>
                <w:rFonts w:hint="eastAsia" w:ascii="Times New Roman" w:hAnsi="Times New Roman" w:eastAsia="宋体" w:cs="Times New Roman"/>
                <w:color w:val="auto"/>
                <w:kern w:val="0"/>
                <w:sz w:val="24"/>
                <w:szCs w:val="24"/>
                <w:lang w:val="en-US" w:eastAsia="zh-CN"/>
              </w:rPr>
              <w:t>锅炉大气污染物排放标准见表3-</w:t>
            </w:r>
            <w:r>
              <w:rPr>
                <w:rFonts w:hint="eastAsia" w:cs="Times New Roman"/>
                <w:color w:val="auto"/>
                <w:kern w:val="0"/>
                <w:sz w:val="24"/>
                <w:szCs w:val="24"/>
                <w:lang w:val="en-US" w:eastAsia="zh-CN"/>
              </w:rPr>
              <w:t>8</w:t>
            </w:r>
            <w:r>
              <w:rPr>
                <w:rFonts w:hint="eastAsia" w:ascii="Times New Roman" w:hAnsi="Times New Roman" w:eastAsia="宋体" w:cs="Times New Roman"/>
                <w:color w:val="auto"/>
                <w:kern w:val="0"/>
                <w:sz w:val="24"/>
                <w:szCs w:val="24"/>
                <w:lang w:val="en-US" w:eastAsia="zh-CN"/>
              </w:rPr>
              <w:t>，</w:t>
            </w:r>
            <w:r>
              <w:rPr>
                <w:rFonts w:hint="eastAsia" w:cs="Times New Roman"/>
                <w:color w:val="auto"/>
                <w:kern w:val="0"/>
                <w:sz w:val="24"/>
                <w:szCs w:val="24"/>
                <w:lang w:val="en-US" w:eastAsia="zh-CN"/>
              </w:rPr>
              <w:t>锅炉房烟囱最低允许高度见表3-9，</w:t>
            </w:r>
            <w:r>
              <w:rPr>
                <w:rFonts w:hint="eastAsia" w:ascii="Times New Roman" w:hAnsi="Times New Roman" w:eastAsia="宋体" w:cs="Times New Roman"/>
                <w:color w:val="auto"/>
                <w:kern w:val="0"/>
                <w:sz w:val="24"/>
                <w:szCs w:val="24"/>
                <w:lang w:val="en-US" w:eastAsia="zh-CN"/>
              </w:rPr>
              <w:t>恶臭污染物排放标准见表3-</w:t>
            </w:r>
            <w:r>
              <w:rPr>
                <w:rFonts w:hint="eastAsia" w:cs="Times New Roman"/>
                <w:color w:val="auto"/>
                <w:kern w:val="0"/>
                <w:sz w:val="24"/>
                <w:szCs w:val="24"/>
                <w:lang w:val="en-US" w:eastAsia="zh-CN"/>
              </w:rPr>
              <w:t>10，大气污染物综合排放标准见表3-11</w:t>
            </w:r>
            <w:r>
              <w:rPr>
                <w:rFonts w:hint="default" w:ascii="Times New Roman" w:hAnsi="Times New Roman" w:cs="Times New Roman" w:eastAsiaTheme="minorEastAsia"/>
                <w:color w:val="auto"/>
                <w:sz w:val="24"/>
              </w:rPr>
              <w:t>。</w:t>
            </w:r>
          </w:p>
          <w:p w14:paraId="5257808A">
            <w:pPr>
              <w:pStyle w:val="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2" w:firstLineChars="200"/>
              <w:jc w:val="center"/>
              <w:textAlignment w:val="auto"/>
              <w:rPr>
                <w:rFonts w:hint="default" w:ascii="Times New Roman" w:hAnsi="Times New Roman" w:cs="Times New Roman" w:eastAsiaTheme="minorEastAsia"/>
                <w:b/>
                <w:bCs/>
                <w:color w:val="auto"/>
                <w:kern w:val="2"/>
                <w:sz w:val="21"/>
                <w:szCs w:val="24"/>
                <w:highlight w:val="none"/>
                <w:lang w:val="en-US" w:eastAsia="zh-CN" w:bidi="ar-SA"/>
              </w:rPr>
            </w:pPr>
            <w:r>
              <w:rPr>
                <w:rFonts w:hint="eastAsia" w:ascii="Times New Roman" w:hAnsi="Times New Roman" w:cs="Times New Roman" w:eastAsiaTheme="minorEastAsia"/>
                <w:b/>
                <w:bCs/>
                <w:color w:val="auto"/>
                <w:kern w:val="2"/>
                <w:sz w:val="21"/>
                <w:szCs w:val="24"/>
                <w:highlight w:val="none"/>
                <w:lang w:val="en-US" w:eastAsia="zh-CN" w:bidi="ar-SA"/>
              </w:rPr>
              <w:t>表3-</w:t>
            </w:r>
            <w:r>
              <w:rPr>
                <w:rFonts w:hint="eastAsia" w:cs="Times New Roman" w:eastAsiaTheme="minorEastAsia"/>
                <w:b/>
                <w:bCs/>
                <w:color w:val="auto"/>
                <w:kern w:val="2"/>
                <w:sz w:val="21"/>
                <w:szCs w:val="24"/>
                <w:highlight w:val="none"/>
                <w:lang w:val="en-US" w:eastAsia="zh-CN" w:bidi="ar-SA"/>
              </w:rPr>
              <w:t>8</w:t>
            </w:r>
            <w:r>
              <w:rPr>
                <w:rFonts w:hint="eastAsia" w:ascii="Times New Roman" w:hAnsi="Times New Roman" w:cs="Times New Roman" w:eastAsiaTheme="minorEastAsia"/>
                <w:b/>
                <w:bCs/>
                <w:color w:val="auto"/>
                <w:kern w:val="2"/>
                <w:sz w:val="21"/>
                <w:szCs w:val="24"/>
                <w:highlight w:val="none"/>
                <w:lang w:val="en-US" w:eastAsia="zh-CN" w:bidi="ar-SA"/>
              </w:rPr>
              <w:t xml:space="preserve">  锅炉大气污染物排放标准</w:t>
            </w:r>
          </w:p>
          <w:tbl>
            <w:tblPr>
              <w:tblStyle w:val="3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11"/>
              <w:gridCol w:w="1841"/>
              <w:gridCol w:w="3011"/>
            </w:tblGrid>
            <w:tr w14:paraId="11CAB2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8" w:type="pct"/>
                  <w:vMerge w:val="restart"/>
                  <w:shd w:val="clear" w:color="auto" w:fill="auto"/>
                  <w:noWrap w:val="0"/>
                  <w:vAlign w:val="center"/>
                </w:tcPr>
                <w:p w14:paraId="3BB73E4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r>
                    <w:rPr>
                      <w:rFonts w:hint="default" w:ascii="Times New Roman" w:hAnsi="Times New Roman" w:cs="Times New Roman"/>
                      <w:bCs/>
                      <w:color w:val="auto"/>
                    </w:rPr>
                    <w:t>标准名称</w:t>
                  </w:r>
                </w:p>
              </w:tc>
              <w:tc>
                <w:tcPr>
                  <w:tcW w:w="2971" w:type="pct"/>
                  <w:gridSpan w:val="2"/>
                  <w:shd w:val="clear" w:color="auto" w:fill="auto"/>
                  <w:noWrap w:val="0"/>
                  <w:vAlign w:val="center"/>
                </w:tcPr>
                <w:p w14:paraId="6A24E4A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r>
                    <w:rPr>
                      <w:rFonts w:hint="default" w:ascii="Times New Roman" w:hAnsi="Times New Roman" w:cs="Times New Roman"/>
                      <w:bCs/>
                      <w:color w:val="auto"/>
                    </w:rPr>
                    <w:t>标准限值</w:t>
                  </w:r>
                </w:p>
              </w:tc>
            </w:tr>
            <w:tr w14:paraId="35C052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8" w:type="pct"/>
                  <w:vMerge w:val="continue"/>
                  <w:shd w:val="clear" w:color="auto" w:fill="auto"/>
                  <w:noWrap w:val="0"/>
                  <w:vAlign w:val="center"/>
                </w:tcPr>
                <w:p w14:paraId="3E4A708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p>
              </w:tc>
              <w:tc>
                <w:tcPr>
                  <w:tcW w:w="1127" w:type="pct"/>
                  <w:shd w:val="clear" w:color="auto" w:fill="auto"/>
                  <w:noWrap w:val="0"/>
                  <w:vAlign w:val="center"/>
                </w:tcPr>
                <w:p w14:paraId="2309416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lang w:eastAsia="zh-CN"/>
                    </w:rPr>
                  </w:pPr>
                  <w:r>
                    <w:rPr>
                      <w:rFonts w:hint="eastAsia" w:cs="Times New Roman"/>
                      <w:bCs/>
                      <w:color w:val="auto"/>
                      <w:lang w:eastAsia="zh-CN"/>
                    </w:rPr>
                    <w:t>污染物</w:t>
                  </w:r>
                </w:p>
              </w:tc>
              <w:tc>
                <w:tcPr>
                  <w:tcW w:w="1843" w:type="pct"/>
                  <w:shd w:val="clear" w:color="auto" w:fill="auto"/>
                  <w:noWrap w:val="0"/>
                  <w:vAlign w:val="center"/>
                </w:tcPr>
                <w:p w14:paraId="128E350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r>
                    <w:rPr>
                      <w:rFonts w:hint="default" w:ascii="Times New Roman" w:hAnsi="Times New Roman" w:cs="Times New Roman"/>
                      <w:bCs/>
                      <w:color w:val="auto"/>
                    </w:rPr>
                    <w:t>浓度限值</w:t>
                  </w:r>
                </w:p>
              </w:tc>
            </w:tr>
            <w:tr w14:paraId="332CC3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8" w:type="pct"/>
                  <w:vMerge w:val="restart"/>
                  <w:shd w:val="clear" w:color="auto" w:fill="auto"/>
                  <w:noWrap w:val="0"/>
                  <w:vAlign w:val="center"/>
                </w:tcPr>
                <w:p w14:paraId="579F59F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r>
                    <w:rPr>
                      <w:rFonts w:hint="eastAsia" w:ascii="Times New Roman" w:hAnsi="Times New Roman" w:eastAsia="宋体" w:cs="Times New Roman"/>
                      <w:bCs/>
                      <w:color w:val="auto"/>
                      <w:lang w:eastAsia="zh-CN"/>
                    </w:rPr>
                    <w:t>《锅炉大气污染物排放标准》（GB13271-2014）表</w:t>
                  </w:r>
                  <w:r>
                    <w:rPr>
                      <w:rFonts w:hint="eastAsia" w:ascii="Times New Roman" w:hAnsi="Times New Roman" w:eastAsia="宋体" w:cs="Times New Roman"/>
                      <w:bCs/>
                      <w:color w:val="auto"/>
                      <w:lang w:val="en-US" w:eastAsia="zh-CN"/>
                    </w:rPr>
                    <w:t>2</w:t>
                  </w:r>
                  <w:r>
                    <w:rPr>
                      <w:rFonts w:hint="eastAsia" w:ascii="Times New Roman" w:hAnsi="Times New Roman" w:eastAsia="宋体" w:cs="Times New Roman"/>
                      <w:bCs/>
                      <w:color w:val="auto"/>
                      <w:lang w:eastAsia="zh-CN"/>
                    </w:rPr>
                    <w:t>中燃煤锅炉大气污染物排放限值标准要求</w:t>
                  </w:r>
                </w:p>
              </w:tc>
              <w:tc>
                <w:tcPr>
                  <w:tcW w:w="1127" w:type="pct"/>
                  <w:shd w:val="clear" w:color="auto" w:fill="auto"/>
                  <w:noWrap w:val="0"/>
                  <w:vAlign w:val="center"/>
                </w:tcPr>
                <w:p w14:paraId="7FD6ABC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lang w:eastAsia="zh-CN"/>
                    </w:rPr>
                  </w:pPr>
                  <w:r>
                    <w:rPr>
                      <w:rFonts w:hint="eastAsia" w:cs="Times New Roman"/>
                      <w:bCs/>
                      <w:color w:val="auto"/>
                      <w:lang w:eastAsia="zh-CN"/>
                    </w:rPr>
                    <w:t>颗粒物</w:t>
                  </w:r>
                </w:p>
              </w:tc>
              <w:tc>
                <w:tcPr>
                  <w:tcW w:w="1843" w:type="pct"/>
                  <w:shd w:val="clear" w:color="auto" w:fill="auto"/>
                  <w:noWrap w:val="0"/>
                  <w:vAlign w:val="center"/>
                </w:tcPr>
                <w:p w14:paraId="5B8287B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r>
                    <w:rPr>
                      <w:rFonts w:hint="eastAsia" w:cs="Times New Roman"/>
                      <w:bCs/>
                      <w:color w:val="auto"/>
                      <w:lang w:val="en-US" w:eastAsia="zh-CN"/>
                    </w:rPr>
                    <w:t>50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p>
              </w:tc>
            </w:tr>
            <w:tr w14:paraId="375173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8" w:type="pct"/>
                  <w:vMerge w:val="continue"/>
                  <w:shd w:val="clear" w:color="auto" w:fill="auto"/>
                  <w:noWrap w:val="0"/>
                  <w:vAlign w:val="center"/>
                </w:tcPr>
                <w:p w14:paraId="4798755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p>
              </w:tc>
              <w:tc>
                <w:tcPr>
                  <w:tcW w:w="1127" w:type="pct"/>
                  <w:shd w:val="clear" w:color="auto" w:fill="auto"/>
                  <w:noWrap w:val="0"/>
                  <w:vAlign w:val="center"/>
                </w:tcPr>
                <w:p w14:paraId="5698B8C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4"/>
                      <w:lang w:val="en-US" w:eastAsia="zh-CN" w:bidi="ar-SA"/>
                    </w:rPr>
                  </w:pPr>
                  <w:r>
                    <w:rPr>
                      <w:rFonts w:hint="default" w:ascii="Times New Roman" w:hAnsi="Times New Roman" w:cs="Times New Roman"/>
                      <w:bCs/>
                      <w:color w:val="auto"/>
                    </w:rPr>
                    <w:t>SO</w:t>
                  </w:r>
                  <w:r>
                    <w:rPr>
                      <w:rFonts w:hint="default" w:ascii="Times New Roman" w:hAnsi="Times New Roman" w:cs="Times New Roman"/>
                      <w:bCs/>
                      <w:color w:val="auto"/>
                      <w:vertAlign w:val="subscript"/>
                    </w:rPr>
                    <w:t>2</w:t>
                  </w:r>
                </w:p>
              </w:tc>
              <w:tc>
                <w:tcPr>
                  <w:tcW w:w="1843" w:type="pct"/>
                  <w:shd w:val="clear" w:color="auto" w:fill="auto"/>
                  <w:noWrap w:val="0"/>
                  <w:vAlign w:val="center"/>
                </w:tcPr>
                <w:p w14:paraId="18F17F8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cs="Times New Roman"/>
                      <w:bCs/>
                      <w:color w:val="auto"/>
                      <w:lang w:val="en-US" w:eastAsia="zh-CN"/>
                    </w:rPr>
                    <w:t>300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p>
              </w:tc>
            </w:tr>
            <w:tr w14:paraId="2D2BAA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8" w:type="pct"/>
                  <w:vMerge w:val="continue"/>
                  <w:shd w:val="clear" w:color="auto" w:fill="auto"/>
                  <w:noWrap w:val="0"/>
                  <w:vAlign w:val="center"/>
                </w:tcPr>
                <w:p w14:paraId="2936817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p>
              </w:tc>
              <w:tc>
                <w:tcPr>
                  <w:tcW w:w="1127" w:type="pct"/>
                  <w:shd w:val="clear" w:color="auto" w:fill="auto"/>
                  <w:noWrap w:val="0"/>
                  <w:vAlign w:val="center"/>
                </w:tcPr>
                <w:p w14:paraId="018E7F1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lang w:eastAsia="zh-CN"/>
                    </w:rPr>
                    <w:t>NOx</w:t>
                  </w:r>
                </w:p>
              </w:tc>
              <w:tc>
                <w:tcPr>
                  <w:tcW w:w="1843" w:type="pct"/>
                  <w:shd w:val="clear" w:color="auto" w:fill="auto"/>
                  <w:noWrap w:val="0"/>
                  <w:vAlign w:val="center"/>
                </w:tcPr>
                <w:p w14:paraId="2AD949D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cs="Times New Roman"/>
                      <w:bCs/>
                      <w:color w:val="auto"/>
                      <w:lang w:val="en-US" w:eastAsia="zh-CN"/>
                    </w:rPr>
                    <w:t>300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p>
              </w:tc>
            </w:tr>
            <w:tr w14:paraId="34B8BE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8" w:type="pct"/>
                  <w:vMerge w:val="continue"/>
                  <w:shd w:val="clear" w:color="auto" w:fill="auto"/>
                  <w:noWrap w:val="0"/>
                  <w:vAlign w:val="center"/>
                </w:tcPr>
                <w:p w14:paraId="237B07D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p>
              </w:tc>
              <w:tc>
                <w:tcPr>
                  <w:tcW w:w="1127" w:type="pct"/>
                  <w:shd w:val="clear" w:color="auto" w:fill="auto"/>
                  <w:noWrap w:val="0"/>
                  <w:vAlign w:val="center"/>
                </w:tcPr>
                <w:p w14:paraId="2F80814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4"/>
                      <w:lang w:val="en-US" w:eastAsia="zh-CN" w:bidi="ar-SA"/>
                    </w:rPr>
                  </w:pPr>
                  <w:r>
                    <w:rPr>
                      <w:rFonts w:hint="default" w:ascii="Times New Roman" w:hAnsi="Times New Roman" w:cs="Times New Roman"/>
                      <w:bCs/>
                      <w:color w:val="auto"/>
                      <w:lang w:eastAsia="zh-CN"/>
                    </w:rPr>
                    <w:t>林格曼黑度</w:t>
                  </w:r>
                </w:p>
              </w:tc>
              <w:tc>
                <w:tcPr>
                  <w:tcW w:w="1843" w:type="pct"/>
                  <w:shd w:val="clear" w:color="auto" w:fill="auto"/>
                  <w:noWrap w:val="0"/>
                  <w:vAlign w:val="center"/>
                </w:tcPr>
                <w:p w14:paraId="7E9E8AC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4"/>
                      <w:lang w:val="en-US" w:eastAsia="zh-CN" w:bidi="ar-SA"/>
                    </w:rPr>
                  </w:pPr>
                  <w:r>
                    <w:rPr>
                      <w:rFonts w:hint="default" w:ascii="Times New Roman" w:hAnsi="Times New Roman" w:cs="Times New Roman"/>
                      <w:bCs/>
                      <w:color w:val="auto"/>
                      <w:lang w:eastAsia="zh-CN"/>
                    </w:rPr>
                    <w:t>≤</w:t>
                  </w:r>
                  <w:r>
                    <w:rPr>
                      <w:rFonts w:hint="default" w:ascii="Times New Roman" w:hAnsi="Times New Roman" w:cs="Times New Roman"/>
                      <w:bCs/>
                      <w:color w:val="auto"/>
                      <w:lang w:val="en-US" w:eastAsia="zh-CN"/>
                    </w:rPr>
                    <w:t>1级</w:t>
                  </w:r>
                </w:p>
              </w:tc>
            </w:tr>
          </w:tbl>
          <w:p w14:paraId="10C55820">
            <w:pPr>
              <w:pStyle w:val="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2" w:firstLineChars="200"/>
              <w:jc w:val="center"/>
              <w:textAlignment w:val="auto"/>
              <w:rPr>
                <w:rFonts w:hint="eastAsia" w:ascii="Times New Roman" w:hAnsi="Times New Roman" w:cs="Times New Roman" w:eastAsiaTheme="minorEastAsia"/>
                <w:b/>
                <w:bCs/>
                <w:color w:val="auto"/>
                <w:kern w:val="2"/>
                <w:sz w:val="21"/>
                <w:szCs w:val="24"/>
                <w:highlight w:val="none"/>
                <w:lang w:val="en-US" w:eastAsia="zh-CN" w:bidi="ar-SA"/>
              </w:rPr>
            </w:pPr>
            <w:r>
              <w:rPr>
                <w:rFonts w:hint="default" w:ascii="Times New Roman" w:hAnsi="Times New Roman" w:cs="Times New Roman" w:eastAsiaTheme="minorEastAsia"/>
                <w:b/>
                <w:bCs/>
                <w:color w:val="auto"/>
                <w:kern w:val="2"/>
                <w:sz w:val="21"/>
                <w:szCs w:val="24"/>
                <w:highlight w:val="none"/>
                <w:lang w:val="en-US" w:eastAsia="zh-CN" w:bidi="ar-SA"/>
              </w:rPr>
              <w:t>表3-</w:t>
            </w:r>
            <w:r>
              <w:rPr>
                <w:rFonts w:hint="eastAsia" w:cs="Times New Roman" w:eastAsiaTheme="minorEastAsia"/>
                <w:b/>
                <w:bCs/>
                <w:color w:val="auto"/>
                <w:kern w:val="2"/>
                <w:sz w:val="21"/>
                <w:szCs w:val="24"/>
                <w:highlight w:val="none"/>
                <w:lang w:val="en-US" w:eastAsia="zh-CN" w:bidi="ar-SA"/>
              </w:rPr>
              <w:t xml:space="preserve">9 </w:t>
            </w:r>
            <w:r>
              <w:rPr>
                <w:rFonts w:hint="default" w:ascii="Times New Roman" w:hAnsi="Times New Roman" w:cs="Times New Roman" w:eastAsiaTheme="minorEastAsia"/>
                <w:b/>
                <w:bCs/>
                <w:color w:val="auto"/>
                <w:kern w:val="2"/>
                <w:sz w:val="21"/>
                <w:szCs w:val="24"/>
                <w:highlight w:val="none"/>
                <w:lang w:val="en-US" w:eastAsia="zh-CN" w:bidi="ar-SA"/>
              </w:rPr>
              <w:t xml:space="preserve"> </w:t>
            </w:r>
            <w:r>
              <w:rPr>
                <w:rFonts w:hint="eastAsia" w:cs="Times New Roman" w:eastAsiaTheme="minorEastAsia"/>
                <w:b/>
                <w:bCs/>
                <w:color w:val="auto"/>
                <w:kern w:val="2"/>
                <w:sz w:val="21"/>
                <w:szCs w:val="24"/>
                <w:highlight w:val="none"/>
                <w:lang w:val="en-US" w:eastAsia="zh-CN" w:bidi="ar-SA"/>
              </w:rPr>
              <w:t>锅炉房烟囱最低允许高度</w:t>
            </w:r>
          </w:p>
          <w:tbl>
            <w:tblPr>
              <w:tblStyle w:val="33"/>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8"/>
              <w:gridCol w:w="698"/>
              <w:gridCol w:w="845"/>
              <w:gridCol w:w="1186"/>
              <w:gridCol w:w="1175"/>
              <w:gridCol w:w="1021"/>
              <w:gridCol w:w="1332"/>
              <w:gridCol w:w="711"/>
            </w:tblGrid>
            <w:tr w14:paraId="27F44F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 w:hRule="atLeast"/>
              </w:trPr>
              <w:tc>
                <w:tcPr>
                  <w:tcW w:w="733" w:type="pct"/>
                  <w:vMerge w:val="restart"/>
                  <w:tcBorders>
                    <w:tl2br w:val="nil"/>
                    <w:tr2bl w:val="nil"/>
                  </w:tcBorders>
                  <w:vAlign w:val="center"/>
                </w:tcPr>
                <w:p w14:paraId="14066C9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cs="Times New Roman"/>
                      <w:bCs/>
                      <w:color w:val="auto"/>
                      <w:lang w:val="en-US" w:eastAsia="zh-CN"/>
                    </w:rPr>
                  </w:pPr>
                  <w:r>
                    <w:rPr>
                      <w:rFonts w:hint="eastAsia" w:ascii="Times New Roman" w:hAnsi="Times New Roman" w:cs="Times New Roman"/>
                      <w:bCs/>
                      <w:color w:val="auto"/>
                      <w:lang w:val="en-US" w:eastAsia="zh-CN"/>
                    </w:rPr>
                    <w:t>锅炉房装机总容量</w:t>
                  </w:r>
                </w:p>
              </w:tc>
              <w:tc>
                <w:tcPr>
                  <w:tcW w:w="427" w:type="pct"/>
                  <w:tcBorders>
                    <w:tl2br w:val="nil"/>
                    <w:tr2bl w:val="nil"/>
                  </w:tcBorders>
                  <w:vAlign w:val="center"/>
                </w:tcPr>
                <w:p w14:paraId="4AE933D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color w:val="auto"/>
                      <w:lang w:val="en-US" w:eastAsia="zh-CN"/>
                    </w:rPr>
                  </w:pPr>
                  <w:r>
                    <w:rPr>
                      <w:rFonts w:hint="eastAsia"/>
                      <w:color w:val="auto"/>
                      <w:lang w:val="en-US" w:eastAsia="zh-CN"/>
                    </w:rPr>
                    <w:t>MW</w:t>
                  </w:r>
                </w:p>
              </w:tc>
              <w:tc>
                <w:tcPr>
                  <w:tcW w:w="517" w:type="pct"/>
                  <w:tcBorders>
                    <w:tl2br w:val="nil"/>
                    <w:tr2bl w:val="nil"/>
                  </w:tcBorders>
                  <w:vAlign w:val="center"/>
                </w:tcPr>
                <w:p w14:paraId="6388711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＜0.7</w:t>
                  </w:r>
                </w:p>
              </w:tc>
              <w:tc>
                <w:tcPr>
                  <w:tcW w:w="726" w:type="pct"/>
                  <w:tcBorders>
                    <w:tl2br w:val="nil"/>
                    <w:tr2bl w:val="nil"/>
                  </w:tcBorders>
                  <w:vAlign w:val="center"/>
                </w:tcPr>
                <w:p w14:paraId="1AC8EAF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0.7~＜1.4</w:t>
                  </w:r>
                </w:p>
              </w:tc>
              <w:tc>
                <w:tcPr>
                  <w:tcW w:w="719" w:type="pct"/>
                  <w:tcBorders>
                    <w:tl2br w:val="nil"/>
                    <w:tr2bl w:val="nil"/>
                  </w:tcBorders>
                  <w:vAlign w:val="center"/>
                </w:tcPr>
                <w:p w14:paraId="6AC188F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1.4~＜2.8</w:t>
                  </w:r>
                </w:p>
              </w:tc>
              <w:tc>
                <w:tcPr>
                  <w:tcW w:w="625" w:type="pct"/>
                  <w:tcBorders>
                    <w:tl2br w:val="nil"/>
                    <w:tr2bl w:val="nil"/>
                  </w:tcBorders>
                  <w:vAlign w:val="center"/>
                </w:tcPr>
                <w:p w14:paraId="064BE96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2.8~＜7</w:t>
                  </w:r>
                </w:p>
              </w:tc>
              <w:tc>
                <w:tcPr>
                  <w:tcW w:w="815" w:type="pct"/>
                  <w:tcBorders>
                    <w:tl2br w:val="nil"/>
                    <w:tr2bl w:val="nil"/>
                  </w:tcBorders>
                  <w:vAlign w:val="center"/>
                </w:tcPr>
                <w:p w14:paraId="37539A9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7~＜14</w:t>
                  </w:r>
                </w:p>
              </w:tc>
              <w:tc>
                <w:tcPr>
                  <w:tcW w:w="435" w:type="pct"/>
                  <w:tcBorders>
                    <w:tl2br w:val="nil"/>
                    <w:tr2bl w:val="nil"/>
                  </w:tcBorders>
                  <w:vAlign w:val="center"/>
                </w:tcPr>
                <w:p w14:paraId="5BDEC6C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≥14</w:t>
                  </w:r>
                </w:p>
              </w:tc>
            </w:tr>
            <w:tr w14:paraId="286147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33" w:type="pct"/>
                  <w:vMerge w:val="continue"/>
                  <w:tcBorders>
                    <w:tl2br w:val="nil"/>
                    <w:tr2bl w:val="nil"/>
                  </w:tcBorders>
                  <w:vAlign w:val="center"/>
                </w:tcPr>
                <w:p w14:paraId="7C35752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cs="Times New Roman"/>
                      <w:bCs/>
                      <w:color w:val="auto"/>
                      <w:lang w:val="en-US" w:eastAsia="zh-CN"/>
                    </w:rPr>
                  </w:pPr>
                </w:p>
              </w:tc>
              <w:tc>
                <w:tcPr>
                  <w:tcW w:w="427" w:type="pct"/>
                  <w:tcBorders>
                    <w:tl2br w:val="nil"/>
                    <w:tr2bl w:val="nil"/>
                  </w:tcBorders>
                  <w:vAlign w:val="center"/>
                </w:tcPr>
                <w:p w14:paraId="494EAF8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color w:val="auto"/>
                      <w:lang w:val="en-US" w:eastAsia="zh-CN"/>
                    </w:rPr>
                  </w:pPr>
                  <w:r>
                    <w:rPr>
                      <w:rFonts w:hint="eastAsia"/>
                      <w:color w:val="auto"/>
                      <w:lang w:val="en-US" w:eastAsia="zh-CN"/>
                    </w:rPr>
                    <w:t>t/h</w:t>
                  </w:r>
                </w:p>
              </w:tc>
              <w:tc>
                <w:tcPr>
                  <w:tcW w:w="517" w:type="pct"/>
                  <w:tcBorders>
                    <w:tl2br w:val="nil"/>
                    <w:tr2bl w:val="nil"/>
                  </w:tcBorders>
                  <w:vAlign w:val="center"/>
                </w:tcPr>
                <w:p w14:paraId="58B3EBE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＜1</w:t>
                  </w:r>
                </w:p>
              </w:tc>
              <w:tc>
                <w:tcPr>
                  <w:tcW w:w="726" w:type="pct"/>
                  <w:tcBorders>
                    <w:tl2br w:val="nil"/>
                    <w:tr2bl w:val="nil"/>
                  </w:tcBorders>
                  <w:vAlign w:val="center"/>
                </w:tcPr>
                <w:p w14:paraId="71AD2EB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1~＜2</w:t>
                  </w:r>
                </w:p>
              </w:tc>
              <w:tc>
                <w:tcPr>
                  <w:tcW w:w="719" w:type="pct"/>
                  <w:tcBorders>
                    <w:tl2br w:val="nil"/>
                    <w:tr2bl w:val="nil"/>
                  </w:tcBorders>
                  <w:vAlign w:val="center"/>
                </w:tcPr>
                <w:p w14:paraId="0FB74E8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2~＜4</w:t>
                  </w:r>
                </w:p>
              </w:tc>
              <w:tc>
                <w:tcPr>
                  <w:tcW w:w="625" w:type="pct"/>
                  <w:tcBorders>
                    <w:tl2br w:val="nil"/>
                    <w:tr2bl w:val="nil"/>
                  </w:tcBorders>
                  <w:vAlign w:val="center"/>
                </w:tcPr>
                <w:p w14:paraId="464EBEB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4~＜10</w:t>
                  </w:r>
                </w:p>
              </w:tc>
              <w:tc>
                <w:tcPr>
                  <w:tcW w:w="815" w:type="pct"/>
                  <w:tcBorders>
                    <w:tl2br w:val="nil"/>
                    <w:tr2bl w:val="nil"/>
                  </w:tcBorders>
                  <w:vAlign w:val="center"/>
                </w:tcPr>
                <w:p w14:paraId="796B384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10~＜20</w:t>
                  </w:r>
                </w:p>
              </w:tc>
              <w:tc>
                <w:tcPr>
                  <w:tcW w:w="435" w:type="pct"/>
                  <w:tcBorders>
                    <w:tl2br w:val="nil"/>
                    <w:tr2bl w:val="nil"/>
                  </w:tcBorders>
                  <w:vAlign w:val="center"/>
                </w:tcPr>
                <w:p w14:paraId="76824BC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≥20</w:t>
                  </w:r>
                </w:p>
              </w:tc>
            </w:tr>
            <w:tr w14:paraId="76BF16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 w:hRule="atLeast"/>
              </w:trPr>
              <w:tc>
                <w:tcPr>
                  <w:tcW w:w="733" w:type="pct"/>
                  <w:tcBorders>
                    <w:tl2br w:val="nil"/>
                    <w:tr2bl w:val="nil"/>
                  </w:tcBorders>
                  <w:vAlign w:val="center"/>
                </w:tcPr>
                <w:p w14:paraId="0DFBEDF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cs="Times New Roman"/>
                      <w:bCs/>
                      <w:color w:val="auto"/>
                      <w:lang w:val="en-US" w:eastAsia="zh-CN"/>
                    </w:rPr>
                  </w:pPr>
                  <w:r>
                    <w:rPr>
                      <w:rFonts w:hint="eastAsia" w:cs="Times New Roman"/>
                      <w:bCs/>
                      <w:color w:val="auto"/>
                      <w:lang w:val="en-US" w:eastAsia="zh-CN"/>
                    </w:rPr>
                    <w:t>烟囱最低允许高度</w:t>
                  </w:r>
                </w:p>
              </w:tc>
              <w:tc>
                <w:tcPr>
                  <w:tcW w:w="427" w:type="pct"/>
                  <w:tcBorders>
                    <w:tl2br w:val="nil"/>
                    <w:tr2bl w:val="nil"/>
                  </w:tcBorders>
                  <w:vAlign w:val="center"/>
                </w:tcPr>
                <w:p w14:paraId="6BF89B7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m</w:t>
                  </w:r>
                </w:p>
              </w:tc>
              <w:tc>
                <w:tcPr>
                  <w:tcW w:w="517" w:type="pct"/>
                  <w:tcBorders>
                    <w:tl2br w:val="nil"/>
                    <w:tr2bl w:val="nil"/>
                  </w:tcBorders>
                  <w:vAlign w:val="center"/>
                </w:tcPr>
                <w:p w14:paraId="6CDBB4D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20</w:t>
                  </w:r>
                </w:p>
              </w:tc>
              <w:tc>
                <w:tcPr>
                  <w:tcW w:w="726" w:type="pct"/>
                  <w:tcBorders>
                    <w:tl2br w:val="nil"/>
                    <w:tr2bl w:val="nil"/>
                  </w:tcBorders>
                  <w:vAlign w:val="center"/>
                </w:tcPr>
                <w:p w14:paraId="4550B0B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25</w:t>
                  </w:r>
                </w:p>
              </w:tc>
              <w:tc>
                <w:tcPr>
                  <w:tcW w:w="719" w:type="pct"/>
                  <w:tcBorders>
                    <w:tl2br w:val="nil"/>
                    <w:tr2bl w:val="nil"/>
                  </w:tcBorders>
                  <w:vAlign w:val="center"/>
                </w:tcPr>
                <w:p w14:paraId="5C63DED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30</w:t>
                  </w:r>
                </w:p>
              </w:tc>
              <w:tc>
                <w:tcPr>
                  <w:tcW w:w="625" w:type="pct"/>
                  <w:tcBorders>
                    <w:tl2br w:val="nil"/>
                    <w:tr2bl w:val="nil"/>
                  </w:tcBorders>
                  <w:vAlign w:val="center"/>
                </w:tcPr>
                <w:p w14:paraId="79C6325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35</w:t>
                  </w:r>
                </w:p>
              </w:tc>
              <w:tc>
                <w:tcPr>
                  <w:tcW w:w="815" w:type="pct"/>
                  <w:tcBorders>
                    <w:tl2br w:val="nil"/>
                    <w:tr2bl w:val="nil"/>
                  </w:tcBorders>
                  <w:vAlign w:val="center"/>
                </w:tcPr>
                <w:p w14:paraId="10F09FE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40</w:t>
                  </w:r>
                </w:p>
              </w:tc>
              <w:tc>
                <w:tcPr>
                  <w:tcW w:w="435" w:type="pct"/>
                  <w:tcBorders>
                    <w:tl2br w:val="nil"/>
                    <w:tr2bl w:val="nil"/>
                  </w:tcBorders>
                  <w:vAlign w:val="center"/>
                </w:tcPr>
                <w:p w14:paraId="3651632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45</w:t>
                  </w:r>
                </w:p>
              </w:tc>
            </w:tr>
          </w:tbl>
          <w:p w14:paraId="4904ACCB">
            <w:pPr>
              <w:pStyle w:val="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2" w:firstLineChars="200"/>
              <w:jc w:val="center"/>
              <w:textAlignment w:val="auto"/>
              <w:rPr>
                <w:rFonts w:hint="default" w:ascii="Times New Roman" w:hAnsi="Times New Roman" w:cs="Times New Roman" w:eastAsiaTheme="minorEastAsia"/>
                <w:b/>
                <w:bCs/>
                <w:color w:val="auto"/>
                <w:kern w:val="2"/>
                <w:sz w:val="21"/>
                <w:szCs w:val="24"/>
                <w:highlight w:val="none"/>
                <w:lang w:val="en-US" w:eastAsia="zh-CN" w:bidi="ar-SA"/>
              </w:rPr>
            </w:pPr>
            <w:r>
              <w:rPr>
                <w:rFonts w:hint="eastAsia" w:ascii="Times New Roman" w:hAnsi="Times New Roman" w:cs="Times New Roman" w:eastAsiaTheme="minorEastAsia"/>
                <w:b/>
                <w:bCs/>
                <w:color w:val="auto"/>
                <w:kern w:val="2"/>
                <w:sz w:val="21"/>
                <w:szCs w:val="24"/>
                <w:highlight w:val="none"/>
                <w:lang w:val="en-US" w:eastAsia="zh-CN" w:bidi="ar-SA"/>
              </w:rPr>
              <w:t>表3-</w:t>
            </w:r>
            <w:r>
              <w:rPr>
                <w:rFonts w:hint="eastAsia" w:cs="Times New Roman" w:eastAsiaTheme="minorEastAsia"/>
                <w:b/>
                <w:bCs/>
                <w:color w:val="auto"/>
                <w:kern w:val="2"/>
                <w:sz w:val="21"/>
                <w:szCs w:val="24"/>
                <w:highlight w:val="none"/>
                <w:lang w:val="en-US" w:eastAsia="zh-CN" w:bidi="ar-SA"/>
              </w:rPr>
              <w:t>10</w:t>
            </w:r>
            <w:r>
              <w:rPr>
                <w:rFonts w:hint="eastAsia" w:ascii="Times New Roman" w:hAnsi="Times New Roman" w:cs="Times New Roman" w:eastAsiaTheme="minorEastAsia"/>
                <w:b/>
                <w:bCs/>
                <w:color w:val="auto"/>
                <w:kern w:val="2"/>
                <w:sz w:val="21"/>
                <w:szCs w:val="24"/>
                <w:highlight w:val="none"/>
                <w:lang w:val="en-US" w:eastAsia="zh-CN" w:bidi="ar-SA"/>
              </w:rPr>
              <w:t xml:space="preserve">  恶臭污染物排放标准</w:t>
            </w:r>
          </w:p>
          <w:tbl>
            <w:tblPr>
              <w:tblStyle w:val="33"/>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82"/>
              <w:gridCol w:w="5182"/>
            </w:tblGrid>
            <w:tr w14:paraId="5F452B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61" w:hRule="atLeast"/>
              </w:trPr>
              <w:tc>
                <w:tcPr>
                  <w:tcW w:w="1826" w:type="pct"/>
                  <w:tcBorders>
                    <w:tl2br w:val="nil"/>
                    <w:tr2bl w:val="nil"/>
                  </w:tcBorders>
                  <w:vAlign w:val="center"/>
                </w:tcPr>
                <w:p w14:paraId="42FD6B5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cs="Times New Roman"/>
                      <w:bCs/>
                      <w:color w:val="auto"/>
                      <w:lang w:eastAsia="zh-CN"/>
                    </w:rPr>
                  </w:pPr>
                  <w:r>
                    <w:rPr>
                      <w:rFonts w:hint="eastAsia" w:ascii="Times New Roman" w:hAnsi="Times New Roman" w:cs="Times New Roman"/>
                      <w:bCs/>
                      <w:color w:val="auto"/>
                      <w:lang w:eastAsia="zh-CN"/>
                    </w:rPr>
                    <w:t>污染物</w:t>
                  </w:r>
                </w:p>
              </w:tc>
              <w:tc>
                <w:tcPr>
                  <w:tcW w:w="3173" w:type="pct"/>
                  <w:tcBorders>
                    <w:tl2br w:val="nil"/>
                    <w:tr2bl w:val="nil"/>
                  </w:tcBorders>
                  <w:vAlign w:val="center"/>
                </w:tcPr>
                <w:p w14:paraId="14D3F76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cs="Times New Roman"/>
                      <w:bCs/>
                      <w:color w:val="auto"/>
                      <w:lang w:val="en-US" w:eastAsia="zh-CN"/>
                    </w:rPr>
                  </w:pPr>
                  <w:r>
                    <w:rPr>
                      <w:rFonts w:hint="eastAsia" w:ascii="Times New Roman" w:hAnsi="Times New Roman" w:cs="Times New Roman"/>
                      <w:bCs/>
                      <w:color w:val="auto"/>
                      <w:lang w:eastAsia="zh-CN"/>
                    </w:rPr>
                    <w:t>无组织排放监控浓度限值（</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eastAsia" w:ascii="Times New Roman" w:hAnsi="Times New Roman" w:cs="Times New Roman"/>
                      <w:bCs/>
                      <w:color w:val="auto"/>
                      <w:lang w:eastAsia="zh-CN"/>
                    </w:rPr>
                    <w:t>）</w:t>
                  </w:r>
                </w:p>
              </w:tc>
            </w:tr>
            <w:tr w14:paraId="05C4B8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trPr>
              <w:tc>
                <w:tcPr>
                  <w:tcW w:w="1826" w:type="pct"/>
                  <w:tcBorders>
                    <w:tl2br w:val="nil"/>
                    <w:tr2bl w:val="nil"/>
                  </w:tcBorders>
                  <w:vAlign w:val="center"/>
                </w:tcPr>
                <w:p w14:paraId="08C117B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cs="Times New Roman"/>
                      <w:bCs/>
                      <w:color w:val="auto"/>
                      <w:lang w:eastAsia="zh-CN"/>
                    </w:rPr>
                  </w:pPr>
                  <w:r>
                    <w:rPr>
                      <w:rFonts w:hint="eastAsia" w:ascii="Times New Roman" w:hAnsi="Times New Roman" w:cs="Times New Roman"/>
                      <w:bCs/>
                      <w:color w:val="auto"/>
                      <w:lang w:eastAsia="zh-CN"/>
                    </w:rPr>
                    <w:t>臭气浓度</w:t>
                  </w:r>
                </w:p>
              </w:tc>
              <w:tc>
                <w:tcPr>
                  <w:tcW w:w="3173" w:type="pct"/>
                  <w:tcBorders>
                    <w:tl2br w:val="nil"/>
                    <w:tr2bl w:val="nil"/>
                  </w:tcBorders>
                  <w:vAlign w:val="center"/>
                </w:tcPr>
                <w:p w14:paraId="7C956FE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cs="Times New Roman"/>
                      <w:bCs/>
                      <w:color w:val="auto"/>
                      <w:lang w:val="en-US" w:eastAsia="zh-CN"/>
                    </w:rPr>
                  </w:pPr>
                  <w:r>
                    <w:rPr>
                      <w:rFonts w:hint="eastAsia" w:ascii="Times New Roman" w:hAnsi="Times New Roman" w:cs="Times New Roman"/>
                      <w:bCs/>
                      <w:color w:val="auto"/>
                      <w:lang w:val="en-US" w:eastAsia="zh-CN"/>
                    </w:rPr>
                    <w:t>20（无量纲）</w:t>
                  </w:r>
                </w:p>
              </w:tc>
            </w:tr>
          </w:tbl>
          <w:p w14:paraId="56E70FD6">
            <w:pPr>
              <w:pStyle w:val="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2" w:firstLineChars="200"/>
              <w:jc w:val="center"/>
              <w:textAlignment w:val="auto"/>
              <w:rPr>
                <w:rFonts w:hint="default" w:ascii="Times New Roman" w:hAnsi="Times New Roman" w:cs="Times New Roman" w:eastAsiaTheme="minorEastAsia"/>
                <w:b/>
                <w:bCs/>
                <w:color w:val="auto"/>
                <w:kern w:val="2"/>
                <w:sz w:val="21"/>
                <w:szCs w:val="24"/>
                <w:highlight w:val="none"/>
                <w:lang w:val="en-US" w:eastAsia="zh-CN" w:bidi="ar-SA"/>
              </w:rPr>
            </w:pPr>
            <w:r>
              <w:rPr>
                <w:rFonts w:hint="eastAsia" w:ascii="Times New Roman" w:hAnsi="Times New Roman" w:cs="Times New Roman" w:eastAsiaTheme="minorEastAsia"/>
                <w:b/>
                <w:bCs/>
                <w:color w:val="auto"/>
                <w:kern w:val="2"/>
                <w:sz w:val="21"/>
                <w:szCs w:val="24"/>
                <w:highlight w:val="none"/>
                <w:lang w:val="en-US" w:eastAsia="zh-CN" w:bidi="ar-SA"/>
              </w:rPr>
              <w:t>表3-</w:t>
            </w:r>
            <w:r>
              <w:rPr>
                <w:rFonts w:hint="eastAsia" w:cs="Times New Roman" w:eastAsiaTheme="minorEastAsia"/>
                <w:b/>
                <w:bCs/>
                <w:color w:val="auto"/>
                <w:kern w:val="2"/>
                <w:sz w:val="21"/>
                <w:szCs w:val="24"/>
                <w:highlight w:val="none"/>
                <w:lang w:val="en-US" w:eastAsia="zh-CN" w:bidi="ar-SA"/>
              </w:rPr>
              <w:t>11</w:t>
            </w:r>
            <w:r>
              <w:rPr>
                <w:rFonts w:hint="eastAsia" w:ascii="Times New Roman" w:hAnsi="Times New Roman" w:cs="Times New Roman" w:eastAsiaTheme="minorEastAsia"/>
                <w:b/>
                <w:bCs/>
                <w:color w:val="auto"/>
                <w:kern w:val="2"/>
                <w:sz w:val="21"/>
                <w:szCs w:val="24"/>
                <w:highlight w:val="none"/>
                <w:lang w:val="en-US" w:eastAsia="zh-CN" w:bidi="ar-SA"/>
              </w:rPr>
              <w:t xml:space="preserve">  大气污染物综合排放标准</w:t>
            </w:r>
          </w:p>
          <w:tbl>
            <w:tblPr>
              <w:tblStyle w:val="33"/>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78"/>
              <w:gridCol w:w="2983"/>
              <w:gridCol w:w="2803"/>
            </w:tblGrid>
            <w:tr w14:paraId="6E8ADF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08" w:hRule="atLeast"/>
              </w:trPr>
              <w:tc>
                <w:tcPr>
                  <w:tcW w:w="1457" w:type="pct"/>
                  <w:vMerge w:val="restart"/>
                  <w:tcBorders>
                    <w:tl2br w:val="nil"/>
                    <w:tr2bl w:val="nil"/>
                  </w:tcBorders>
                  <w:vAlign w:val="center"/>
                </w:tcPr>
                <w:p w14:paraId="7A1A1A2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cs="Times New Roman"/>
                      <w:bCs/>
                      <w:color w:val="auto"/>
                      <w:lang w:eastAsia="zh-CN"/>
                    </w:rPr>
                  </w:pPr>
                  <w:r>
                    <w:rPr>
                      <w:rFonts w:hint="eastAsia" w:ascii="Times New Roman" w:hAnsi="Times New Roman" w:cs="Times New Roman"/>
                      <w:bCs/>
                      <w:color w:val="auto"/>
                      <w:lang w:eastAsia="zh-CN"/>
                    </w:rPr>
                    <w:t>污染物</w:t>
                  </w:r>
                </w:p>
              </w:tc>
              <w:tc>
                <w:tcPr>
                  <w:tcW w:w="3542" w:type="pct"/>
                  <w:gridSpan w:val="2"/>
                  <w:tcBorders>
                    <w:tl2br w:val="nil"/>
                    <w:tr2bl w:val="nil"/>
                  </w:tcBorders>
                  <w:vAlign w:val="center"/>
                </w:tcPr>
                <w:p w14:paraId="3952AE2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ascii="Times New Roman" w:hAnsi="Times New Roman" w:cs="Times New Roman"/>
                      <w:bCs/>
                      <w:color w:val="auto"/>
                      <w:lang w:eastAsia="zh-CN"/>
                    </w:rPr>
                    <w:t>无组织排放监控浓度限值</w:t>
                  </w:r>
                </w:p>
              </w:tc>
            </w:tr>
            <w:tr w14:paraId="09F6B6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457" w:type="pct"/>
                  <w:vMerge w:val="continue"/>
                  <w:tcBorders>
                    <w:tl2br w:val="nil"/>
                    <w:tr2bl w:val="nil"/>
                  </w:tcBorders>
                  <w:vAlign w:val="center"/>
                </w:tcPr>
                <w:p w14:paraId="02F6615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cs="Times New Roman"/>
                      <w:bCs/>
                      <w:color w:val="auto"/>
                      <w:lang w:eastAsia="zh-CN"/>
                    </w:rPr>
                  </w:pPr>
                </w:p>
              </w:tc>
              <w:tc>
                <w:tcPr>
                  <w:tcW w:w="1826" w:type="pct"/>
                  <w:tcBorders>
                    <w:tl2br w:val="nil"/>
                    <w:tr2bl w:val="nil"/>
                  </w:tcBorders>
                  <w:vAlign w:val="center"/>
                </w:tcPr>
                <w:p w14:paraId="4C6577F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cs="Times New Roman"/>
                      <w:bCs/>
                      <w:color w:val="auto"/>
                      <w:lang w:eastAsia="zh-CN"/>
                    </w:rPr>
                  </w:pPr>
                  <w:r>
                    <w:rPr>
                      <w:rFonts w:hint="eastAsia" w:ascii="Times New Roman" w:hAnsi="Times New Roman" w:cs="Times New Roman"/>
                      <w:bCs/>
                      <w:color w:val="auto"/>
                      <w:lang w:eastAsia="zh-CN"/>
                    </w:rPr>
                    <w:t>监控点</w:t>
                  </w:r>
                </w:p>
              </w:tc>
              <w:tc>
                <w:tcPr>
                  <w:tcW w:w="1716" w:type="pct"/>
                  <w:tcBorders>
                    <w:tl2br w:val="nil"/>
                    <w:tr2bl w:val="nil"/>
                  </w:tcBorders>
                  <w:vAlign w:val="center"/>
                </w:tcPr>
                <w:p w14:paraId="7C50755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ascii="Times New Roman" w:hAnsi="Times New Roman" w:cs="Times New Roman"/>
                      <w:bCs/>
                      <w:color w:val="auto"/>
                      <w:lang w:eastAsia="zh-CN"/>
                    </w:rPr>
                    <w:t>浓度（</w:t>
                  </w:r>
                  <w:r>
                    <w:rPr>
                      <w:rFonts w:hint="eastAsia" w:ascii="Times New Roman" w:hAnsi="Times New Roman" w:cs="Times New Roman"/>
                      <w:bCs/>
                      <w:color w:val="auto"/>
                      <w:lang w:val="en-US" w:eastAsia="zh-CN"/>
                    </w:rPr>
                    <w:t>mg/m</w:t>
                  </w:r>
                  <w:r>
                    <w:rPr>
                      <w:rFonts w:hint="eastAsia" w:ascii="Times New Roman" w:hAnsi="Times New Roman" w:cs="Times New Roman"/>
                      <w:bCs/>
                      <w:color w:val="auto"/>
                      <w:vertAlign w:val="superscript"/>
                      <w:lang w:val="en-US" w:eastAsia="zh-CN"/>
                    </w:rPr>
                    <w:t>3</w:t>
                  </w:r>
                  <w:r>
                    <w:rPr>
                      <w:rFonts w:hint="eastAsia" w:ascii="Times New Roman" w:hAnsi="Times New Roman" w:cs="Times New Roman"/>
                      <w:bCs/>
                      <w:color w:val="auto"/>
                      <w:lang w:eastAsia="zh-CN"/>
                    </w:rPr>
                    <w:t>）</w:t>
                  </w:r>
                </w:p>
              </w:tc>
            </w:tr>
            <w:tr w14:paraId="5367C4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2" w:hRule="atLeast"/>
              </w:trPr>
              <w:tc>
                <w:tcPr>
                  <w:tcW w:w="1457" w:type="pct"/>
                  <w:tcBorders>
                    <w:tl2br w:val="nil"/>
                    <w:tr2bl w:val="nil"/>
                  </w:tcBorders>
                  <w:vAlign w:val="center"/>
                </w:tcPr>
                <w:p w14:paraId="4CB15BE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cs="Times New Roman"/>
                      <w:bCs/>
                      <w:color w:val="auto"/>
                      <w:lang w:eastAsia="zh-CN"/>
                    </w:rPr>
                  </w:pPr>
                  <w:r>
                    <w:rPr>
                      <w:rFonts w:hint="eastAsia" w:ascii="Times New Roman" w:hAnsi="Times New Roman" w:cs="Times New Roman"/>
                      <w:bCs/>
                      <w:color w:val="auto"/>
                      <w:lang w:eastAsia="zh-CN"/>
                    </w:rPr>
                    <w:t>颗粒物</w:t>
                  </w:r>
                </w:p>
              </w:tc>
              <w:tc>
                <w:tcPr>
                  <w:tcW w:w="1826" w:type="pct"/>
                  <w:tcBorders>
                    <w:tl2br w:val="nil"/>
                    <w:tr2bl w:val="nil"/>
                  </w:tcBorders>
                  <w:vAlign w:val="center"/>
                </w:tcPr>
                <w:p w14:paraId="41E3EC0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cs="Times New Roman"/>
                      <w:bCs/>
                      <w:color w:val="auto"/>
                      <w:lang w:eastAsia="zh-CN"/>
                    </w:rPr>
                  </w:pPr>
                  <w:r>
                    <w:rPr>
                      <w:rFonts w:hint="eastAsia" w:ascii="Times New Roman" w:hAnsi="Times New Roman" w:cs="Times New Roman"/>
                      <w:bCs/>
                      <w:color w:val="auto"/>
                      <w:lang w:eastAsia="zh-CN"/>
                    </w:rPr>
                    <w:t>周界外浓度最高点</w:t>
                  </w:r>
                </w:p>
              </w:tc>
              <w:tc>
                <w:tcPr>
                  <w:tcW w:w="1716" w:type="pct"/>
                  <w:tcBorders>
                    <w:tl2br w:val="nil"/>
                    <w:tr2bl w:val="nil"/>
                  </w:tcBorders>
                  <w:vAlign w:val="center"/>
                </w:tcPr>
                <w:p w14:paraId="4C0F74C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ascii="Times New Roman" w:hAnsi="Times New Roman" w:cs="Times New Roman"/>
                      <w:bCs/>
                      <w:color w:val="auto"/>
                      <w:lang w:val="en-US" w:eastAsia="zh-CN"/>
                    </w:rPr>
                    <w:t>1.0</w:t>
                  </w:r>
                </w:p>
              </w:tc>
            </w:tr>
          </w:tbl>
          <w:p w14:paraId="50EF4E34">
            <w:pPr>
              <w:keepLines w:val="0"/>
              <w:pageBreakBefore w:val="0"/>
              <w:numPr>
                <w:ilvl w:val="0"/>
                <w:numId w:val="0"/>
              </w:numPr>
              <w:topLinePunct w:val="0"/>
              <w:bidi w:val="0"/>
              <w:spacing w:beforeAutospacing="0" w:afterAutospacing="0" w:line="360" w:lineRule="auto"/>
              <w:ind w:leftChars="200" w:right="0" w:rightChars="0"/>
              <w:rPr>
                <w:rFonts w:hint="eastAsia" w:cs="Times New Roman" w:eastAsiaTheme="minorEastAsia"/>
                <w:b w:val="0"/>
                <w:bCs w:val="0"/>
                <w:color w:val="auto"/>
                <w:sz w:val="24"/>
                <w:lang w:val="en-US" w:eastAsia="zh-CN"/>
              </w:rPr>
            </w:pPr>
            <w:r>
              <w:rPr>
                <w:rFonts w:hint="eastAsia" w:cs="Times New Roman" w:eastAsiaTheme="minorEastAsia"/>
                <w:b w:val="0"/>
                <w:bCs w:val="0"/>
                <w:color w:val="auto"/>
                <w:sz w:val="24"/>
                <w:lang w:val="en-US" w:eastAsia="zh-CN"/>
              </w:rPr>
              <w:t>2、废水排放标准</w:t>
            </w:r>
          </w:p>
          <w:p w14:paraId="30DF5FFA">
            <w:pPr>
              <w:keepLines w:val="0"/>
              <w:pageBreakBefore w:val="0"/>
              <w:topLinePunct w:val="0"/>
              <w:bidi w:val="0"/>
              <w:adjustRightInd w:val="0"/>
              <w:snapToGrid w:val="0"/>
              <w:spacing w:beforeAutospacing="0" w:afterAutospacing="0" w:line="360" w:lineRule="auto"/>
              <w:ind w:left="0" w:leftChars="0" w:right="0" w:rightChars="0" w:firstLine="480" w:firstLineChars="200"/>
              <w:rPr>
                <w:rFonts w:hint="eastAsia"/>
                <w:color w:val="auto"/>
                <w:kern w:val="0"/>
                <w:sz w:val="24"/>
                <w:szCs w:val="28"/>
                <w:lang w:eastAsia="zh-CN"/>
              </w:rPr>
            </w:pPr>
            <w:r>
              <w:rPr>
                <w:rFonts w:hint="eastAsia"/>
                <w:color w:val="auto"/>
                <w:kern w:val="0"/>
                <w:sz w:val="24"/>
                <w:szCs w:val="28"/>
                <w:lang w:val="en-US" w:eastAsia="zh-CN"/>
              </w:rPr>
              <w:t>本</w:t>
            </w:r>
            <w:r>
              <w:rPr>
                <w:rFonts w:hint="eastAsia"/>
                <w:color w:val="auto"/>
                <w:kern w:val="0"/>
                <w:sz w:val="24"/>
                <w:szCs w:val="28"/>
                <w:lang w:eastAsia="zh-CN"/>
              </w:rPr>
              <w:t>项目</w:t>
            </w:r>
            <w:r>
              <w:rPr>
                <w:rFonts w:hint="eastAsia"/>
                <w:color w:val="auto"/>
                <w:kern w:val="0"/>
                <w:sz w:val="24"/>
                <w:lang w:val="en-US" w:eastAsia="zh-CN"/>
              </w:rPr>
              <w:t>厂区综合废水</w:t>
            </w:r>
            <w:r>
              <w:rPr>
                <w:rFonts w:hint="eastAsia"/>
                <w:color w:val="auto"/>
                <w:sz w:val="24"/>
                <w:lang w:val="en-US" w:eastAsia="zh-CN"/>
              </w:rPr>
              <w:t>排入市政管网，经</w:t>
            </w:r>
            <w:r>
              <w:rPr>
                <w:rFonts w:hint="eastAsia" w:ascii="Times New Roman" w:hAnsi="Times New Roman" w:eastAsia="宋体" w:cs="Times New Roman"/>
                <w:color w:val="auto"/>
                <w:sz w:val="24"/>
                <w:lang w:val="en-US" w:eastAsia="zh-CN"/>
              </w:rPr>
              <w:t>双鸭山市污水处理厂处</w:t>
            </w:r>
            <w:r>
              <w:rPr>
                <w:rFonts w:hint="eastAsia"/>
                <w:color w:val="auto"/>
                <w:sz w:val="24"/>
                <w:lang w:val="en-US" w:eastAsia="zh-CN"/>
              </w:rPr>
              <w:t>理达标后排放。</w:t>
            </w:r>
            <w:r>
              <w:rPr>
                <w:rFonts w:hint="eastAsia"/>
                <w:color w:val="auto"/>
                <w:spacing w:val="16"/>
                <w:sz w:val="24"/>
                <w:lang w:eastAsia="zh-CN"/>
              </w:rPr>
              <w:t>本项目废水排放执行《污水综合排放标</w:t>
            </w:r>
            <w:r>
              <w:rPr>
                <w:rFonts w:hint="eastAsia"/>
                <w:color w:val="auto"/>
                <w:kern w:val="0"/>
                <w:sz w:val="24"/>
                <w:szCs w:val="28"/>
                <w:lang w:eastAsia="zh-CN"/>
              </w:rPr>
              <w:t>准》（GB8978-1996）中表</w:t>
            </w:r>
            <w:r>
              <w:rPr>
                <w:rFonts w:hint="eastAsia"/>
                <w:color w:val="auto"/>
                <w:kern w:val="0"/>
                <w:sz w:val="24"/>
                <w:szCs w:val="28"/>
                <w:lang w:val="en-US" w:eastAsia="zh-CN"/>
              </w:rPr>
              <w:t>4三级排放标准及双鸭山市污水处理厂进水指标，废水排放标准见表3-12、表3-13</w:t>
            </w:r>
            <w:r>
              <w:rPr>
                <w:rFonts w:hint="eastAsia"/>
                <w:color w:val="auto"/>
                <w:kern w:val="0"/>
                <w:sz w:val="24"/>
                <w:szCs w:val="28"/>
                <w:lang w:eastAsia="zh-CN"/>
              </w:rPr>
              <w:t>。</w:t>
            </w:r>
          </w:p>
          <w:p w14:paraId="4F33FF43">
            <w:pPr>
              <w:pStyle w:val="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2" w:firstLineChars="200"/>
              <w:jc w:val="center"/>
              <w:textAlignment w:val="auto"/>
              <w:rPr>
                <w:rFonts w:hint="default"/>
                <w:color w:val="auto"/>
                <w:lang w:val="en-US" w:eastAsia="zh-CN"/>
              </w:rPr>
            </w:pPr>
            <w:r>
              <w:rPr>
                <w:rFonts w:hint="eastAsia" w:ascii="Times New Roman" w:hAnsi="Times New Roman" w:cs="Times New Roman" w:eastAsiaTheme="minorEastAsia"/>
                <w:b/>
                <w:bCs/>
                <w:color w:val="auto"/>
                <w:kern w:val="2"/>
                <w:sz w:val="21"/>
                <w:szCs w:val="24"/>
                <w:highlight w:val="none"/>
                <w:lang w:val="en-US" w:eastAsia="zh-CN" w:bidi="ar-SA"/>
              </w:rPr>
              <w:t>表3-</w:t>
            </w:r>
            <w:r>
              <w:rPr>
                <w:rFonts w:hint="eastAsia" w:cs="Times New Roman" w:eastAsiaTheme="minorEastAsia"/>
                <w:b/>
                <w:bCs/>
                <w:color w:val="auto"/>
                <w:kern w:val="2"/>
                <w:sz w:val="21"/>
                <w:szCs w:val="24"/>
                <w:highlight w:val="none"/>
                <w:lang w:val="en-US" w:eastAsia="zh-CN" w:bidi="ar-SA"/>
              </w:rPr>
              <w:t>12</w:t>
            </w:r>
            <w:r>
              <w:rPr>
                <w:rFonts w:hint="eastAsia" w:ascii="Times New Roman" w:hAnsi="Times New Roman" w:cs="Times New Roman" w:eastAsiaTheme="minorEastAsia"/>
                <w:b/>
                <w:bCs/>
                <w:color w:val="auto"/>
                <w:kern w:val="2"/>
                <w:sz w:val="21"/>
                <w:szCs w:val="24"/>
                <w:highlight w:val="none"/>
                <w:lang w:val="en-US" w:eastAsia="zh-CN" w:bidi="ar-SA"/>
              </w:rPr>
              <w:t xml:space="preserve">  </w:t>
            </w:r>
            <w:r>
              <w:rPr>
                <w:rFonts w:hint="eastAsia" w:cs="Times New Roman" w:eastAsiaTheme="minorEastAsia"/>
                <w:b/>
                <w:bCs/>
                <w:color w:val="auto"/>
                <w:kern w:val="2"/>
                <w:sz w:val="21"/>
                <w:szCs w:val="24"/>
                <w:highlight w:val="none"/>
                <w:lang w:val="en-US" w:eastAsia="zh-CN" w:bidi="ar-SA"/>
              </w:rPr>
              <w:t>废水</w:t>
            </w:r>
            <w:r>
              <w:rPr>
                <w:rFonts w:hint="eastAsia" w:ascii="Times New Roman" w:hAnsi="Times New Roman" w:cs="Times New Roman" w:eastAsiaTheme="minorEastAsia"/>
                <w:b/>
                <w:bCs/>
                <w:color w:val="auto"/>
                <w:kern w:val="2"/>
                <w:sz w:val="21"/>
                <w:szCs w:val="24"/>
                <w:highlight w:val="none"/>
                <w:lang w:val="en-US" w:eastAsia="zh-CN" w:bidi="ar-SA"/>
              </w:rPr>
              <w:t>排放标准</w:t>
            </w:r>
            <w:r>
              <w:rPr>
                <w:rFonts w:hint="eastAsia" w:cs="Times New Roman" w:eastAsiaTheme="minorEastAsia"/>
                <w:b/>
                <w:bCs/>
                <w:color w:val="auto"/>
                <w:kern w:val="2"/>
                <w:sz w:val="21"/>
                <w:szCs w:val="24"/>
                <w:highlight w:val="none"/>
                <w:lang w:val="en-US" w:eastAsia="zh-CN" w:bidi="ar-SA"/>
              </w:rPr>
              <w:t xml:space="preserve">  单位：mg/L</w:t>
            </w:r>
          </w:p>
          <w:tbl>
            <w:tblPr>
              <w:tblStyle w:val="33"/>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8"/>
              <w:gridCol w:w="1360"/>
              <w:gridCol w:w="1360"/>
              <w:gridCol w:w="1360"/>
              <w:gridCol w:w="1360"/>
              <w:gridCol w:w="1361"/>
            </w:tblGrid>
            <w:tr w14:paraId="5DBAD4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32" w:type="pct"/>
                  <w:tcBorders>
                    <w:tl2br w:val="nil"/>
                    <w:tr2bl w:val="nil"/>
                  </w:tcBorders>
                  <w:vAlign w:val="center"/>
                </w:tcPr>
                <w:p w14:paraId="2C15FCBD">
                  <w:pPr>
                    <w:jc w:val="center"/>
                    <w:rPr>
                      <w:rFonts w:hint="default"/>
                      <w:color w:val="auto"/>
                      <w:vertAlign w:val="baseline"/>
                      <w:lang w:eastAsia="zh-CN"/>
                    </w:rPr>
                  </w:pPr>
                  <w:r>
                    <w:rPr>
                      <w:rFonts w:hint="eastAsia"/>
                      <w:color w:val="auto"/>
                      <w:vertAlign w:val="baseline"/>
                      <w:lang w:eastAsia="zh-CN"/>
                    </w:rPr>
                    <w:t>污染物</w:t>
                  </w:r>
                </w:p>
              </w:tc>
              <w:tc>
                <w:tcPr>
                  <w:tcW w:w="833" w:type="pct"/>
                  <w:tcBorders>
                    <w:tl2br w:val="nil"/>
                    <w:tr2bl w:val="nil"/>
                  </w:tcBorders>
                  <w:vAlign w:val="center"/>
                </w:tcPr>
                <w:p w14:paraId="6D20DB06">
                  <w:pPr>
                    <w:jc w:val="center"/>
                    <w:rPr>
                      <w:rFonts w:hint="default"/>
                      <w:color w:val="auto"/>
                      <w:vertAlign w:val="baseline"/>
                      <w:lang w:val="en-US" w:eastAsia="zh-CN"/>
                    </w:rPr>
                  </w:pPr>
                  <w:r>
                    <w:rPr>
                      <w:rFonts w:hint="eastAsia"/>
                      <w:color w:val="auto"/>
                      <w:vertAlign w:val="baseline"/>
                      <w:lang w:val="en-US" w:eastAsia="zh-CN"/>
                    </w:rPr>
                    <w:t>pH</w:t>
                  </w:r>
                </w:p>
              </w:tc>
              <w:tc>
                <w:tcPr>
                  <w:tcW w:w="833" w:type="pct"/>
                  <w:tcBorders>
                    <w:tl2br w:val="nil"/>
                    <w:tr2bl w:val="nil"/>
                  </w:tcBorders>
                  <w:vAlign w:val="center"/>
                </w:tcPr>
                <w:p w14:paraId="238CD51E">
                  <w:pPr>
                    <w:jc w:val="center"/>
                    <w:rPr>
                      <w:rFonts w:hint="default"/>
                      <w:color w:val="auto"/>
                      <w:vertAlign w:val="baseline"/>
                      <w:lang w:val="en-US" w:eastAsia="zh-CN"/>
                    </w:rPr>
                  </w:pPr>
                  <w:r>
                    <w:rPr>
                      <w:rFonts w:hint="eastAsia"/>
                      <w:color w:val="auto"/>
                      <w:vertAlign w:val="baseline"/>
                      <w:lang w:val="en-US" w:eastAsia="zh-CN"/>
                    </w:rPr>
                    <w:t>COD</w:t>
                  </w:r>
                </w:p>
              </w:tc>
              <w:tc>
                <w:tcPr>
                  <w:tcW w:w="833" w:type="pct"/>
                  <w:tcBorders>
                    <w:tl2br w:val="nil"/>
                    <w:tr2bl w:val="nil"/>
                  </w:tcBorders>
                  <w:vAlign w:val="center"/>
                </w:tcPr>
                <w:p w14:paraId="5648E523">
                  <w:pPr>
                    <w:jc w:val="center"/>
                    <w:rPr>
                      <w:rFonts w:hint="default"/>
                      <w:color w:val="auto"/>
                      <w:vertAlign w:val="baseline"/>
                      <w:lang w:val="en-US" w:eastAsia="zh-CN"/>
                    </w:rPr>
                  </w:pPr>
                  <w:r>
                    <w:rPr>
                      <w:rFonts w:hint="eastAsia"/>
                      <w:color w:val="auto"/>
                      <w:vertAlign w:val="baseline"/>
                      <w:lang w:val="en-US" w:eastAsia="zh-CN"/>
                    </w:rPr>
                    <w:t>BOD</w:t>
                  </w:r>
                  <w:r>
                    <w:rPr>
                      <w:rFonts w:hint="eastAsia"/>
                      <w:color w:val="auto"/>
                      <w:vertAlign w:val="subscript"/>
                      <w:lang w:val="en-US" w:eastAsia="zh-CN"/>
                    </w:rPr>
                    <w:t>5</w:t>
                  </w:r>
                </w:p>
              </w:tc>
              <w:tc>
                <w:tcPr>
                  <w:tcW w:w="833" w:type="pct"/>
                  <w:tcBorders>
                    <w:tl2br w:val="nil"/>
                    <w:tr2bl w:val="nil"/>
                  </w:tcBorders>
                  <w:vAlign w:val="center"/>
                </w:tcPr>
                <w:p w14:paraId="4E8D69F9">
                  <w:pPr>
                    <w:jc w:val="center"/>
                    <w:rPr>
                      <w:rFonts w:hint="default"/>
                      <w:color w:val="auto"/>
                      <w:vertAlign w:val="baseline"/>
                      <w:lang w:val="en-US" w:eastAsia="zh-CN"/>
                    </w:rPr>
                  </w:pPr>
                  <w:r>
                    <w:rPr>
                      <w:rFonts w:hint="eastAsia"/>
                      <w:color w:val="auto"/>
                      <w:vertAlign w:val="baseline"/>
                      <w:lang w:val="en-US" w:eastAsia="zh-CN"/>
                    </w:rPr>
                    <w:t>SS</w:t>
                  </w:r>
                </w:p>
              </w:tc>
              <w:tc>
                <w:tcPr>
                  <w:tcW w:w="834" w:type="pct"/>
                  <w:tcBorders>
                    <w:tl2br w:val="nil"/>
                    <w:tr2bl w:val="nil"/>
                  </w:tcBorders>
                  <w:vAlign w:val="center"/>
                </w:tcPr>
                <w:p w14:paraId="35EB36FC">
                  <w:pPr>
                    <w:jc w:val="center"/>
                    <w:rPr>
                      <w:rFonts w:hint="default"/>
                      <w:color w:val="auto"/>
                      <w:vertAlign w:val="baseline"/>
                      <w:lang w:eastAsia="zh-CN"/>
                    </w:rPr>
                  </w:pPr>
                  <w:r>
                    <w:rPr>
                      <w:rFonts w:hint="eastAsia"/>
                      <w:color w:val="auto"/>
                      <w:vertAlign w:val="baseline"/>
                      <w:lang w:eastAsia="zh-CN"/>
                    </w:rPr>
                    <w:t>氨氮</w:t>
                  </w:r>
                </w:p>
              </w:tc>
            </w:tr>
            <w:tr w14:paraId="2FDE33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32" w:type="pct"/>
                  <w:tcBorders>
                    <w:tl2br w:val="nil"/>
                    <w:tr2bl w:val="nil"/>
                  </w:tcBorders>
                  <w:vAlign w:val="center"/>
                </w:tcPr>
                <w:p w14:paraId="3FC00410">
                  <w:pPr>
                    <w:jc w:val="center"/>
                    <w:rPr>
                      <w:rFonts w:hint="default"/>
                      <w:color w:val="auto"/>
                      <w:vertAlign w:val="baseline"/>
                      <w:lang w:eastAsia="zh-CN"/>
                    </w:rPr>
                  </w:pPr>
                  <w:r>
                    <w:rPr>
                      <w:rFonts w:hint="eastAsia"/>
                      <w:color w:val="auto"/>
                      <w:vertAlign w:val="baseline"/>
                      <w:lang w:eastAsia="zh-CN"/>
                    </w:rPr>
                    <w:t>排放标准</w:t>
                  </w:r>
                </w:p>
              </w:tc>
              <w:tc>
                <w:tcPr>
                  <w:tcW w:w="833" w:type="pct"/>
                  <w:tcBorders>
                    <w:tl2br w:val="nil"/>
                    <w:tr2bl w:val="nil"/>
                  </w:tcBorders>
                  <w:vAlign w:val="center"/>
                </w:tcPr>
                <w:p w14:paraId="17B8607B">
                  <w:pPr>
                    <w:jc w:val="center"/>
                    <w:rPr>
                      <w:rFonts w:hint="default"/>
                      <w:color w:val="auto"/>
                      <w:vertAlign w:val="baseline"/>
                      <w:lang w:val="en-US" w:eastAsia="zh-CN"/>
                    </w:rPr>
                  </w:pPr>
                  <w:r>
                    <w:rPr>
                      <w:rFonts w:hint="eastAsia"/>
                      <w:color w:val="auto"/>
                      <w:vertAlign w:val="baseline"/>
                      <w:lang w:val="en-US" w:eastAsia="zh-CN"/>
                    </w:rPr>
                    <w:t>6~9</w:t>
                  </w:r>
                </w:p>
              </w:tc>
              <w:tc>
                <w:tcPr>
                  <w:tcW w:w="833" w:type="pct"/>
                  <w:tcBorders>
                    <w:tl2br w:val="nil"/>
                    <w:tr2bl w:val="nil"/>
                  </w:tcBorders>
                  <w:vAlign w:val="center"/>
                </w:tcPr>
                <w:p w14:paraId="4D8EC9F8">
                  <w:pPr>
                    <w:jc w:val="center"/>
                    <w:rPr>
                      <w:rFonts w:hint="default"/>
                      <w:color w:val="auto"/>
                      <w:vertAlign w:val="baseline"/>
                      <w:lang w:val="en-US" w:eastAsia="zh-CN"/>
                    </w:rPr>
                  </w:pPr>
                  <w:r>
                    <w:rPr>
                      <w:rFonts w:hint="eastAsia"/>
                      <w:color w:val="auto"/>
                      <w:vertAlign w:val="baseline"/>
                      <w:lang w:val="en-US" w:eastAsia="zh-CN"/>
                    </w:rPr>
                    <w:t>500</w:t>
                  </w:r>
                </w:p>
              </w:tc>
              <w:tc>
                <w:tcPr>
                  <w:tcW w:w="833" w:type="pct"/>
                  <w:tcBorders>
                    <w:tl2br w:val="nil"/>
                    <w:tr2bl w:val="nil"/>
                  </w:tcBorders>
                  <w:vAlign w:val="center"/>
                </w:tcPr>
                <w:p w14:paraId="2BDA1E6A">
                  <w:pPr>
                    <w:jc w:val="center"/>
                    <w:rPr>
                      <w:rFonts w:hint="default"/>
                      <w:color w:val="auto"/>
                      <w:vertAlign w:val="baseline"/>
                      <w:lang w:val="en-US" w:eastAsia="zh-CN"/>
                    </w:rPr>
                  </w:pPr>
                  <w:r>
                    <w:rPr>
                      <w:rFonts w:hint="eastAsia"/>
                      <w:color w:val="auto"/>
                      <w:vertAlign w:val="baseline"/>
                      <w:lang w:val="en-US" w:eastAsia="zh-CN"/>
                    </w:rPr>
                    <w:t>300</w:t>
                  </w:r>
                </w:p>
              </w:tc>
              <w:tc>
                <w:tcPr>
                  <w:tcW w:w="833" w:type="pct"/>
                  <w:tcBorders>
                    <w:tl2br w:val="nil"/>
                    <w:tr2bl w:val="nil"/>
                  </w:tcBorders>
                  <w:vAlign w:val="center"/>
                </w:tcPr>
                <w:p w14:paraId="2795D191">
                  <w:pPr>
                    <w:jc w:val="center"/>
                    <w:rPr>
                      <w:rFonts w:hint="default"/>
                      <w:color w:val="auto"/>
                      <w:vertAlign w:val="baseline"/>
                      <w:lang w:val="en-US" w:eastAsia="zh-CN"/>
                    </w:rPr>
                  </w:pPr>
                  <w:r>
                    <w:rPr>
                      <w:rFonts w:hint="eastAsia"/>
                      <w:color w:val="auto"/>
                      <w:vertAlign w:val="baseline"/>
                      <w:lang w:val="en-US" w:eastAsia="zh-CN"/>
                    </w:rPr>
                    <w:t>400</w:t>
                  </w:r>
                </w:p>
              </w:tc>
              <w:tc>
                <w:tcPr>
                  <w:tcW w:w="834" w:type="pct"/>
                  <w:tcBorders>
                    <w:tl2br w:val="nil"/>
                    <w:tr2bl w:val="nil"/>
                  </w:tcBorders>
                  <w:vAlign w:val="center"/>
                </w:tcPr>
                <w:p w14:paraId="30C1509D">
                  <w:pPr>
                    <w:jc w:val="center"/>
                    <w:rPr>
                      <w:rFonts w:hint="default"/>
                      <w:color w:val="auto"/>
                      <w:vertAlign w:val="baseline"/>
                      <w:lang w:val="en-US" w:eastAsia="zh-CN"/>
                    </w:rPr>
                  </w:pPr>
                  <w:r>
                    <w:rPr>
                      <w:rFonts w:hint="eastAsia"/>
                      <w:color w:val="auto"/>
                      <w:vertAlign w:val="baseline"/>
                      <w:lang w:val="en-US" w:eastAsia="zh-CN"/>
                    </w:rPr>
                    <w:t>—</w:t>
                  </w:r>
                </w:p>
              </w:tc>
            </w:tr>
          </w:tbl>
          <w:p w14:paraId="5C1B1CAC">
            <w:pPr>
              <w:autoSpaceDN w:val="0"/>
              <w:spacing w:line="520" w:lineRule="exact"/>
              <w:jc w:val="center"/>
              <w:rPr>
                <w:rFonts w:hint="default" w:ascii="Times New Roman" w:hAnsi="Times New Roman" w:eastAsia="宋体" w:cs="Times New Roman"/>
                <w:b/>
                <w:color w:val="auto"/>
                <w:szCs w:val="21"/>
                <w:lang w:val="en-US" w:eastAsia="zh-CN"/>
              </w:rPr>
            </w:pPr>
            <w:r>
              <w:rPr>
                <w:rFonts w:ascii="Times New Roman" w:hAnsi="Times New Roman" w:eastAsia="宋体" w:cs="Times New Roman"/>
                <w:b/>
                <w:color w:val="auto"/>
                <w:szCs w:val="21"/>
              </w:rPr>
              <w:t>表</w:t>
            </w:r>
            <w:r>
              <w:rPr>
                <w:rFonts w:hint="eastAsia" w:cs="Times New Roman"/>
                <w:b/>
                <w:color w:val="auto"/>
                <w:szCs w:val="21"/>
                <w:lang w:val="en-US" w:eastAsia="zh-CN"/>
              </w:rPr>
              <w:t>3-13</w:t>
            </w:r>
            <w:r>
              <w:rPr>
                <w:rFonts w:ascii="Times New Roman" w:hAnsi="Times New Roman" w:eastAsia="宋体" w:cs="Times New Roman"/>
                <w:b/>
                <w:color w:val="auto"/>
                <w:szCs w:val="21"/>
              </w:rPr>
              <w:t xml:space="preserve"> </w:t>
            </w:r>
            <w:r>
              <w:rPr>
                <w:rFonts w:hint="eastAsia" w:eastAsia="宋体" w:cs="Times New Roman"/>
                <w:b/>
                <w:color w:val="auto"/>
                <w:szCs w:val="21"/>
                <w:lang w:val="en-US" w:eastAsia="zh-CN"/>
              </w:rPr>
              <w:t xml:space="preserve"> 双鸭山市污水处理厂</w:t>
            </w:r>
            <w:r>
              <w:rPr>
                <w:rFonts w:hint="eastAsia" w:cs="Times New Roman"/>
                <w:b/>
                <w:color w:val="auto"/>
                <w:szCs w:val="21"/>
                <w:lang w:val="en-US" w:eastAsia="zh-CN"/>
              </w:rPr>
              <w:t>进水指标</w:t>
            </w:r>
          </w:p>
          <w:tbl>
            <w:tblPr>
              <w:tblStyle w:val="3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7"/>
              <w:gridCol w:w="880"/>
              <w:gridCol w:w="1077"/>
              <w:gridCol w:w="1188"/>
              <w:gridCol w:w="866"/>
              <w:gridCol w:w="1038"/>
              <w:gridCol w:w="1038"/>
              <w:gridCol w:w="1038"/>
            </w:tblGrid>
            <w:tr w14:paraId="4A2260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35" w:type="pct"/>
                  <w:tcBorders>
                    <w:tl2br w:val="nil"/>
                    <w:tr2bl w:val="nil"/>
                  </w:tcBorders>
                  <w:vAlign w:val="center"/>
                </w:tcPr>
                <w:p w14:paraId="1BADCE6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eastAsiaTheme="minorEastAsia"/>
                      <w:color w:val="auto"/>
                      <w:szCs w:val="21"/>
                      <w:highlight w:val="none"/>
                      <w:lang w:val="en-US" w:eastAsia="zh-CN"/>
                    </w:rPr>
                    <w:t>项目</w:t>
                  </w:r>
                </w:p>
              </w:tc>
              <w:tc>
                <w:tcPr>
                  <w:tcW w:w="539" w:type="pct"/>
                  <w:tcBorders>
                    <w:tl2br w:val="nil"/>
                    <w:tr2bl w:val="nil"/>
                  </w:tcBorders>
                  <w:vAlign w:val="center"/>
                </w:tcPr>
                <w:p w14:paraId="5E77FE7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eastAsiaTheme="minorEastAsia"/>
                      <w:color w:val="auto"/>
                      <w:szCs w:val="21"/>
                      <w:highlight w:val="none"/>
                      <w:lang w:val="en-US" w:eastAsia="zh-CN"/>
                    </w:rPr>
                    <w:t>pH</w:t>
                  </w:r>
                </w:p>
              </w:tc>
              <w:tc>
                <w:tcPr>
                  <w:tcW w:w="659" w:type="pct"/>
                  <w:tcBorders>
                    <w:tl2br w:val="nil"/>
                    <w:tr2bl w:val="nil"/>
                  </w:tcBorders>
                  <w:vAlign w:val="center"/>
                </w:tcPr>
                <w:p w14:paraId="7245C8A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eastAsiaTheme="minorEastAsia"/>
                      <w:color w:val="auto"/>
                      <w:szCs w:val="21"/>
                      <w:highlight w:val="none"/>
                      <w:lang w:val="en-US" w:eastAsia="zh-CN"/>
                    </w:rPr>
                    <w:t>COD</w:t>
                  </w:r>
                </w:p>
              </w:tc>
              <w:tc>
                <w:tcPr>
                  <w:tcW w:w="727" w:type="pct"/>
                  <w:tcBorders>
                    <w:tl2br w:val="nil"/>
                    <w:tr2bl w:val="nil"/>
                  </w:tcBorders>
                  <w:vAlign w:val="center"/>
                </w:tcPr>
                <w:p w14:paraId="18FB07C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eastAsiaTheme="minorEastAsia"/>
                      <w:color w:val="auto"/>
                      <w:szCs w:val="21"/>
                      <w:highlight w:val="none"/>
                      <w:lang w:eastAsia="zh-CN"/>
                    </w:rPr>
                  </w:pPr>
                  <w:r>
                    <w:rPr>
                      <w:rFonts w:hint="eastAsia" w:ascii="Times New Roman" w:hAnsi="Times New Roman" w:cs="Times New Roman" w:eastAsiaTheme="minorEastAsia"/>
                      <w:color w:val="auto"/>
                      <w:szCs w:val="21"/>
                      <w:highlight w:val="none"/>
                      <w:lang w:val="en-US" w:eastAsia="zh-CN"/>
                    </w:rPr>
                    <w:t>BOD</w:t>
                  </w:r>
                  <w:r>
                    <w:rPr>
                      <w:rFonts w:hint="eastAsia" w:ascii="Times New Roman" w:hAnsi="Times New Roman" w:cs="Times New Roman" w:eastAsiaTheme="minorEastAsia"/>
                      <w:color w:val="auto"/>
                      <w:szCs w:val="21"/>
                      <w:highlight w:val="none"/>
                      <w:vertAlign w:val="subscript"/>
                      <w:lang w:val="en-US" w:eastAsia="zh-CN"/>
                    </w:rPr>
                    <w:t>5</w:t>
                  </w:r>
                </w:p>
              </w:tc>
              <w:tc>
                <w:tcPr>
                  <w:tcW w:w="530" w:type="pct"/>
                  <w:tcBorders>
                    <w:tl2br w:val="nil"/>
                    <w:tr2bl w:val="nil"/>
                  </w:tcBorders>
                  <w:vAlign w:val="center"/>
                </w:tcPr>
                <w:p w14:paraId="1864EAB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eastAsiaTheme="minorEastAsia"/>
                      <w:color w:val="auto"/>
                      <w:szCs w:val="21"/>
                      <w:highlight w:val="none"/>
                      <w:lang w:eastAsia="zh-CN"/>
                    </w:rPr>
                  </w:pPr>
                  <w:r>
                    <w:rPr>
                      <w:rFonts w:hint="default" w:ascii="Times New Roman" w:hAnsi="Times New Roman" w:cs="Times New Roman" w:eastAsiaTheme="minorEastAsia"/>
                      <w:color w:val="auto"/>
                      <w:szCs w:val="21"/>
                      <w:highlight w:val="none"/>
                      <w:lang w:eastAsia="zh-CN"/>
                    </w:rPr>
                    <w:t>SS</w:t>
                  </w:r>
                </w:p>
              </w:tc>
              <w:tc>
                <w:tcPr>
                  <w:tcW w:w="635" w:type="pct"/>
                  <w:tcBorders>
                    <w:tl2br w:val="nil"/>
                    <w:tr2bl w:val="nil"/>
                  </w:tcBorders>
                  <w:vAlign w:val="center"/>
                </w:tcPr>
                <w:p w14:paraId="5AA60B5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eastAsiaTheme="minorEastAsia"/>
                      <w:color w:val="auto"/>
                      <w:szCs w:val="21"/>
                      <w:highlight w:val="none"/>
                      <w:lang w:eastAsia="zh-CN"/>
                    </w:rPr>
                  </w:pPr>
                  <w:r>
                    <w:rPr>
                      <w:rFonts w:hint="default" w:ascii="Times New Roman" w:hAnsi="Times New Roman" w:cs="Times New Roman" w:eastAsiaTheme="minorEastAsia"/>
                      <w:color w:val="auto"/>
                      <w:szCs w:val="21"/>
                      <w:highlight w:val="none"/>
                      <w:lang w:eastAsia="zh-CN"/>
                    </w:rPr>
                    <w:t>氨氮</w:t>
                  </w:r>
                </w:p>
              </w:tc>
              <w:tc>
                <w:tcPr>
                  <w:tcW w:w="635" w:type="pct"/>
                  <w:tcBorders>
                    <w:tl2br w:val="nil"/>
                    <w:tr2bl w:val="nil"/>
                  </w:tcBorders>
                  <w:vAlign w:val="center"/>
                </w:tcPr>
                <w:p w14:paraId="3015725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eastAsiaTheme="minorEastAsia"/>
                      <w:color w:val="auto"/>
                      <w:szCs w:val="21"/>
                      <w:highlight w:val="none"/>
                      <w:lang w:eastAsia="zh-CN"/>
                    </w:rPr>
                  </w:pPr>
                  <w:r>
                    <w:rPr>
                      <w:rFonts w:hint="eastAsia" w:ascii="Times New Roman" w:hAnsi="Times New Roman" w:cs="Times New Roman" w:eastAsiaTheme="minorEastAsia"/>
                      <w:color w:val="auto"/>
                      <w:szCs w:val="21"/>
                      <w:highlight w:val="none"/>
                      <w:lang w:val="en-US" w:eastAsia="zh-CN"/>
                    </w:rPr>
                    <w:t>总磷</w:t>
                  </w:r>
                </w:p>
              </w:tc>
              <w:tc>
                <w:tcPr>
                  <w:tcW w:w="635" w:type="pct"/>
                  <w:tcBorders>
                    <w:tl2br w:val="nil"/>
                    <w:tr2bl w:val="nil"/>
                  </w:tcBorders>
                  <w:vAlign w:val="center"/>
                </w:tcPr>
                <w:p w14:paraId="189DF31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eastAsiaTheme="minorEastAsia"/>
                      <w:color w:val="auto"/>
                      <w:szCs w:val="21"/>
                      <w:highlight w:val="none"/>
                      <w:lang w:eastAsia="zh-CN"/>
                    </w:rPr>
                  </w:pPr>
                  <w:r>
                    <w:rPr>
                      <w:rFonts w:hint="eastAsia" w:ascii="Times New Roman" w:hAnsi="Times New Roman" w:cs="Times New Roman" w:eastAsiaTheme="minorEastAsia"/>
                      <w:color w:val="auto"/>
                      <w:szCs w:val="21"/>
                      <w:highlight w:val="none"/>
                      <w:lang w:val="en-US" w:eastAsia="zh-CN"/>
                    </w:rPr>
                    <w:t>总氮</w:t>
                  </w:r>
                </w:p>
              </w:tc>
            </w:tr>
            <w:tr w14:paraId="2E0247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35" w:type="pct"/>
                  <w:tcBorders>
                    <w:tl2br w:val="nil"/>
                    <w:tr2bl w:val="nil"/>
                  </w:tcBorders>
                  <w:vAlign w:val="center"/>
                </w:tcPr>
                <w:p w14:paraId="317BF66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eastAsiaTheme="minorEastAsia"/>
                      <w:color w:val="auto"/>
                      <w:szCs w:val="21"/>
                      <w:highlight w:val="none"/>
                      <w:lang w:val="en-US" w:eastAsia="zh-CN"/>
                    </w:rPr>
                    <w:t>指标</w:t>
                  </w:r>
                </w:p>
              </w:tc>
              <w:tc>
                <w:tcPr>
                  <w:tcW w:w="539" w:type="pct"/>
                  <w:tcBorders>
                    <w:tl2br w:val="nil"/>
                    <w:tr2bl w:val="nil"/>
                  </w:tcBorders>
                  <w:vAlign w:val="center"/>
                </w:tcPr>
                <w:p w14:paraId="2AD39B6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eastAsiaTheme="minorEastAsia"/>
                      <w:color w:val="auto"/>
                      <w:szCs w:val="21"/>
                      <w:highlight w:val="none"/>
                      <w:lang w:val="en-US" w:eastAsia="zh-CN"/>
                    </w:rPr>
                    <w:t>6~9</w:t>
                  </w:r>
                </w:p>
              </w:tc>
              <w:tc>
                <w:tcPr>
                  <w:tcW w:w="659" w:type="pct"/>
                  <w:tcBorders>
                    <w:tl2br w:val="nil"/>
                    <w:tr2bl w:val="nil"/>
                  </w:tcBorders>
                  <w:vAlign w:val="center"/>
                </w:tcPr>
                <w:p w14:paraId="699328E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lang w:val="en-US" w:eastAsia="zh-CN"/>
                    </w:rPr>
                  </w:pPr>
                  <w:r>
                    <w:rPr>
                      <w:rFonts w:hint="eastAsia" w:cs="Times New Roman" w:eastAsiaTheme="minorEastAsia"/>
                      <w:color w:val="auto"/>
                      <w:szCs w:val="21"/>
                      <w:highlight w:val="none"/>
                      <w:lang w:val="en-US" w:eastAsia="zh-CN"/>
                    </w:rPr>
                    <w:t>350</w:t>
                  </w:r>
                </w:p>
              </w:tc>
              <w:tc>
                <w:tcPr>
                  <w:tcW w:w="727" w:type="pct"/>
                  <w:tcBorders>
                    <w:tl2br w:val="nil"/>
                    <w:tr2bl w:val="nil"/>
                  </w:tcBorders>
                  <w:vAlign w:val="center"/>
                </w:tcPr>
                <w:p w14:paraId="632F787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lang w:val="en-US" w:eastAsia="zh-CN"/>
                    </w:rPr>
                  </w:pPr>
                  <w:r>
                    <w:rPr>
                      <w:rFonts w:hint="eastAsia" w:cs="Times New Roman" w:eastAsiaTheme="minorEastAsia"/>
                      <w:color w:val="auto"/>
                      <w:szCs w:val="21"/>
                      <w:highlight w:val="none"/>
                      <w:lang w:val="en-US" w:eastAsia="zh-CN"/>
                    </w:rPr>
                    <w:t>250</w:t>
                  </w:r>
                </w:p>
              </w:tc>
              <w:tc>
                <w:tcPr>
                  <w:tcW w:w="530" w:type="pct"/>
                  <w:tcBorders>
                    <w:tl2br w:val="nil"/>
                    <w:tr2bl w:val="nil"/>
                  </w:tcBorders>
                  <w:vAlign w:val="center"/>
                </w:tcPr>
                <w:p w14:paraId="094E4EE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lang w:val="en-US" w:eastAsia="zh-CN"/>
                    </w:rPr>
                  </w:pPr>
                  <w:r>
                    <w:rPr>
                      <w:rFonts w:hint="eastAsia" w:cs="Times New Roman" w:eastAsiaTheme="minorEastAsia"/>
                      <w:color w:val="auto"/>
                      <w:szCs w:val="21"/>
                      <w:highlight w:val="none"/>
                      <w:lang w:val="en-US" w:eastAsia="zh-CN"/>
                    </w:rPr>
                    <w:t>300</w:t>
                  </w:r>
                </w:p>
              </w:tc>
              <w:tc>
                <w:tcPr>
                  <w:tcW w:w="635" w:type="pct"/>
                  <w:tcBorders>
                    <w:tl2br w:val="nil"/>
                    <w:tr2bl w:val="nil"/>
                  </w:tcBorders>
                  <w:vAlign w:val="center"/>
                </w:tcPr>
                <w:p w14:paraId="7B6D3F2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lang w:val="en-US" w:eastAsia="zh-CN"/>
                    </w:rPr>
                  </w:pPr>
                  <w:r>
                    <w:rPr>
                      <w:rFonts w:hint="eastAsia" w:cs="Times New Roman" w:eastAsiaTheme="minorEastAsia"/>
                      <w:color w:val="auto"/>
                      <w:szCs w:val="21"/>
                      <w:highlight w:val="none"/>
                      <w:lang w:val="en-US" w:eastAsia="zh-CN"/>
                    </w:rPr>
                    <w:t>25</w:t>
                  </w:r>
                </w:p>
              </w:tc>
              <w:tc>
                <w:tcPr>
                  <w:tcW w:w="635" w:type="pct"/>
                  <w:tcBorders>
                    <w:tl2br w:val="nil"/>
                    <w:tr2bl w:val="nil"/>
                  </w:tcBorders>
                  <w:vAlign w:val="center"/>
                </w:tcPr>
                <w:p w14:paraId="7BE8D22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lang w:val="en-US" w:eastAsia="zh-CN"/>
                    </w:rPr>
                  </w:pPr>
                  <w:r>
                    <w:rPr>
                      <w:rFonts w:hint="eastAsia" w:cs="Times New Roman" w:eastAsiaTheme="minorEastAsia"/>
                      <w:color w:val="auto"/>
                      <w:szCs w:val="21"/>
                      <w:highlight w:val="none"/>
                      <w:lang w:val="en-US" w:eastAsia="zh-CN"/>
                    </w:rPr>
                    <w:t>5</w:t>
                  </w:r>
                </w:p>
              </w:tc>
              <w:tc>
                <w:tcPr>
                  <w:tcW w:w="635" w:type="pct"/>
                  <w:tcBorders>
                    <w:tl2br w:val="nil"/>
                    <w:tr2bl w:val="nil"/>
                  </w:tcBorders>
                  <w:vAlign w:val="center"/>
                </w:tcPr>
                <w:p w14:paraId="12E58E5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lang w:val="en-US" w:eastAsia="zh-CN"/>
                    </w:rPr>
                  </w:pPr>
                  <w:r>
                    <w:rPr>
                      <w:rFonts w:hint="eastAsia" w:cs="Times New Roman" w:eastAsiaTheme="minorEastAsia"/>
                      <w:color w:val="auto"/>
                      <w:szCs w:val="21"/>
                      <w:highlight w:val="none"/>
                      <w:lang w:val="en-US" w:eastAsia="zh-CN"/>
                    </w:rPr>
                    <w:t>40</w:t>
                  </w:r>
                </w:p>
              </w:tc>
            </w:tr>
          </w:tbl>
          <w:p w14:paraId="0E5ACFBD">
            <w:pPr>
              <w:keepLines w:val="0"/>
              <w:pageBreakBefore w:val="0"/>
              <w:topLinePunct w:val="0"/>
              <w:bidi w:val="0"/>
              <w:spacing w:beforeAutospacing="0" w:afterAutospacing="0" w:line="360" w:lineRule="auto"/>
              <w:ind w:left="0" w:leftChars="0" w:right="0" w:rightChars="0" w:firstLine="480" w:firstLineChars="200"/>
              <w:rPr>
                <w:rFonts w:hint="default" w:ascii="Times New Roman" w:hAnsi="Times New Roman" w:cs="Times New Roman" w:eastAsiaTheme="minorEastAsia"/>
                <w:b w:val="0"/>
                <w:bCs w:val="0"/>
                <w:color w:val="auto"/>
                <w:sz w:val="24"/>
              </w:rPr>
            </w:pPr>
            <w:r>
              <w:rPr>
                <w:rFonts w:hint="eastAsia" w:cs="Times New Roman" w:eastAsiaTheme="minorEastAsia"/>
                <w:b w:val="0"/>
                <w:bCs w:val="0"/>
                <w:color w:val="auto"/>
                <w:sz w:val="24"/>
                <w:lang w:val="en-US" w:eastAsia="zh-CN"/>
              </w:rPr>
              <w:t>3、</w:t>
            </w:r>
            <w:r>
              <w:rPr>
                <w:rFonts w:hint="default" w:ascii="Times New Roman" w:hAnsi="Times New Roman" w:cs="Times New Roman" w:eastAsiaTheme="minorEastAsia"/>
                <w:b w:val="0"/>
                <w:bCs w:val="0"/>
                <w:color w:val="auto"/>
                <w:sz w:val="24"/>
              </w:rPr>
              <w:t>噪声排放标准</w:t>
            </w:r>
          </w:p>
          <w:p w14:paraId="20F703CB">
            <w:pPr>
              <w:keepLines w:val="0"/>
              <w:pageBreakBefore w:val="0"/>
              <w:topLinePunct w:val="0"/>
              <w:bidi w:val="0"/>
              <w:adjustRightInd w:val="0"/>
              <w:snapToGrid w:val="0"/>
              <w:spacing w:beforeAutospacing="0" w:afterAutospacing="0" w:line="360" w:lineRule="auto"/>
              <w:ind w:left="0" w:leftChars="0" w:right="0" w:rightChars="0" w:firstLine="480" w:firstLineChars="200"/>
              <w:rPr>
                <w:rFonts w:hint="default" w:ascii="Times New Roman" w:hAnsi="Times New Roman" w:cs="Times New Roman" w:eastAsiaTheme="minorEastAsia"/>
                <w:bCs/>
                <w:color w:val="auto"/>
                <w:sz w:val="24"/>
              </w:rPr>
            </w:pPr>
            <w:r>
              <w:rPr>
                <w:rFonts w:hint="eastAsia" w:ascii="Times New Roman" w:hAnsi="Times New Roman" w:eastAsia="宋体" w:cs="Times New Roman"/>
                <w:color w:val="auto"/>
                <w:sz w:val="24"/>
                <w:highlight w:val="none"/>
                <w:lang w:val="en-US" w:eastAsia="zh-CN"/>
              </w:rPr>
              <w:t>本项目位于</w:t>
            </w:r>
            <w:r>
              <w:rPr>
                <w:rFonts w:hint="eastAsia" w:ascii="Times New Roman" w:hAnsi="Times New Roman" w:eastAsia="宋体" w:cs="Times New Roman"/>
                <w:color w:val="auto"/>
                <w:spacing w:val="4"/>
                <w:sz w:val="24"/>
                <w:highlight w:val="none"/>
                <w:lang w:val="en-US" w:eastAsia="zh-CN"/>
              </w:rPr>
              <w:t>双鸭山市尖山区安邦乡公立村</w:t>
            </w:r>
            <w:r>
              <w:rPr>
                <w:rFonts w:hint="eastAsia"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lang w:val="en-US" w:eastAsia="zh-CN"/>
              </w:rPr>
              <w:t>根据《</w:t>
            </w:r>
            <w:r>
              <w:rPr>
                <w:rFonts w:hint="eastAsia" w:ascii="Times New Roman" w:hAnsi="Times New Roman" w:eastAsia="宋体" w:cs="Times New Roman"/>
                <w:color w:val="auto"/>
                <w:sz w:val="24"/>
              </w:rPr>
              <w:t>声环境功能区划分技术规范</w:t>
            </w:r>
            <w:r>
              <w:rPr>
                <w:rFonts w:hint="eastAsia" w:ascii="Times New Roman" w:hAnsi="Times New Roman" w:eastAsia="宋体" w:cs="Times New Roman"/>
                <w:color w:val="auto"/>
                <w:sz w:val="24"/>
                <w:lang w:val="en-US" w:eastAsia="zh-CN"/>
              </w:rPr>
              <w:t>》（GB/T15190-2014）属</w:t>
            </w:r>
            <w:r>
              <w:rPr>
                <w:rFonts w:hint="eastAsia" w:ascii="Times New Roman" w:hAnsi="Times New Roman" w:cs="Times New Roman" w:eastAsiaTheme="minorEastAsia"/>
                <w:bCs/>
                <w:color w:val="auto"/>
                <w:sz w:val="24"/>
                <w:lang w:val="en-US" w:eastAsia="zh-CN"/>
              </w:rPr>
              <w:t>于1类声功能区，则</w:t>
            </w:r>
            <w:r>
              <w:rPr>
                <w:rFonts w:hint="eastAsia"/>
                <w:color w:val="auto"/>
                <w:sz w:val="24"/>
              </w:rPr>
              <w:t>厂界</w:t>
            </w:r>
            <w:r>
              <w:rPr>
                <w:rFonts w:hint="eastAsia"/>
                <w:color w:val="auto"/>
                <w:szCs w:val="21"/>
              </w:rPr>
              <w:t>四周</w:t>
            </w:r>
            <w:r>
              <w:rPr>
                <w:rFonts w:hint="eastAsia"/>
                <w:color w:val="auto"/>
                <w:sz w:val="24"/>
              </w:rPr>
              <w:t>噪声</w:t>
            </w:r>
            <w:r>
              <w:rPr>
                <w:color w:val="auto"/>
                <w:sz w:val="24"/>
              </w:rPr>
              <w:t>执行《工业企业厂界环境噪声排放标准》（GB12348</w:t>
            </w:r>
            <w:r>
              <w:rPr>
                <w:rFonts w:hint="eastAsia"/>
                <w:color w:val="auto"/>
                <w:sz w:val="24"/>
              </w:rPr>
              <w:t>-</w:t>
            </w:r>
            <w:r>
              <w:rPr>
                <w:color w:val="auto"/>
                <w:sz w:val="24"/>
              </w:rPr>
              <w:t>2008）中的</w:t>
            </w:r>
            <w:r>
              <w:rPr>
                <w:rFonts w:hint="eastAsia"/>
                <w:color w:val="auto"/>
                <w:sz w:val="24"/>
                <w:lang w:val="en-US" w:eastAsia="zh-CN"/>
              </w:rPr>
              <w:t>1</w:t>
            </w:r>
            <w:r>
              <w:rPr>
                <w:color w:val="auto"/>
                <w:sz w:val="24"/>
              </w:rPr>
              <w:t>类标准</w:t>
            </w:r>
            <w:r>
              <w:rPr>
                <w:rFonts w:hint="eastAsia" w:ascii="Times New Roman" w:hAnsi="Times New Roman" w:eastAsia="宋体" w:cs="Times New Roman"/>
                <w:color w:val="auto"/>
                <w:kern w:val="0"/>
                <w:sz w:val="24"/>
                <w:szCs w:val="28"/>
              </w:rPr>
              <w:t>，</w:t>
            </w:r>
            <w:r>
              <w:rPr>
                <w:rFonts w:hint="eastAsia" w:cs="Times New Roman" w:eastAsiaTheme="minorEastAsia"/>
                <w:bCs/>
                <w:color w:val="auto"/>
                <w:sz w:val="24"/>
                <w:lang w:eastAsia="zh-CN"/>
              </w:rPr>
              <w:t>噪声排放标准见表</w:t>
            </w:r>
            <w:r>
              <w:rPr>
                <w:rFonts w:hint="eastAsia" w:cs="Times New Roman" w:eastAsiaTheme="minorEastAsia"/>
                <w:bCs/>
                <w:color w:val="auto"/>
                <w:sz w:val="24"/>
                <w:lang w:val="en-US" w:eastAsia="zh-CN"/>
              </w:rPr>
              <w:t>3-14</w:t>
            </w:r>
            <w:r>
              <w:rPr>
                <w:rFonts w:hint="default" w:ascii="Times New Roman" w:hAnsi="Times New Roman" w:cs="Times New Roman" w:eastAsiaTheme="minorEastAsia"/>
                <w:bCs/>
                <w:color w:val="auto"/>
                <w:sz w:val="24"/>
              </w:rPr>
              <w:t>。</w:t>
            </w:r>
          </w:p>
          <w:p w14:paraId="1BB67DB0">
            <w:pPr>
              <w:pStyle w:val="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2" w:firstLineChars="200"/>
              <w:jc w:val="center"/>
              <w:textAlignment w:val="auto"/>
              <w:rPr>
                <w:rFonts w:hint="default" w:ascii="Times New Roman" w:hAnsi="Times New Roman" w:cs="Times New Roman" w:eastAsiaTheme="minorEastAsia"/>
                <w:b/>
                <w:bCs/>
                <w:color w:val="auto"/>
                <w:kern w:val="2"/>
                <w:sz w:val="21"/>
                <w:szCs w:val="24"/>
                <w:highlight w:val="none"/>
                <w:lang w:val="en-US" w:eastAsia="zh-CN" w:bidi="ar-SA"/>
              </w:rPr>
            </w:pPr>
            <w:r>
              <w:rPr>
                <w:rFonts w:hint="default" w:ascii="Times New Roman" w:hAnsi="Times New Roman" w:cs="Times New Roman" w:eastAsiaTheme="minorEastAsia"/>
                <w:b/>
                <w:bCs/>
                <w:color w:val="auto"/>
                <w:kern w:val="2"/>
                <w:sz w:val="21"/>
                <w:szCs w:val="24"/>
                <w:highlight w:val="none"/>
                <w:lang w:val="en-US" w:eastAsia="zh-CN" w:bidi="ar-SA"/>
              </w:rPr>
              <w:t>表3-</w:t>
            </w:r>
            <w:r>
              <w:rPr>
                <w:rFonts w:hint="eastAsia" w:cs="Times New Roman" w:eastAsiaTheme="minorEastAsia"/>
                <w:b/>
                <w:bCs/>
                <w:color w:val="auto"/>
                <w:kern w:val="2"/>
                <w:sz w:val="21"/>
                <w:szCs w:val="24"/>
                <w:highlight w:val="none"/>
                <w:lang w:val="en-US" w:eastAsia="zh-CN" w:bidi="ar-SA"/>
              </w:rPr>
              <w:t xml:space="preserve">14 </w:t>
            </w:r>
            <w:r>
              <w:rPr>
                <w:rFonts w:hint="eastAsia" w:ascii="Times New Roman" w:hAnsi="Times New Roman" w:cs="Times New Roman" w:eastAsiaTheme="minorEastAsia"/>
                <w:b/>
                <w:bCs/>
                <w:color w:val="auto"/>
                <w:kern w:val="2"/>
                <w:sz w:val="21"/>
                <w:szCs w:val="24"/>
                <w:highlight w:val="none"/>
                <w:lang w:val="en-US" w:eastAsia="zh-CN" w:bidi="ar-SA"/>
              </w:rPr>
              <w:t xml:space="preserve"> </w:t>
            </w:r>
            <w:r>
              <w:rPr>
                <w:rFonts w:hint="default" w:ascii="Times New Roman" w:hAnsi="Times New Roman" w:cs="Times New Roman" w:eastAsiaTheme="minorEastAsia"/>
                <w:b/>
                <w:bCs/>
                <w:color w:val="auto"/>
                <w:kern w:val="2"/>
                <w:sz w:val="21"/>
                <w:szCs w:val="24"/>
                <w:highlight w:val="none"/>
                <w:lang w:val="en-US" w:eastAsia="zh-CN" w:bidi="ar-SA"/>
              </w:rPr>
              <w:t>《工业企业厂界环境噪声排放标准》（GB12348-2008）</w:t>
            </w:r>
          </w:p>
          <w:tbl>
            <w:tblPr>
              <w:tblStyle w:val="3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2536"/>
              <w:gridCol w:w="1540"/>
              <w:gridCol w:w="1819"/>
              <w:gridCol w:w="2268"/>
            </w:tblGrid>
            <w:tr w14:paraId="24318F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0" w:hRule="atLeast"/>
              </w:trPr>
              <w:tc>
                <w:tcPr>
                  <w:tcW w:w="1553" w:type="pct"/>
                  <w:vMerge w:val="restart"/>
                  <w:vAlign w:val="center"/>
                </w:tcPr>
                <w:p w14:paraId="2F5C6AC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lang w:eastAsia="zh-CN"/>
                    </w:rPr>
                  </w:pPr>
                  <w:r>
                    <w:rPr>
                      <w:rFonts w:hint="default" w:ascii="Times New Roman" w:hAnsi="Times New Roman" w:cs="Times New Roman" w:eastAsiaTheme="minorEastAsia"/>
                      <w:color w:val="auto"/>
                      <w:szCs w:val="21"/>
                      <w:highlight w:val="none"/>
                      <w:lang w:eastAsia="zh-CN"/>
                    </w:rPr>
                    <w:t>点位</w:t>
                  </w:r>
                </w:p>
              </w:tc>
              <w:tc>
                <w:tcPr>
                  <w:tcW w:w="943" w:type="pct"/>
                  <w:vMerge w:val="restart"/>
                  <w:vAlign w:val="center"/>
                </w:tcPr>
                <w:p w14:paraId="1025FF9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声环境功能区类别</w:t>
                  </w:r>
                </w:p>
              </w:tc>
              <w:tc>
                <w:tcPr>
                  <w:tcW w:w="2502" w:type="pct"/>
                  <w:gridSpan w:val="2"/>
                  <w:vAlign w:val="center"/>
                </w:tcPr>
                <w:p w14:paraId="52A007C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eastAsiaTheme="minorEastAsia"/>
                      <w:color w:val="auto"/>
                      <w:szCs w:val="21"/>
                      <w:highlight w:val="none"/>
                      <w:lang w:eastAsia="zh-CN"/>
                    </w:rPr>
                  </w:pPr>
                  <w:r>
                    <w:rPr>
                      <w:rFonts w:hint="default" w:ascii="Times New Roman" w:hAnsi="Times New Roman" w:cs="Times New Roman" w:eastAsiaTheme="minorEastAsia"/>
                      <w:color w:val="auto"/>
                      <w:szCs w:val="21"/>
                      <w:highlight w:val="none"/>
                    </w:rPr>
                    <w:t>环境噪声标准值dB</w:t>
                  </w:r>
                  <w:r>
                    <w:rPr>
                      <w:rFonts w:hint="eastAsia" w:cs="Times New Roman" w:eastAsiaTheme="minorEastAsia"/>
                      <w:color w:val="auto"/>
                      <w:szCs w:val="21"/>
                      <w:highlight w:val="none"/>
                      <w:lang w:eastAsia="zh-CN"/>
                    </w:rPr>
                    <w:t>（</w:t>
                  </w:r>
                  <w:r>
                    <w:rPr>
                      <w:rFonts w:hint="default" w:ascii="Times New Roman" w:hAnsi="Times New Roman" w:cs="Times New Roman" w:eastAsiaTheme="minorEastAsia"/>
                      <w:color w:val="auto"/>
                      <w:szCs w:val="21"/>
                      <w:highlight w:val="none"/>
                    </w:rPr>
                    <w:t>A</w:t>
                  </w:r>
                  <w:r>
                    <w:rPr>
                      <w:rFonts w:hint="eastAsia" w:cs="Times New Roman" w:eastAsiaTheme="minorEastAsia"/>
                      <w:color w:val="auto"/>
                      <w:szCs w:val="21"/>
                      <w:highlight w:val="none"/>
                      <w:lang w:eastAsia="zh-CN"/>
                    </w:rPr>
                    <w:t>）</w:t>
                  </w:r>
                </w:p>
              </w:tc>
            </w:tr>
            <w:tr w14:paraId="4B4CC1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553" w:type="pct"/>
                  <w:vMerge w:val="continue"/>
                  <w:vAlign w:val="center"/>
                </w:tcPr>
                <w:p w14:paraId="4B0470D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rPr>
                  </w:pPr>
                </w:p>
              </w:tc>
              <w:tc>
                <w:tcPr>
                  <w:tcW w:w="943" w:type="pct"/>
                  <w:vMerge w:val="continue"/>
                  <w:vAlign w:val="center"/>
                </w:tcPr>
                <w:p w14:paraId="266F3EA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rPr>
                  </w:pPr>
                </w:p>
              </w:tc>
              <w:tc>
                <w:tcPr>
                  <w:tcW w:w="1114" w:type="pct"/>
                  <w:vAlign w:val="center"/>
                </w:tcPr>
                <w:p w14:paraId="0D3EAFC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昼间</w:t>
                  </w:r>
                </w:p>
              </w:tc>
              <w:tc>
                <w:tcPr>
                  <w:tcW w:w="1388" w:type="pct"/>
                  <w:vAlign w:val="center"/>
                </w:tcPr>
                <w:p w14:paraId="75231F4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夜间</w:t>
                  </w:r>
                </w:p>
              </w:tc>
            </w:tr>
            <w:tr w14:paraId="489919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553" w:type="pct"/>
                  <w:vAlign w:val="center"/>
                </w:tcPr>
                <w:p w14:paraId="37054D2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lang w:eastAsia="zh-CN"/>
                    </w:rPr>
                  </w:pPr>
                  <w:r>
                    <w:rPr>
                      <w:rFonts w:hint="default" w:ascii="Times New Roman" w:hAnsi="Times New Roman" w:cs="Times New Roman" w:eastAsiaTheme="minorEastAsia"/>
                      <w:color w:val="auto"/>
                      <w:szCs w:val="21"/>
                      <w:highlight w:val="none"/>
                      <w:lang w:eastAsia="zh-CN"/>
                    </w:rPr>
                    <w:t>厂界</w:t>
                  </w:r>
                  <w:r>
                    <w:rPr>
                      <w:rFonts w:hint="eastAsia" w:cs="Times New Roman" w:eastAsiaTheme="minorEastAsia"/>
                      <w:color w:val="auto"/>
                      <w:szCs w:val="21"/>
                      <w:highlight w:val="none"/>
                      <w:lang w:val="en-US" w:eastAsia="zh-CN"/>
                    </w:rPr>
                    <w:t>四周</w:t>
                  </w:r>
                </w:p>
              </w:tc>
              <w:tc>
                <w:tcPr>
                  <w:tcW w:w="943" w:type="pct"/>
                  <w:vAlign w:val="center"/>
                </w:tcPr>
                <w:p w14:paraId="310EF19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rPr>
                  </w:pPr>
                  <w:r>
                    <w:rPr>
                      <w:rFonts w:hint="eastAsia" w:cs="Times New Roman" w:eastAsiaTheme="minorEastAsia"/>
                      <w:color w:val="auto"/>
                      <w:szCs w:val="21"/>
                      <w:highlight w:val="none"/>
                      <w:lang w:val="en-US" w:eastAsia="zh-CN"/>
                    </w:rPr>
                    <w:t>1</w:t>
                  </w:r>
                  <w:r>
                    <w:rPr>
                      <w:rFonts w:hint="default" w:ascii="Times New Roman" w:hAnsi="Times New Roman" w:cs="Times New Roman" w:eastAsiaTheme="minorEastAsia"/>
                      <w:color w:val="auto"/>
                      <w:szCs w:val="21"/>
                      <w:highlight w:val="none"/>
                    </w:rPr>
                    <w:t>类</w:t>
                  </w:r>
                </w:p>
              </w:tc>
              <w:tc>
                <w:tcPr>
                  <w:tcW w:w="1114" w:type="pct"/>
                  <w:vAlign w:val="center"/>
                </w:tcPr>
                <w:p w14:paraId="2A32EF2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lang w:val="en-US" w:eastAsia="zh-CN"/>
                    </w:rPr>
                  </w:pPr>
                  <w:r>
                    <w:rPr>
                      <w:rFonts w:hint="eastAsia" w:cs="Times New Roman" w:eastAsiaTheme="minorEastAsia"/>
                      <w:color w:val="auto"/>
                      <w:szCs w:val="21"/>
                      <w:highlight w:val="none"/>
                      <w:lang w:val="en-US" w:eastAsia="zh-CN"/>
                    </w:rPr>
                    <w:t>55</w:t>
                  </w:r>
                </w:p>
              </w:tc>
              <w:tc>
                <w:tcPr>
                  <w:tcW w:w="1388" w:type="pct"/>
                  <w:vAlign w:val="center"/>
                </w:tcPr>
                <w:p w14:paraId="318002D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lang w:val="en-US" w:eastAsia="zh-CN"/>
                    </w:rPr>
                  </w:pPr>
                  <w:r>
                    <w:rPr>
                      <w:rFonts w:hint="eastAsia" w:cs="Times New Roman" w:eastAsiaTheme="minorEastAsia"/>
                      <w:color w:val="auto"/>
                      <w:szCs w:val="21"/>
                      <w:highlight w:val="none"/>
                      <w:lang w:val="en-US" w:eastAsia="zh-CN"/>
                    </w:rPr>
                    <w:t>45</w:t>
                  </w:r>
                </w:p>
              </w:tc>
            </w:tr>
          </w:tbl>
          <w:p w14:paraId="12226702">
            <w:pPr>
              <w:keepLines w:val="0"/>
              <w:pageBreakBefore w:val="0"/>
              <w:topLinePunct w:val="0"/>
              <w:bidi w:val="0"/>
              <w:spacing w:beforeAutospacing="0" w:afterAutospacing="0" w:line="360" w:lineRule="auto"/>
              <w:ind w:left="0" w:leftChars="0" w:right="0" w:rightChars="0" w:firstLine="480" w:firstLineChars="200"/>
              <w:rPr>
                <w:rFonts w:hint="default" w:ascii="Times New Roman" w:hAnsi="Times New Roman" w:cs="Times New Roman" w:eastAsiaTheme="minorEastAsia"/>
                <w:b w:val="0"/>
                <w:bCs w:val="0"/>
                <w:color w:val="auto"/>
                <w:sz w:val="24"/>
                <w:highlight w:val="none"/>
              </w:rPr>
            </w:pPr>
            <w:r>
              <w:rPr>
                <w:rFonts w:hint="eastAsia" w:ascii="Times New Roman" w:hAnsi="Times New Roman" w:cs="Times New Roman" w:eastAsiaTheme="minorEastAsia"/>
                <w:b w:val="0"/>
                <w:bCs w:val="0"/>
                <w:color w:val="auto"/>
                <w:sz w:val="24"/>
                <w:highlight w:val="none"/>
                <w:lang w:val="en-US" w:eastAsia="zh-CN"/>
              </w:rPr>
              <w:t>4</w:t>
            </w:r>
            <w:r>
              <w:rPr>
                <w:rFonts w:hint="default" w:ascii="Times New Roman" w:hAnsi="Times New Roman" w:cs="Times New Roman" w:eastAsiaTheme="minorEastAsia"/>
                <w:b w:val="0"/>
                <w:bCs w:val="0"/>
                <w:color w:val="auto"/>
                <w:sz w:val="24"/>
                <w:highlight w:val="none"/>
              </w:rPr>
              <w:t>、固废排放标准</w:t>
            </w:r>
          </w:p>
          <w:bookmarkEnd w:id="14"/>
          <w:bookmarkEnd w:id="15"/>
          <w:bookmarkEnd w:id="16"/>
          <w:bookmarkEnd w:id="17"/>
          <w:bookmarkEnd w:id="18"/>
          <w:p w14:paraId="169E93BE">
            <w:pPr>
              <w:pStyle w:val="80"/>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0" w:leftChars="0" w:firstLine="480" w:firstLineChars="200"/>
              <w:textAlignment w:val="auto"/>
              <w:rPr>
                <w:rFonts w:hint="default" w:ascii="Times New Roman" w:hAnsi="Times New Roman" w:eastAsia="宋体" w:cs="Times New Roman"/>
                <w:snapToGrid w:val="0"/>
                <w:color w:val="auto"/>
                <w:kern w:val="2"/>
                <w:sz w:val="24"/>
                <w:szCs w:val="24"/>
                <w:highlight w:val="none"/>
                <w:lang w:val="en-US" w:eastAsia="zh-CN" w:bidi="ar-SA"/>
              </w:rPr>
            </w:pPr>
            <w:r>
              <w:rPr>
                <w:rFonts w:hint="default" w:ascii="Times New Roman" w:hAnsi="Times New Roman" w:eastAsia="宋体" w:cs="Times New Roman"/>
                <w:color w:val="auto"/>
                <w:kern w:val="0"/>
                <w:sz w:val="24"/>
                <w:szCs w:val="28"/>
                <w:lang w:val="en-US" w:eastAsia="zh-CN" w:bidi="ar-SA"/>
              </w:rPr>
              <w:t>《</w:t>
            </w:r>
            <w:r>
              <w:rPr>
                <w:rFonts w:hint="eastAsia" w:ascii="Times New Roman" w:hAnsi="Times New Roman" w:eastAsia="宋体" w:cs="Times New Roman"/>
                <w:color w:val="auto"/>
                <w:kern w:val="0"/>
                <w:sz w:val="24"/>
                <w:szCs w:val="28"/>
                <w:lang w:val="en-US" w:eastAsia="zh-CN" w:bidi="ar-SA"/>
              </w:rPr>
              <w:t>一般</w:t>
            </w:r>
            <w:r>
              <w:rPr>
                <w:rFonts w:hint="default" w:ascii="Times New Roman" w:hAnsi="Times New Roman" w:eastAsia="宋体" w:cs="Times New Roman"/>
                <w:color w:val="auto"/>
                <w:kern w:val="0"/>
                <w:sz w:val="24"/>
                <w:szCs w:val="28"/>
                <w:lang w:val="en-US" w:eastAsia="zh-CN" w:bidi="ar-SA"/>
              </w:rPr>
              <w:t>工业固体废物贮存</w:t>
            </w:r>
            <w:r>
              <w:rPr>
                <w:rFonts w:hint="eastAsia" w:ascii="Times New Roman" w:hAnsi="Times New Roman" w:eastAsia="宋体" w:cs="Times New Roman"/>
                <w:color w:val="auto"/>
                <w:kern w:val="0"/>
                <w:sz w:val="24"/>
                <w:szCs w:val="28"/>
                <w:lang w:val="en-US" w:eastAsia="zh-CN" w:bidi="ar-SA"/>
              </w:rPr>
              <w:t>和填埋</w:t>
            </w:r>
            <w:r>
              <w:rPr>
                <w:rFonts w:hint="default" w:ascii="Times New Roman" w:hAnsi="Times New Roman" w:eastAsia="宋体" w:cs="Times New Roman"/>
                <w:color w:val="auto"/>
                <w:kern w:val="0"/>
                <w:sz w:val="24"/>
                <w:szCs w:val="28"/>
                <w:lang w:val="en-US" w:eastAsia="zh-CN" w:bidi="ar-SA"/>
              </w:rPr>
              <w:t>污染控制标准》（GB1859</w:t>
            </w:r>
            <w:r>
              <w:rPr>
                <w:rFonts w:hint="eastAsia" w:ascii="Times New Roman" w:hAnsi="Times New Roman" w:eastAsia="宋体" w:cs="Times New Roman"/>
                <w:color w:val="auto"/>
                <w:kern w:val="0"/>
                <w:sz w:val="24"/>
                <w:szCs w:val="28"/>
                <w:lang w:val="en-US" w:eastAsia="zh-CN" w:bidi="ar-SA"/>
              </w:rPr>
              <w:t>9</w:t>
            </w:r>
            <w:r>
              <w:rPr>
                <w:rFonts w:hint="default" w:ascii="Times New Roman" w:hAnsi="Times New Roman" w:eastAsia="宋体" w:cs="Times New Roman"/>
                <w:color w:val="auto"/>
                <w:kern w:val="0"/>
                <w:sz w:val="24"/>
                <w:szCs w:val="28"/>
                <w:lang w:val="en-US" w:eastAsia="zh-CN" w:bidi="ar-SA"/>
              </w:rPr>
              <w:t>-20</w:t>
            </w:r>
            <w:r>
              <w:rPr>
                <w:rFonts w:hint="eastAsia" w:ascii="Times New Roman" w:hAnsi="Times New Roman" w:eastAsia="宋体" w:cs="Times New Roman"/>
                <w:color w:val="auto"/>
                <w:kern w:val="0"/>
                <w:sz w:val="24"/>
                <w:szCs w:val="28"/>
                <w:lang w:val="en-US" w:eastAsia="zh-CN" w:bidi="ar-SA"/>
              </w:rPr>
              <w:t>20</w:t>
            </w:r>
            <w:r>
              <w:rPr>
                <w:rFonts w:hint="default" w:ascii="Times New Roman" w:hAnsi="Times New Roman" w:eastAsia="宋体" w:cs="Times New Roman"/>
                <w:color w:val="auto"/>
                <w:kern w:val="0"/>
                <w:sz w:val="24"/>
                <w:szCs w:val="28"/>
                <w:lang w:val="en-US" w:eastAsia="zh-CN" w:bidi="ar-SA"/>
              </w:rPr>
              <w:t>）</w:t>
            </w:r>
            <w:r>
              <w:rPr>
                <w:rFonts w:hint="eastAsia" w:ascii="Times New Roman" w:hAnsi="Times New Roman" w:eastAsia="宋体" w:cs="Times New Roman"/>
                <w:color w:val="auto"/>
                <w:kern w:val="0"/>
                <w:sz w:val="24"/>
                <w:szCs w:val="28"/>
                <w:lang w:val="en-US" w:eastAsia="zh-CN" w:bidi="ar-SA"/>
              </w:rPr>
              <w:t>、《危险废物贮存污染控制标准》（GB18597-2023）。</w:t>
            </w:r>
          </w:p>
        </w:tc>
      </w:tr>
      <w:tr w14:paraId="0A2ECD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374" w:type="pct"/>
            <w:vAlign w:val="center"/>
          </w:tcPr>
          <w:p w14:paraId="3A9F9AEC">
            <w:pPr>
              <w:adjustRightInd w:val="0"/>
              <w:snapToGrid w:val="0"/>
              <w:jc w:val="center"/>
              <w:rPr>
                <w:b/>
                <w:bCs/>
                <w:color w:val="auto"/>
                <w:kern w:val="0"/>
                <w:szCs w:val="21"/>
              </w:rPr>
            </w:pPr>
            <w:r>
              <w:rPr>
                <w:b/>
                <w:bCs/>
                <w:color w:val="auto"/>
                <w:kern w:val="0"/>
                <w:szCs w:val="21"/>
              </w:rPr>
              <w:t>总量</w:t>
            </w:r>
          </w:p>
          <w:p w14:paraId="4BFCC2E9">
            <w:pPr>
              <w:adjustRightInd w:val="0"/>
              <w:snapToGrid w:val="0"/>
              <w:jc w:val="center"/>
              <w:rPr>
                <w:b/>
                <w:bCs/>
                <w:color w:val="auto"/>
                <w:kern w:val="0"/>
                <w:szCs w:val="21"/>
              </w:rPr>
            </w:pPr>
            <w:r>
              <w:rPr>
                <w:b/>
                <w:bCs/>
                <w:color w:val="auto"/>
                <w:kern w:val="0"/>
                <w:szCs w:val="21"/>
              </w:rPr>
              <w:t>控制</w:t>
            </w:r>
          </w:p>
          <w:p w14:paraId="431DAA8F">
            <w:pPr>
              <w:adjustRightInd w:val="0"/>
              <w:snapToGrid w:val="0"/>
              <w:jc w:val="center"/>
              <w:rPr>
                <w:rFonts w:hint="default" w:ascii="Times New Roman" w:hAnsi="Times New Roman" w:eastAsia="宋体" w:cs="Times New Roman"/>
                <w:b/>
                <w:bCs/>
                <w:color w:val="auto"/>
                <w:kern w:val="0"/>
                <w:szCs w:val="21"/>
              </w:rPr>
            </w:pPr>
            <w:r>
              <w:rPr>
                <w:b/>
                <w:bCs/>
                <w:color w:val="auto"/>
                <w:kern w:val="0"/>
                <w:szCs w:val="21"/>
              </w:rPr>
              <w:t>指标</w:t>
            </w:r>
          </w:p>
        </w:tc>
        <w:tc>
          <w:tcPr>
            <w:tcW w:w="4625" w:type="pct"/>
            <w:vAlign w:val="center"/>
          </w:tcPr>
          <w:p w14:paraId="6E817B96">
            <w:pPr>
              <w:pStyle w:val="80"/>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0" w:leftChars="0" w:firstLine="480" w:firstLineChars="200"/>
              <w:textAlignment w:val="auto"/>
              <w:rPr>
                <w:rFonts w:hint="eastAsia" w:ascii="Times New Roman" w:hAnsi="Times New Roman" w:cs="Times New Roman" w:eastAsiaTheme="minorEastAsia"/>
                <w:b w:val="0"/>
                <w:bCs w:val="0"/>
                <w:color w:val="auto"/>
                <w:kern w:val="2"/>
                <w:sz w:val="24"/>
                <w:szCs w:val="24"/>
                <w:highlight w:val="none"/>
                <w:lang w:val="en-US" w:eastAsia="zh-CN" w:bidi="ar-SA"/>
              </w:rPr>
            </w:pPr>
            <w:r>
              <w:rPr>
                <w:rFonts w:hint="eastAsia" w:ascii="Times New Roman" w:hAnsi="Times New Roman" w:cs="Times New Roman" w:eastAsiaTheme="minorEastAsia"/>
                <w:b w:val="0"/>
                <w:bCs w:val="0"/>
                <w:color w:val="auto"/>
                <w:kern w:val="2"/>
                <w:sz w:val="24"/>
                <w:szCs w:val="24"/>
                <w:highlight w:val="none"/>
                <w:lang w:val="en-US" w:eastAsia="zh-CN" w:bidi="ar-SA"/>
              </w:rPr>
              <w:t>1、总量控制指标</w:t>
            </w:r>
          </w:p>
          <w:p w14:paraId="558ADE4B">
            <w:pPr>
              <w:keepLines w:val="0"/>
              <w:pageBreakBefore w:val="0"/>
              <w:topLinePunct w:val="0"/>
              <w:bidi w:val="0"/>
              <w:adjustRightInd w:val="0"/>
              <w:snapToGrid w:val="0"/>
              <w:spacing w:beforeAutospacing="0" w:afterAutospacing="0" w:line="360" w:lineRule="auto"/>
              <w:ind w:left="0" w:leftChars="0" w:right="0" w:rightChars="0" w:firstLine="480" w:firstLineChars="200"/>
              <w:rPr>
                <w:rFonts w:hint="default" w:ascii="Times New Roman" w:hAnsi="Times New Roman" w:cs="Times New Roman" w:eastAsiaTheme="minorEastAsia"/>
                <w:b w:val="0"/>
                <w:bCs w:val="0"/>
                <w:color w:val="auto"/>
                <w:sz w:val="24"/>
                <w:szCs w:val="24"/>
              </w:rPr>
            </w:pPr>
            <w:r>
              <w:rPr>
                <w:rFonts w:hint="eastAsia" w:cs="Times New Roman"/>
                <w:color w:val="auto"/>
                <w:sz w:val="24"/>
                <w:highlight w:val="none"/>
                <w:lang w:val="en-US" w:eastAsia="zh-CN"/>
              </w:rPr>
              <w:t>根据“十四五”主要污染物排放总量，</w:t>
            </w:r>
            <w:r>
              <w:rPr>
                <w:rFonts w:hint="default" w:ascii="Times New Roman" w:hAnsi="Times New Roman" w:cs="Times New Roman" w:eastAsiaTheme="minorEastAsia"/>
                <w:b w:val="0"/>
                <w:bCs w:val="0"/>
                <w:color w:val="auto"/>
                <w:sz w:val="24"/>
                <w:szCs w:val="24"/>
              </w:rPr>
              <w:t>本项目污染物排放总量见表3-</w:t>
            </w:r>
            <w:r>
              <w:rPr>
                <w:rFonts w:hint="eastAsia" w:cs="Times New Roman" w:eastAsiaTheme="minorEastAsia"/>
                <w:b w:val="0"/>
                <w:bCs w:val="0"/>
                <w:color w:val="auto"/>
                <w:sz w:val="24"/>
                <w:szCs w:val="24"/>
                <w:lang w:val="en-US" w:eastAsia="zh-CN"/>
              </w:rPr>
              <w:t>15</w:t>
            </w:r>
            <w:r>
              <w:rPr>
                <w:rFonts w:hint="default" w:ascii="Times New Roman" w:hAnsi="Times New Roman" w:cs="Times New Roman" w:eastAsiaTheme="minorEastAsia"/>
                <w:b w:val="0"/>
                <w:bCs w:val="0"/>
                <w:color w:val="auto"/>
                <w:sz w:val="24"/>
                <w:szCs w:val="24"/>
              </w:rPr>
              <w:t>。</w:t>
            </w:r>
          </w:p>
          <w:p w14:paraId="0C614A44">
            <w:pPr>
              <w:pStyle w:val="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2" w:firstLineChars="200"/>
              <w:jc w:val="center"/>
              <w:textAlignment w:val="auto"/>
              <w:rPr>
                <w:rFonts w:hint="default" w:ascii="Times New Roman" w:hAnsi="Times New Roman" w:cs="Times New Roman" w:eastAsiaTheme="minorEastAsia"/>
                <w:b/>
                <w:bCs/>
                <w:color w:val="auto"/>
                <w:kern w:val="2"/>
                <w:sz w:val="21"/>
                <w:szCs w:val="24"/>
                <w:highlight w:val="none"/>
                <w:lang w:val="en-US" w:eastAsia="zh-CN" w:bidi="ar-SA"/>
              </w:rPr>
            </w:pPr>
            <w:r>
              <w:rPr>
                <w:rFonts w:hint="default" w:ascii="Times New Roman" w:hAnsi="Times New Roman" w:cs="Times New Roman" w:eastAsiaTheme="minorEastAsia"/>
                <w:b/>
                <w:bCs/>
                <w:color w:val="auto"/>
                <w:kern w:val="2"/>
                <w:sz w:val="21"/>
                <w:szCs w:val="24"/>
                <w:highlight w:val="none"/>
                <w:lang w:val="en-US" w:eastAsia="zh-CN" w:bidi="ar-SA"/>
              </w:rPr>
              <w:t>表3-</w:t>
            </w:r>
            <w:r>
              <w:rPr>
                <w:rFonts w:hint="eastAsia" w:ascii="Times New Roman" w:hAnsi="Times New Roman" w:cs="Times New Roman" w:eastAsiaTheme="minorEastAsia"/>
                <w:b/>
                <w:bCs/>
                <w:color w:val="auto"/>
                <w:kern w:val="2"/>
                <w:sz w:val="21"/>
                <w:szCs w:val="24"/>
                <w:highlight w:val="none"/>
                <w:lang w:val="en-US" w:eastAsia="zh-CN" w:bidi="ar-SA"/>
              </w:rPr>
              <w:t>15</w:t>
            </w:r>
            <w:r>
              <w:rPr>
                <w:rFonts w:hint="default" w:ascii="Times New Roman" w:hAnsi="Times New Roman" w:cs="Times New Roman" w:eastAsiaTheme="minorEastAsia"/>
                <w:b/>
                <w:bCs/>
                <w:color w:val="auto"/>
                <w:kern w:val="2"/>
                <w:sz w:val="21"/>
                <w:szCs w:val="24"/>
                <w:highlight w:val="none"/>
                <w:lang w:val="en-US" w:eastAsia="zh-CN" w:bidi="ar-SA"/>
              </w:rPr>
              <w:t xml:space="preserve"> </w:t>
            </w:r>
            <w:r>
              <w:rPr>
                <w:rFonts w:hint="eastAsia" w:ascii="Times New Roman" w:hAnsi="Times New Roman" w:cs="Times New Roman" w:eastAsiaTheme="minorEastAsia"/>
                <w:b/>
                <w:bCs/>
                <w:color w:val="auto"/>
                <w:kern w:val="2"/>
                <w:sz w:val="21"/>
                <w:szCs w:val="24"/>
                <w:highlight w:val="none"/>
                <w:lang w:val="en-US" w:eastAsia="zh-CN" w:bidi="ar-SA"/>
              </w:rPr>
              <w:t xml:space="preserve"> </w:t>
            </w:r>
            <w:r>
              <w:rPr>
                <w:rFonts w:hint="default" w:ascii="Times New Roman" w:hAnsi="Times New Roman" w:cs="Times New Roman" w:eastAsiaTheme="minorEastAsia"/>
                <w:b/>
                <w:bCs/>
                <w:color w:val="auto"/>
                <w:kern w:val="2"/>
                <w:sz w:val="21"/>
                <w:szCs w:val="24"/>
                <w:highlight w:val="none"/>
                <w:lang w:val="en-US" w:eastAsia="zh-CN" w:bidi="ar-SA"/>
              </w:rPr>
              <w:t>本项目污染物排放总量表</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46"/>
              <w:gridCol w:w="3061"/>
              <w:gridCol w:w="2556"/>
            </w:tblGrid>
            <w:tr w14:paraId="7C7B1F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59" w:type="pct"/>
                  <w:noWrap/>
                  <w:vAlign w:val="center"/>
                </w:tcPr>
                <w:p w14:paraId="457F99D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color w:val="auto"/>
                    </w:rPr>
                  </w:pPr>
                  <w:r>
                    <w:rPr>
                      <w:rFonts w:hint="default"/>
                      <w:color w:val="auto"/>
                    </w:rPr>
                    <w:t>污染物</w:t>
                  </w:r>
                </w:p>
              </w:tc>
              <w:tc>
                <w:tcPr>
                  <w:tcW w:w="1874" w:type="pct"/>
                  <w:noWrap/>
                  <w:vAlign w:val="center"/>
                </w:tcPr>
                <w:p w14:paraId="5D1768D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color w:val="auto"/>
                    </w:rPr>
                  </w:pPr>
                  <w:r>
                    <w:rPr>
                      <w:rFonts w:hint="default"/>
                      <w:color w:val="auto"/>
                    </w:rPr>
                    <w:t>预测排放量</w:t>
                  </w:r>
                </w:p>
              </w:tc>
              <w:tc>
                <w:tcPr>
                  <w:tcW w:w="1565" w:type="pct"/>
                  <w:noWrap/>
                  <w:vAlign w:val="center"/>
                </w:tcPr>
                <w:p w14:paraId="74F2F1C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color w:val="auto"/>
                    </w:rPr>
                  </w:pPr>
                  <w:r>
                    <w:rPr>
                      <w:rFonts w:hint="default"/>
                      <w:color w:val="auto"/>
                    </w:rPr>
                    <w:t>核定排放量</w:t>
                  </w:r>
                </w:p>
              </w:tc>
            </w:tr>
            <w:tr w14:paraId="6B846C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59" w:type="pct"/>
                  <w:noWrap/>
                  <w:vAlign w:val="center"/>
                </w:tcPr>
                <w:p w14:paraId="66CE71A2">
                  <w:pPr>
                    <w:pStyle w:val="30"/>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颗粒物</w:t>
                  </w:r>
                </w:p>
              </w:tc>
              <w:tc>
                <w:tcPr>
                  <w:tcW w:w="1874" w:type="pct"/>
                  <w:noWrap/>
                  <w:vAlign w:val="center"/>
                </w:tcPr>
                <w:p w14:paraId="1760469C">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b w:val="0"/>
                      <w:bCs w:val="0"/>
                      <w:color w:val="auto"/>
                      <w:szCs w:val="21"/>
                      <w:highlight w:val="none"/>
                      <w:lang w:val="en-US" w:eastAsia="zh-CN"/>
                    </w:rPr>
                    <w:t>0.066t/a</w:t>
                  </w:r>
                </w:p>
              </w:tc>
              <w:tc>
                <w:tcPr>
                  <w:tcW w:w="2556" w:type="dxa"/>
                  <w:noWrap/>
                  <w:vAlign w:val="center"/>
                </w:tcPr>
                <w:p w14:paraId="1D9798C9">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0.086t/a</w:t>
                  </w:r>
                </w:p>
              </w:tc>
            </w:tr>
            <w:tr w14:paraId="024F6E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59" w:type="pct"/>
                  <w:noWrap/>
                  <w:vAlign w:val="center"/>
                </w:tcPr>
                <w:p w14:paraId="17456BDE">
                  <w:pPr>
                    <w:pStyle w:val="30"/>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kern w:val="2"/>
                      <w:sz w:val="21"/>
                      <w:szCs w:val="24"/>
                      <w:lang w:val="en-US" w:eastAsia="zh-CN" w:bidi="ar-SA"/>
                    </w:rPr>
                    <w:t>SO</w:t>
                  </w:r>
                  <w:r>
                    <w:rPr>
                      <w:rFonts w:hint="eastAsia" w:ascii="Times New Roman" w:hAnsi="Times New Roman" w:eastAsia="宋体" w:cs="Times New Roman"/>
                      <w:color w:val="auto"/>
                      <w:kern w:val="2"/>
                      <w:sz w:val="21"/>
                      <w:szCs w:val="24"/>
                      <w:vertAlign w:val="subscript"/>
                      <w:lang w:val="en-US" w:eastAsia="zh-CN" w:bidi="ar-SA"/>
                    </w:rPr>
                    <w:t>2</w:t>
                  </w:r>
                </w:p>
              </w:tc>
              <w:tc>
                <w:tcPr>
                  <w:tcW w:w="1874" w:type="pct"/>
                  <w:noWrap/>
                  <w:vAlign w:val="center"/>
                </w:tcPr>
                <w:p w14:paraId="4524AB93">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b w:val="0"/>
                      <w:bCs w:val="0"/>
                      <w:color w:val="auto"/>
                      <w:szCs w:val="21"/>
                      <w:highlight w:val="none"/>
                      <w:lang w:val="en-US" w:eastAsia="zh-CN"/>
                    </w:rPr>
                    <w:t>0.126t/a</w:t>
                  </w:r>
                </w:p>
              </w:tc>
              <w:tc>
                <w:tcPr>
                  <w:tcW w:w="2556" w:type="dxa"/>
                  <w:noWrap/>
                  <w:vAlign w:val="center"/>
                </w:tcPr>
                <w:p w14:paraId="54E76062">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0.411t/a</w:t>
                  </w:r>
                </w:p>
              </w:tc>
            </w:tr>
            <w:tr w14:paraId="493F8B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1559" w:type="pct"/>
                  <w:noWrap/>
                  <w:vAlign w:val="center"/>
                </w:tcPr>
                <w:p w14:paraId="694C13A1">
                  <w:pPr>
                    <w:pStyle w:val="30"/>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kern w:val="2"/>
                      <w:sz w:val="21"/>
                      <w:szCs w:val="24"/>
                      <w:lang w:val="en-US" w:eastAsia="zh-CN" w:bidi="ar-SA"/>
                    </w:rPr>
                    <w:t>NO</w:t>
                  </w:r>
                  <w:r>
                    <w:rPr>
                      <w:rFonts w:hint="eastAsia" w:ascii="Times New Roman" w:hAnsi="Times New Roman" w:eastAsia="宋体" w:cs="Times New Roman"/>
                      <w:color w:val="auto"/>
                      <w:kern w:val="2"/>
                      <w:sz w:val="21"/>
                      <w:szCs w:val="24"/>
                      <w:vertAlign w:val="subscript"/>
                      <w:lang w:val="en-US" w:eastAsia="zh-CN" w:bidi="ar-SA"/>
                    </w:rPr>
                    <w:t>X</w:t>
                  </w:r>
                </w:p>
              </w:tc>
              <w:tc>
                <w:tcPr>
                  <w:tcW w:w="1874" w:type="pct"/>
                  <w:noWrap/>
                  <w:vAlign w:val="center"/>
                </w:tcPr>
                <w:p w14:paraId="7EC38D1A">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0.173t/a</w:t>
                  </w:r>
                </w:p>
              </w:tc>
              <w:tc>
                <w:tcPr>
                  <w:tcW w:w="2556" w:type="dxa"/>
                  <w:noWrap/>
                  <w:vAlign w:val="center"/>
                </w:tcPr>
                <w:p w14:paraId="47F2FD0D">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0.514t/a</w:t>
                  </w:r>
                </w:p>
              </w:tc>
            </w:tr>
            <w:tr w14:paraId="1AEA34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59" w:type="pct"/>
                  <w:noWrap/>
                  <w:vAlign w:val="center"/>
                </w:tcPr>
                <w:p w14:paraId="251FABB5">
                  <w:pPr>
                    <w:pStyle w:val="30"/>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仿宋" w:cs="Times New Roman"/>
                      <w:color w:val="auto"/>
                      <w:kern w:val="0"/>
                      <w:szCs w:val="21"/>
                      <w:lang w:val="en-US" w:eastAsia="zh-CN"/>
                    </w:rPr>
                    <w:t>COD</w:t>
                  </w:r>
                </w:p>
              </w:tc>
              <w:tc>
                <w:tcPr>
                  <w:tcW w:w="1874" w:type="pct"/>
                  <w:noWrap/>
                  <w:vAlign w:val="center"/>
                </w:tcPr>
                <w:p w14:paraId="1FD702F9">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eastAsia="仿宋" w:cs="Times New Roman"/>
                      <w:color w:val="auto"/>
                      <w:kern w:val="0"/>
                      <w:szCs w:val="21"/>
                      <w:lang w:val="en-US" w:eastAsia="zh-CN"/>
                    </w:rPr>
                  </w:pPr>
                  <w:r>
                    <w:rPr>
                      <w:rFonts w:hint="eastAsia" w:ascii="Times New Roman" w:hAnsi="Times New Roman" w:eastAsia="宋体" w:cs="Times New Roman"/>
                      <w:b w:val="0"/>
                      <w:bCs w:val="0"/>
                      <w:color w:val="auto"/>
                      <w:szCs w:val="21"/>
                      <w:highlight w:val="none"/>
                      <w:lang w:val="en-US" w:eastAsia="zh-CN"/>
                    </w:rPr>
                    <w:t>0.756t/a</w:t>
                  </w:r>
                </w:p>
              </w:tc>
              <w:tc>
                <w:tcPr>
                  <w:tcW w:w="1565" w:type="pct"/>
                  <w:noWrap/>
                  <w:vAlign w:val="center"/>
                </w:tcPr>
                <w:p w14:paraId="2ED9D5DC">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1.587t/a</w:t>
                  </w:r>
                </w:p>
              </w:tc>
            </w:tr>
            <w:tr w14:paraId="56EA21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59" w:type="pct"/>
                  <w:noWrap/>
                  <w:vAlign w:val="center"/>
                </w:tcPr>
                <w:p w14:paraId="6A8027E0">
                  <w:pPr>
                    <w:pStyle w:val="30"/>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氨氮</w:t>
                  </w:r>
                </w:p>
              </w:tc>
              <w:tc>
                <w:tcPr>
                  <w:tcW w:w="1874" w:type="pct"/>
                  <w:noWrap/>
                  <w:vAlign w:val="center"/>
                </w:tcPr>
                <w:p w14:paraId="5DCA0C22">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eastAsia="仿宋" w:cs="Times New Roman"/>
                      <w:color w:val="auto"/>
                      <w:kern w:val="0"/>
                      <w:szCs w:val="21"/>
                      <w:lang w:val="en-US" w:eastAsia="zh-CN"/>
                    </w:rPr>
                  </w:pPr>
                  <w:r>
                    <w:rPr>
                      <w:rFonts w:hint="eastAsia" w:ascii="Times New Roman" w:hAnsi="Times New Roman" w:eastAsia="宋体" w:cs="Times New Roman"/>
                      <w:b w:val="0"/>
                      <w:bCs w:val="0"/>
                      <w:color w:val="auto"/>
                      <w:szCs w:val="21"/>
                      <w:highlight w:val="none"/>
                      <w:lang w:val="en-US" w:eastAsia="zh-CN"/>
                    </w:rPr>
                    <w:t>0.065t/a</w:t>
                  </w:r>
                </w:p>
              </w:tc>
              <w:tc>
                <w:tcPr>
                  <w:tcW w:w="1565" w:type="pct"/>
                  <w:noWrap/>
                  <w:vAlign w:val="center"/>
                </w:tcPr>
                <w:p w14:paraId="5C2FBFF8">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0.065t/a</w:t>
                  </w:r>
                </w:p>
              </w:tc>
            </w:tr>
          </w:tbl>
          <w:p w14:paraId="12BF1E48">
            <w:pPr>
              <w:pStyle w:val="80"/>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textAlignment w:val="auto"/>
              <w:rPr>
                <w:rFonts w:hint="default" w:ascii="Times New Roman" w:hAnsi="Times New Roman" w:eastAsia="宋体" w:cs="Times New Roman"/>
                <w:color w:val="auto"/>
                <w:kern w:val="0"/>
                <w:sz w:val="24"/>
                <w:szCs w:val="28"/>
                <w:lang w:val="en-US" w:eastAsia="zh-CN" w:bidi="ar-SA"/>
              </w:rPr>
            </w:pPr>
          </w:p>
        </w:tc>
      </w:tr>
    </w:tbl>
    <w:p w14:paraId="66E71812">
      <w:pPr>
        <w:adjustRightInd w:val="0"/>
        <w:snapToGrid w:val="0"/>
        <w:jc w:val="center"/>
        <w:rPr>
          <w:b/>
          <w:bCs/>
          <w:color w:val="auto"/>
          <w:kern w:val="0"/>
          <w:szCs w:val="21"/>
        </w:rPr>
        <w:sectPr>
          <w:pgSz w:w="11907" w:h="16840"/>
          <w:pgMar w:top="1701" w:right="1531" w:bottom="2127" w:left="1531" w:header="851" w:footer="1701" w:gutter="0"/>
          <w:pgBorders>
            <w:top w:val="none" w:sz="0" w:space="0"/>
            <w:left w:val="none" w:sz="0" w:space="0"/>
            <w:bottom w:val="none" w:sz="0" w:space="0"/>
            <w:right w:val="none" w:sz="0" w:space="0"/>
          </w:pgBorders>
          <w:pgNumType w:fmt="decimal"/>
          <w:cols w:space="720" w:num="1"/>
          <w:docGrid w:linePitch="312" w:charSpace="0"/>
        </w:sectPr>
      </w:pPr>
    </w:p>
    <w:p w14:paraId="60569C53">
      <w:pPr>
        <w:pStyle w:val="27"/>
        <w:spacing w:before="0" w:beforeAutospacing="0" w:after="0" w:afterAutospacing="0"/>
        <w:jc w:val="center"/>
        <w:outlineLvl w:val="0"/>
        <w:rPr>
          <w:rFonts w:ascii="Times New Roman" w:hAnsi="Times New Roman"/>
          <w:b/>
          <w:snapToGrid w:val="0"/>
          <w:color w:val="auto"/>
          <w:sz w:val="30"/>
          <w:szCs w:val="30"/>
        </w:rPr>
      </w:pPr>
      <w:bookmarkStart w:id="19" w:name="_Toc16729"/>
      <w:r>
        <w:rPr>
          <w:rFonts w:ascii="Times New Roman" w:hAnsi="Times New Roman"/>
          <w:b/>
          <w:snapToGrid w:val="0"/>
          <w:color w:val="auto"/>
          <w:sz w:val="30"/>
          <w:szCs w:val="30"/>
        </w:rPr>
        <w:t>四、主要环境影响和保护措施</w:t>
      </w:r>
      <w:bookmarkEnd w:id="19"/>
    </w:p>
    <w:tbl>
      <w:tblPr>
        <w:tblStyle w:val="32"/>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94"/>
        <w:gridCol w:w="8387"/>
      </w:tblGrid>
      <w:tr w14:paraId="5CDD14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84" w:hRule="atLeast"/>
          <w:jc w:val="center"/>
        </w:trPr>
        <w:tc>
          <w:tcPr>
            <w:tcW w:w="594" w:type="dxa"/>
            <w:tcMar>
              <w:left w:w="28" w:type="dxa"/>
              <w:right w:w="28" w:type="dxa"/>
            </w:tcMar>
            <w:vAlign w:val="center"/>
          </w:tcPr>
          <w:p w14:paraId="2ABA2D5D">
            <w:pPr>
              <w:pStyle w:val="27"/>
              <w:adjustRightInd w:val="0"/>
              <w:snapToGrid w:val="0"/>
              <w:spacing w:before="0" w:beforeAutospacing="0" w:after="0" w:afterAutospacing="0"/>
              <w:jc w:val="center"/>
              <w:rPr>
                <w:rFonts w:ascii="Times New Roman" w:hAnsi="Times New Roman"/>
                <w:b/>
                <w:color w:val="auto"/>
                <w:kern w:val="2"/>
                <w:sz w:val="21"/>
                <w:szCs w:val="21"/>
              </w:rPr>
            </w:pPr>
            <w:r>
              <w:rPr>
                <w:rFonts w:ascii="Times New Roman" w:hAnsi="Times New Roman"/>
                <w:b/>
                <w:color w:val="auto"/>
                <w:kern w:val="2"/>
                <w:sz w:val="21"/>
                <w:szCs w:val="21"/>
              </w:rPr>
              <w:t>施工</w:t>
            </w:r>
          </w:p>
          <w:p w14:paraId="40FB2D8F">
            <w:pPr>
              <w:pStyle w:val="27"/>
              <w:adjustRightInd w:val="0"/>
              <w:snapToGrid w:val="0"/>
              <w:spacing w:before="0" w:beforeAutospacing="0" w:after="0" w:afterAutospacing="0"/>
              <w:jc w:val="center"/>
              <w:rPr>
                <w:rFonts w:ascii="Times New Roman" w:hAnsi="Times New Roman"/>
                <w:b/>
                <w:color w:val="auto"/>
                <w:kern w:val="2"/>
                <w:sz w:val="21"/>
                <w:szCs w:val="21"/>
              </w:rPr>
            </w:pPr>
            <w:r>
              <w:rPr>
                <w:rFonts w:ascii="Times New Roman" w:hAnsi="Times New Roman"/>
                <w:b/>
                <w:color w:val="auto"/>
                <w:kern w:val="2"/>
                <w:sz w:val="21"/>
                <w:szCs w:val="21"/>
              </w:rPr>
              <w:t>期环</w:t>
            </w:r>
          </w:p>
          <w:p w14:paraId="4A88AEE6">
            <w:pPr>
              <w:pStyle w:val="27"/>
              <w:adjustRightInd w:val="0"/>
              <w:snapToGrid w:val="0"/>
              <w:spacing w:before="0" w:beforeAutospacing="0" w:after="0" w:afterAutospacing="0"/>
              <w:jc w:val="center"/>
              <w:rPr>
                <w:rFonts w:ascii="Times New Roman" w:hAnsi="Times New Roman"/>
                <w:b/>
                <w:color w:val="auto"/>
                <w:kern w:val="2"/>
                <w:sz w:val="21"/>
                <w:szCs w:val="21"/>
              </w:rPr>
            </w:pPr>
            <w:r>
              <w:rPr>
                <w:rFonts w:ascii="Times New Roman" w:hAnsi="Times New Roman"/>
                <w:b/>
                <w:color w:val="auto"/>
                <w:kern w:val="2"/>
                <w:sz w:val="21"/>
                <w:szCs w:val="21"/>
              </w:rPr>
              <w:t>境保</w:t>
            </w:r>
          </w:p>
          <w:p w14:paraId="14B10498">
            <w:pPr>
              <w:pStyle w:val="27"/>
              <w:adjustRightInd w:val="0"/>
              <w:snapToGrid w:val="0"/>
              <w:spacing w:before="0" w:beforeAutospacing="0" w:after="0" w:afterAutospacing="0"/>
              <w:jc w:val="center"/>
              <w:rPr>
                <w:rFonts w:ascii="Times New Roman" w:hAnsi="Times New Roman"/>
                <w:b/>
                <w:color w:val="auto"/>
                <w:kern w:val="2"/>
                <w:sz w:val="21"/>
                <w:szCs w:val="21"/>
              </w:rPr>
            </w:pPr>
            <w:r>
              <w:rPr>
                <w:rFonts w:ascii="Times New Roman" w:hAnsi="Times New Roman"/>
                <w:b/>
                <w:color w:val="auto"/>
                <w:kern w:val="2"/>
                <w:sz w:val="21"/>
                <w:szCs w:val="21"/>
              </w:rPr>
              <w:t>护措</w:t>
            </w:r>
          </w:p>
          <w:p w14:paraId="7A7741EB">
            <w:pPr>
              <w:pStyle w:val="27"/>
              <w:adjustRightInd w:val="0"/>
              <w:snapToGrid w:val="0"/>
              <w:spacing w:before="0" w:beforeAutospacing="0" w:after="0" w:afterAutospacing="0"/>
              <w:jc w:val="center"/>
              <w:rPr>
                <w:rFonts w:ascii="Times New Roman" w:hAnsi="Times New Roman"/>
                <w:b/>
                <w:bCs/>
                <w:color w:val="auto"/>
                <w:kern w:val="2"/>
                <w:sz w:val="21"/>
                <w:szCs w:val="21"/>
              </w:rPr>
            </w:pPr>
            <w:r>
              <w:rPr>
                <w:rFonts w:ascii="Times New Roman" w:hAnsi="Times New Roman"/>
                <w:b/>
                <w:color w:val="auto"/>
                <w:kern w:val="2"/>
                <w:sz w:val="21"/>
                <w:szCs w:val="21"/>
              </w:rPr>
              <w:t>施</w:t>
            </w:r>
          </w:p>
        </w:tc>
        <w:tc>
          <w:tcPr>
            <w:tcW w:w="8387" w:type="dxa"/>
            <w:vAlign w:val="center"/>
          </w:tcPr>
          <w:p w14:paraId="0EB34D8A">
            <w:pPr>
              <w:pStyle w:val="61"/>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color w:val="auto"/>
              </w:rPr>
            </w:pPr>
            <w:r>
              <w:rPr>
                <w:color w:val="auto"/>
                <w:kern w:val="0"/>
                <w:sz w:val="24"/>
              </w:rPr>
              <w:t>本项目</w:t>
            </w:r>
            <w:r>
              <w:rPr>
                <w:rFonts w:hint="eastAsia"/>
                <w:color w:val="auto"/>
                <w:kern w:val="0"/>
                <w:sz w:val="24"/>
                <w:lang w:val="en-US" w:eastAsia="zh-CN"/>
              </w:rPr>
              <w:t>不进行土木建设，利用现有厂房建设，本项目施工期仅进行设备和钢板房安装，</w:t>
            </w:r>
            <w:r>
              <w:rPr>
                <w:rFonts w:hint="eastAsia" w:ascii="Times New Roman" w:hAnsi="Times New Roman" w:cs="Times New Roman" w:eastAsiaTheme="minorEastAsia"/>
                <w:color w:val="auto"/>
                <w:kern w:val="0"/>
                <w:sz w:val="24"/>
                <w:highlight w:val="none"/>
                <w:lang w:val="en-US" w:eastAsia="zh-CN"/>
              </w:rPr>
              <w:t>因为施工期影响较小，</w:t>
            </w:r>
            <w:r>
              <w:rPr>
                <w:rFonts w:hint="eastAsia" w:ascii="Times New Roman" w:hAnsi="Times New Roman" w:cs="Times New Roman" w:eastAsiaTheme="minorEastAsia"/>
                <w:color w:val="auto"/>
                <w:kern w:val="0"/>
                <w:sz w:val="24"/>
              </w:rPr>
              <w:t>不对施工期进行分析。本项目主要影响来源于运营期。</w:t>
            </w:r>
          </w:p>
        </w:tc>
      </w:tr>
      <w:tr w14:paraId="58AF82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84" w:hRule="atLeast"/>
          <w:jc w:val="center"/>
        </w:trPr>
        <w:tc>
          <w:tcPr>
            <w:tcW w:w="594" w:type="dxa"/>
            <w:tcMar>
              <w:left w:w="28" w:type="dxa"/>
              <w:right w:w="28" w:type="dxa"/>
            </w:tcMar>
            <w:vAlign w:val="center"/>
          </w:tcPr>
          <w:p w14:paraId="11AFD845">
            <w:pPr>
              <w:keepNext w:val="0"/>
              <w:keepLines w:val="0"/>
              <w:suppressLineNumbers w:val="0"/>
              <w:adjustRightInd w:val="0"/>
              <w:snapToGrid w:val="0"/>
              <w:spacing w:before="0" w:beforeAutospacing="0" w:after="0" w:afterAutospacing="0" w:line="240" w:lineRule="auto"/>
              <w:ind w:left="0" w:leftChars="0" w:right="0" w:rightChars="0"/>
              <w:jc w:val="center"/>
              <w:rPr>
                <w:rFonts w:ascii="Times New Roman" w:hAnsi="Times New Roman"/>
                <w:b/>
                <w:color w:val="auto"/>
                <w:kern w:val="2"/>
                <w:sz w:val="21"/>
                <w:szCs w:val="21"/>
              </w:rPr>
            </w:pPr>
            <w:r>
              <w:rPr>
                <w:rFonts w:hint="eastAsia" w:ascii="Times New Roman" w:hAnsi="Times New Roman" w:eastAsia="宋体" w:cs="Times New Roman"/>
                <w:b/>
                <w:bCs/>
                <w:color w:val="auto"/>
                <w:sz w:val="21"/>
                <w:szCs w:val="24"/>
                <w:highlight w:val="none"/>
              </w:rPr>
              <w:t>运营期环境影响和保护措施</w:t>
            </w:r>
          </w:p>
        </w:tc>
        <w:tc>
          <w:tcPr>
            <w:tcW w:w="8387" w:type="dxa"/>
            <w:vAlign w:val="top"/>
          </w:tcPr>
          <w:p w14:paraId="6AD39501">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2" w:firstLineChars="200"/>
              <w:textAlignment w:val="auto"/>
              <w:rPr>
                <w:rFonts w:hint="default" w:ascii="Times New Roman" w:hAnsi="Times New Roman" w:eastAsia="宋体" w:cs="Times New Roman"/>
                <w:b/>
                <w:bCs/>
                <w:color w:val="auto"/>
                <w:kern w:val="0"/>
                <w:sz w:val="24"/>
                <w:szCs w:val="24"/>
                <w:highlight w:val="none"/>
                <w:lang w:val="en-US" w:eastAsia="zh-CN" w:bidi="ar-SA"/>
              </w:rPr>
            </w:pPr>
            <w:r>
              <w:rPr>
                <w:rFonts w:hint="eastAsia" w:ascii="Times New Roman" w:hAnsi="Times New Roman" w:eastAsia="宋体" w:cs="Times New Roman"/>
                <w:b/>
                <w:bCs/>
                <w:color w:val="auto"/>
                <w:kern w:val="0"/>
                <w:sz w:val="24"/>
                <w:szCs w:val="24"/>
                <w:highlight w:val="none"/>
                <w:lang w:val="en-US" w:eastAsia="zh-CN" w:bidi="ar-SA"/>
              </w:rPr>
              <w:t>一、</w:t>
            </w:r>
            <w:r>
              <w:rPr>
                <w:rFonts w:hint="default" w:ascii="Times New Roman" w:hAnsi="Times New Roman" w:eastAsia="宋体" w:cs="Times New Roman"/>
                <w:b/>
                <w:bCs/>
                <w:color w:val="auto"/>
                <w:kern w:val="0"/>
                <w:sz w:val="24"/>
                <w:szCs w:val="24"/>
                <w:highlight w:val="none"/>
                <w:lang w:val="en-US" w:eastAsia="zh-CN" w:bidi="ar-SA"/>
              </w:rPr>
              <w:t>废气</w:t>
            </w:r>
          </w:p>
          <w:p w14:paraId="291BCC74">
            <w:pPr>
              <w:pStyle w:val="126"/>
              <w:spacing w:line="360" w:lineRule="auto"/>
              <w:ind w:firstLine="480"/>
              <w:rPr>
                <w:color w:val="auto"/>
              </w:rPr>
            </w:pPr>
            <w:r>
              <w:rPr>
                <w:rFonts w:hint="eastAsia"/>
                <w:color w:val="auto"/>
              </w:rPr>
              <w:t>本项目锅炉除渣过程在锅炉房内完成，并配合洒水降尘措施，锅炉灰渣暂存在</w:t>
            </w:r>
            <w:r>
              <w:rPr>
                <w:rFonts w:hint="eastAsia"/>
                <w:color w:val="auto"/>
                <w:lang w:val="en-US" w:eastAsia="zh-CN"/>
              </w:rPr>
              <w:t>灰渣间</w:t>
            </w:r>
            <w:r>
              <w:rPr>
                <w:rFonts w:hint="eastAsia"/>
                <w:color w:val="auto"/>
              </w:rPr>
              <w:t>内，杜绝露天堆放。锅炉渣在室内存放，并配合表面洒水降尘不会形成动力起尘的粉尘影响。本项目不考虑锅炉灰渣库粉尘影响。</w:t>
            </w:r>
            <w:r>
              <w:rPr>
                <w:rFonts w:hint="eastAsia"/>
                <w:color w:val="auto"/>
                <w:lang w:val="en-US" w:eastAsia="zh-CN"/>
              </w:rPr>
              <w:t>本项目原料为糯玉米，原料运输由卖家负责运输至本项目场地，运输过程车辆</w:t>
            </w:r>
            <w:r>
              <w:rPr>
                <w:rFonts w:hint="default" w:ascii="Times New Roman" w:hAnsi="Times New Roman" w:eastAsia="宋体" w:cs="Times New Roman"/>
                <w:color w:val="auto"/>
                <w:lang w:val="en-US" w:eastAsia="zh-CN"/>
              </w:rPr>
              <w:t>用苫布遮盖</w:t>
            </w:r>
            <w:r>
              <w:rPr>
                <w:rFonts w:hint="eastAsia" w:ascii="Times New Roman" w:hAnsi="Times New Roman" w:eastAsia="宋体" w:cs="Times New Roman"/>
                <w:color w:val="auto"/>
                <w:lang w:val="en-US" w:eastAsia="zh-CN"/>
              </w:rPr>
              <w:t>，运输</w:t>
            </w:r>
            <w:r>
              <w:rPr>
                <w:rFonts w:hint="eastAsia"/>
                <w:color w:val="auto"/>
                <w:lang w:val="en-US" w:eastAsia="zh-CN"/>
              </w:rPr>
              <w:t>过程中不产生废气。本项目产品为真空玉米，产品为真空塑封包装不产生废气。因此，不考虑原料运输和产品储存过程产生的污染物影响。</w:t>
            </w:r>
            <w:r>
              <w:rPr>
                <w:color w:val="auto"/>
              </w:rPr>
              <w:t>本项目</w:t>
            </w:r>
            <w:r>
              <w:rPr>
                <w:rFonts w:hint="eastAsia"/>
                <w:color w:val="auto"/>
              </w:rPr>
              <w:t>运行期产生的废气为燃生物质锅炉产生的锅炉烟气</w:t>
            </w:r>
            <w:r>
              <w:rPr>
                <w:rFonts w:hint="eastAsia"/>
                <w:color w:val="auto"/>
                <w:lang w:eastAsia="zh-CN"/>
              </w:rPr>
              <w:t>，</w:t>
            </w:r>
            <w:r>
              <w:rPr>
                <w:rFonts w:hint="eastAsia" w:cs="Times New Roman"/>
                <w:color w:val="auto"/>
                <w:kern w:val="0"/>
                <w:sz w:val="24"/>
                <w:szCs w:val="24"/>
                <w:highlight w:val="none"/>
                <w:lang w:val="en-US" w:eastAsia="zh-CN" w:bidi="ar-SA"/>
              </w:rPr>
              <w:t>蒸煮过程中产生的异味</w:t>
            </w:r>
            <w:r>
              <w:rPr>
                <w:rFonts w:hint="eastAsia"/>
                <w:color w:val="auto"/>
              </w:rPr>
              <w:t>。</w:t>
            </w:r>
          </w:p>
          <w:p w14:paraId="0A539E55">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（一）</w:t>
            </w:r>
            <w:r>
              <w:rPr>
                <w:rFonts w:hint="default" w:ascii="Times New Roman" w:hAnsi="Times New Roman" w:eastAsia="宋体" w:cs="Times New Roman"/>
                <w:color w:val="auto"/>
                <w:kern w:val="0"/>
                <w:sz w:val="24"/>
                <w:szCs w:val="24"/>
                <w:highlight w:val="none"/>
                <w:lang w:val="en-US" w:eastAsia="zh-CN" w:bidi="ar-SA"/>
              </w:rPr>
              <w:t>源强核算及达标排放情况</w:t>
            </w:r>
          </w:p>
          <w:p w14:paraId="6DC24900">
            <w:pPr>
              <w:pStyle w:val="126"/>
              <w:spacing w:line="360" w:lineRule="auto"/>
              <w:ind w:firstLine="480"/>
              <w:rPr>
                <w:rFonts w:hint="eastAsia"/>
                <w:color w:val="auto"/>
                <w:lang w:val="en-US" w:eastAsia="zh-CN"/>
              </w:rPr>
            </w:pPr>
            <w:r>
              <w:rPr>
                <w:rFonts w:hint="eastAsia"/>
                <w:color w:val="auto"/>
                <w:lang w:val="en-US" w:eastAsia="zh-CN"/>
              </w:rPr>
              <w:t>1、达标分析</w:t>
            </w:r>
          </w:p>
          <w:p w14:paraId="253FD2E4">
            <w:pPr>
              <w:pStyle w:val="126"/>
              <w:spacing w:line="360" w:lineRule="auto"/>
              <w:ind w:firstLine="480"/>
              <w:rPr>
                <w:rFonts w:hint="eastAsia"/>
                <w:color w:val="auto"/>
                <w:lang w:val="en-US" w:eastAsia="zh-CN"/>
              </w:rPr>
            </w:pPr>
            <w:r>
              <w:rPr>
                <w:rFonts w:hint="eastAsia"/>
                <w:color w:val="auto"/>
                <w:lang w:val="en-US" w:eastAsia="zh-CN"/>
              </w:rPr>
              <w:t>（1）锅炉废气</w:t>
            </w:r>
          </w:p>
          <w:p w14:paraId="5A049253">
            <w:pPr>
              <w:pStyle w:val="126"/>
              <w:spacing w:line="360" w:lineRule="auto"/>
              <w:ind w:firstLine="480"/>
              <w:rPr>
                <w:rFonts w:hint="eastAsia" w:eastAsia="宋体"/>
                <w:color w:val="auto"/>
                <w:lang w:val="en-US" w:eastAsia="zh-CN"/>
              </w:rPr>
            </w:pPr>
            <w:r>
              <w:rPr>
                <w:rFonts w:hint="eastAsia"/>
                <w:color w:val="auto"/>
              </w:rPr>
              <w:t>本项目</w:t>
            </w:r>
            <w:r>
              <w:rPr>
                <w:rFonts w:hint="eastAsia"/>
                <w:color w:val="auto"/>
                <w:lang w:val="en-US" w:eastAsia="zh-CN"/>
              </w:rPr>
              <w:t>冬季供暖和生产供热使用1台4t/h燃生物质蒸汽锅炉，4t/h燃生物质蒸汽锅炉运行30天，每天运行10小时。燃生物质蒸汽锅炉</w:t>
            </w:r>
            <w:r>
              <w:rPr>
                <w:rFonts w:hint="eastAsia"/>
                <w:color w:val="auto"/>
              </w:rPr>
              <w:t>烟气</w:t>
            </w:r>
            <w:r>
              <w:rPr>
                <w:rFonts w:hint="eastAsia"/>
                <w:color w:val="auto"/>
                <w:lang w:val="en-US" w:eastAsia="zh-CN"/>
              </w:rPr>
              <w:t>旋风除尘+</w:t>
            </w:r>
            <w:r>
              <w:rPr>
                <w:rFonts w:hint="eastAsia"/>
                <w:color w:val="auto"/>
              </w:rPr>
              <w:t>布袋除尘器（除尘效率为</w:t>
            </w:r>
            <w:r>
              <w:rPr>
                <w:rFonts w:hint="eastAsia"/>
                <w:color w:val="auto"/>
                <w:lang w:eastAsia="zh-CN"/>
              </w:rPr>
              <w:t>99%</w:t>
            </w:r>
            <w:r>
              <w:rPr>
                <w:rFonts w:hint="eastAsia"/>
                <w:color w:val="auto"/>
              </w:rPr>
              <w:t>）处理，由1根</w:t>
            </w:r>
            <w:r>
              <w:rPr>
                <w:rFonts w:hint="eastAsia"/>
                <w:color w:val="auto"/>
                <w:lang w:val="en-US" w:eastAsia="zh-CN"/>
              </w:rPr>
              <w:t>35米</w:t>
            </w:r>
            <w:r>
              <w:rPr>
                <w:rFonts w:hint="eastAsia"/>
                <w:color w:val="auto"/>
              </w:rPr>
              <w:t>高烟囱</w:t>
            </w:r>
            <w:r>
              <w:rPr>
                <w:rFonts w:hint="eastAsia"/>
                <w:color w:val="auto"/>
                <w:lang w:eastAsia="zh-CN"/>
              </w:rPr>
              <w:t>（</w:t>
            </w:r>
            <w:r>
              <w:rPr>
                <w:rFonts w:hint="eastAsia"/>
                <w:color w:val="auto"/>
                <w:lang w:val="en-US" w:eastAsia="zh-CN"/>
              </w:rPr>
              <w:t>DA001</w:t>
            </w:r>
            <w:r>
              <w:rPr>
                <w:rFonts w:hint="eastAsia"/>
                <w:color w:val="auto"/>
                <w:lang w:eastAsia="zh-CN"/>
              </w:rPr>
              <w:t>）</w:t>
            </w:r>
            <w:r>
              <w:rPr>
                <w:rFonts w:hint="eastAsia"/>
                <w:color w:val="auto"/>
              </w:rPr>
              <w:t>排放</w:t>
            </w:r>
            <w:r>
              <w:rPr>
                <w:rFonts w:hint="eastAsia"/>
                <w:color w:val="auto"/>
                <w:lang w:eastAsia="zh-CN"/>
              </w:rPr>
              <w:t>。</w:t>
            </w:r>
          </w:p>
          <w:p w14:paraId="4448B84F">
            <w:pPr>
              <w:pStyle w:val="107"/>
              <w:keepLines w:val="0"/>
              <w:pageBreakBefore w:val="0"/>
              <w:kinsoku/>
              <w:wordWrap/>
              <w:overflowPunct/>
              <w:topLinePunct w:val="0"/>
              <w:autoSpaceDE/>
              <w:autoSpaceDN/>
              <w:bidi w:val="0"/>
              <w:spacing w:line="360" w:lineRule="auto"/>
              <w:ind w:left="0" w:right="0" w:firstLine="480" w:firstLineChars="200"/>
              <w:jc w:val="both"/>
              <w:textAlignment w:val="auto"/>
              <w:rPr>
                <w:rFonts w:hint="eastAsia"/>
                <w:b w:val="0"/>
                <w:bCs/>
                <w:color w:val="auto"/>
                <w:sz w:val="24"/>
                <w:szCs w:val="24"/>
                <w:highlight w:val="none"/>
                <w:lang w:eastAsia="zh-CN"/>
              </w:rPr>
            </w:pPr>
            <w:r>
              <w:rPr>
                <w:rFonts w:hint="eastAsia"/>
                <w:b w:val="0"/>
                <w:bCs/>
                <w:color w:val="auto"/>
                <w:sz w:val="24"/>
                <w:szCs w:val="24"/>
                <w:highlight w:val="none"/>
                <w:lang w:val="en-US" w:eastAsia="zh-CN"/>
              </w:rPr>
              <w:t>①</w:t>
            </w:r>
            <w:r>
              <w:rPr>
                <w:rFonts w:hint="eastAsia"/>
                <w:b w:val="0"/>
                <w:bCs/>
                <w:color w:val="auto"/>
                <w:sz w:val="24"/>
                <w:szCs w:val="24"/>
                <w:highlight w:val="none"/>
                <w:lang w:eastAsia="zh-CN"/>
              </w:rPr>
              <w:t>燃料量</w:t>
            </w:r>
          </w:p>
          <w:p w14:paraId="11C5DBA4">
            <w:pPr>
              <w:pStyle w:val="107"/>
              <w:keepLines w:val="0"/>
              <w:pageBreakBefore w:val="0"/>
              <w:kinsoku/>
              <w:wordWrap/>
              <w:overflowPunct/>
              <w:topLinePunct w:val="0"/>
              <w:autoSpaceDE/>
              <w:autoSpaceDN/>
              <w:bidi w:val="0"/>
              <w:spacing w:line="360" w:lineRule="auto"/>
              <w:ind w:left="0" w:right="0" w:firstLine="480" w:firstLineChars="200"/>
              <w:jc w:val="both"/>
              <w:textAlignment w:val="auto"/>
              <w:rPr>
                <w:rFonts w:hint="eastAsia" w:ascii="Times New Roman" w:hAnsi="Times New Roman" w:eastAsia="宋体"/>
                <w:b w:val="0"/>
                <w:bCs/>
                <w:color w:val="auto"/>
                <w:sz w:val="24"/>
                <w:szCs w:val="24"/>
                <w:highlight w:val="none"/>
              </w:rPr>
            </w:pPr>
            <w:r>
              <w:rPr>
                <w:rFonts w:hint="eastAsia" w:ascii="Times New Roman" w:hAnsi="Times New Roman" w:eastAsia="宋体"/>
                <w:b w:val="0"/>
                <w:bCs/>
                <w:color w:val="auto"/>
                <w:sz w:val="24"/>
                <w:szCs w:val="24"/>
                <w:highlight w:val="none"/>
              </w:rPr>
              <w:t>锅炉每小时消耗生物质量的计算过程如下：</w:t>
            </w:r>
          </w:p>
          <w:p w14:paraId="7EF2B4FF">
            <w:pPr>
              <w:pStyle w:val="107"/>
              <w:keepLines w:val="0"/>
              <w:pageBreakBefore w:val="0"/>
              <w:kinsoku/>
              <w:wordWrap/>
              <w:overflowPunct/>
              <w:topLinePunct w:val="0"/>
              <w:autoSpaceDE/>
              <w:autoSpaceDN/>
              <w:bidi w:val="0"/>
              <w:spacing w:line="360" w:lineRule="auto"/>
              <w:ind w:left="0" w:right="0" w:firstLine="480" w:firstLineChars="200"/>
              <w:jc w:val="both"/>
              <w:textAlignment w:val="auto"/>
              <w:rPr>
                <w:rFonts w:hint="eastAsia" w:ascii="Times New Roman" w:hAnsi="Times New Roman" w:eastAsia="宋体"/>
                <w:b w:val="0"/>
                <w:bCs/>
                <w:color w:val="auto"/>
                <w:sz w:val="24"/>
                <w:szCs w:val="24"/>
                <w:highlight w:val="none"/>
              </w:rPr>
            </w:pPr>
            <w:r>
              <w:rPr>
                <w:rFonts w:hint="eastAsia" w:ascii="Times New Roman" w:hAnsi="Times New Roman" w:eastAsia="宋体"/>
                <w:b w:val="0"/>
                <w:bCs/>
                <w:color w:val="auto"/>
                <w:sz w:val="24"/>
                <w:szCs w:val="24"/>
                <w:highlight w:val="none"/>
              </w:rPr>
              <w:t>锅炉每小时消耗生物质量=生物质锅炉出力/热效率/燃料热值</w:t>
            </w:r>
          </w:p>
          <w:p w14:paraId="52CD39ED">
            <w:pPr>
              <w:pStyle w:val="107"/>
              <w:keepLines w:val="0"/>
              <w:pageBreakBefore w:val="0"/>
              <w:kinsoku/>
              <w:wordWrap/>
              <w:overflowPunct/>
              <w:topLinePunct w:val="0"/>
              <w:autoSpaceDE/>
              <w:autoSpaceDN/>
              <w:bidi w:val="0"/>
              <w:spacing w:line="360" w:lineRule="auto"/>
              <w:ind w:left="0" w:right="0" w:firstLine="480" w:firstLineChars="200"/>
              <w:jc w:val="both"/>
              <w:textAlignment w:val="auto"/>
              <w:rPr>
                <w:rFonts w:hint="eastAsia" w:ascii="Times New Roman" w:hAnsi="Times New Roman" w:eastAsia="宋体"/>
                <w:b w:val="0"/>
                <w:bCs/>
                <w:color w:val="auto"/>
                <w:sz w:val="24"/>
                <w:szCs w:val="24"/>
                <w:highlight w:val="none"/>
              </w:rPr>
            </w:pPr>
            <w:r>
              <w:rPr>
                <w:rFonts w:hint="eastAsia" w:ascii="Times New Roman" w:hAnsi="Times New Roman" w:eastAsia="宋体"/>
                <w:b w:val="0"/>
                <w:bCs/>
                <w:color w:val="auto"/>
                <w:sz w:val="24"/>
                <w:szCs w:val="24"/>
                <w:highlight w:val="none"/>
              </w:rPr>
              <w:t>本项目</w:t>
            </w:r>
            <w:r>
              <w:rPr>
                <w:rFonts w:hint="eastAsia"/>
                <w:b w:val="0"/>
                <w:bCs/>
                <w:color w:val="auto"/>
                <w:sz w:val="24"/>
                <w:szCs w:val="24"/>
                <w:highlight w:val="none"/>
                <w:lang w:val="en-US" w:eastAsia="zh-CN"/>
              </w:rPr>
              <w:t>4</w:t>
            </w:r>
            <w:r>
              <w:rPr>
                <w:rFonts w:hint="eastAsia" w:ascii="Times New Roman" w:hAnsi="Times New Roman" w:eastAsia="宋体"/>
                <w:b w:val="0"/>
                <w:bCs/>
                <w:color w:val="auto"/>
                <w:sz w:val="24"/>
                <w:szCs w:val="24"/>
                <w:highlight w:val="none"/>
              </w:rPr>
              <w:t>t/h</w:t>
            </w:r>
            <w:r>
              <w:rPr>
                <w:rFonts w:hint="eastAsia" w:ascii="Times New Roman" w:hAnsi="Times New Roman" w:eastAsia="宋体" w:cs="Times New Roman"/>
                <w:b w:val="0"/>
                <w:bCs/>
                <w:color w:val="auto"/>
                <w:sz w:val="24"/>
                <w:szCs w:val="24"/>
                <w:highlight w:val="none"/>
                <w:lang w:val="en-US" w:eastAsia="zh-CN"/>
              </w:rPr>
              <w:t>燃生物质</w:t>
            </w:r>
            <w:r>
              <w:rPr>
                <w:rFonts w:hint="eastAsia" w:ascii="Times New Roman" w:hAnsi="Times New Roman" w:eastAsia="宋体"/>
                <w:b w:val="0"/>
                <w:bCs/>
                <w:color w:val="auto"/>
                <w:sz w:val="24"/>
                <w:szCs w:val="24"/>
                <w:highlight w:val="none"/>
              </w:rPr>
              <w:t>蒸汽锅炉折算为</w:t>
            </w:r>
            <w:r>
              <w:rPr>
                <w:rFonts w:hint="eastAsia"/>
                <w:b w:val="0"/>
                <w:bCs/>
                <w:color w:val="auto"/>
                <w:sz w:val="24"/>
                <w:szCs w:val="24"/>
                <w:highlight w:val="none"/>
                <w:lang w:val="en-US" w:eastAsia="zh-CN"/>
              </w:rPr>
              <w:t>240</w:t>
            </w:r>
            <w:r>
              <w:rPr>
                <w:rFonts w:hint="eastAsia" w:ascii="Times New Roman" w:hAnsi="Times New Roman" w:eastAsia="宋体"/>
                <w:b w:val="0"/>
                <w:bCs/>
                <w:color w:val="auto"/>
                <w:sz w:val="24"/>
                <w:szCs w:val="24"/>
                <w:highlight w:val="none"/>
                <w:lang w:val="en-US" w:eastAsia="zh-CN"/>
              </w:rPr>
              <w:t>0000</w:t>
            </w:r>
            <w:r>
              <w:rPr>
                <w:rFonts w:hint="eastAsia" w:ascii="Times New Roman" w:hAnsi="Times New Roman" w:eastAsia="宋体"/>
                <w:b w:val="0"/>
                <w:bCs/>
                <w:color w:val="auto"/>
                <w:sz w:val="24"/>
                <w:szCs w:val="24"/>
                <w:highlight w:val="none"/>
              </w:rPr>
              <w:t>kcal，</w:t>
            </w:r>
            <w:r>
              <w:rPr>
                <w:rFonts w:hint="eastAsia" w:ascii="Times New Roman" w:hAnsi="Times New Roman" w:eastAsia="宋体" w:cs="Times New Roman"/>
                <w:b w:val="0"/>
                <w:bCs/>
                <w:color w:val="auto"/>
                <w:sz w:val="24"/>
                <w:szCs w:val="24"/>
                <w:highlight w:val="none"/>
                <w:lang w:val="en-US" w:eastAsia="zh-CN"/>
              </w:rPr>
              <w:t>生物质成型燃料低位发热量为9.58MJ/kg，已知1MJ/kg=239kcal/kg，故生物质成型燃料低位发热量=9.58*239=2289.62kcal/kg</w:t>
            </w:r>
            <w:r>
              <w:rPr>
                <w:rFonts w:hint="eastAsia" w:ascii="Times New Roman" w:hAnsi="Times New Roman" w:eastAsia="宋体" w:cs="Times New Roman"/>
                <w:b w:val="0"/>
                <w:bCs/>
                <w:color w:val="auto"/>
                <w:sz w:val="24"/>
                <w:szCs w:val="24"/>
                <w:highlight w:val="none"/>
              </w:rPr>
              <w:t>，燃</w:t>
            </w:r>
            <w:r>
              <w:rPr>
                <w:rFonts w:hint="eastAsia" w:ascii="Times New Roman" w:hAnsi="Times New Roman" w:eastAsia="宋体"/>
                <w:b w:val="0"/>
                <w:bCs/>
                <w:color w:val="auto"/>
                <w:sz w:val="24"/>
                <w:szCs w:val="24"/>
                <w:highlight w:val="none"/>
              </w:rPr>
              <w:t>烧效率取</w:t>
            </w:r>
            <w:r>
              <w:rPr>
                <w:rFonts w:hint="eastAsia"/>
                <w:b w:val="0"/>
                <w:bCs/>
                <w:color w:val="auto"/>
                <w:sz w:val="24"/>
                <w:szCs w:val="24"/>
                <w:highlight w:val="none"/>
                <w:lang w:val="en-US" w:eastAsia="zh-CN"/>
              </w:rPr>
              <w:t>85</w:t>
            </w:r>
            <w:r>
              <w:rPr>
                <w:rFonts w:hint="eastAsia" w:ascii="Times New Roman" w:hAnsi="Times New Roman" w:eastAsia="宋体"/>
                <w:b w:val="0"/>
                <w:bCs/>
                <w:color w:val="auto"/>
                <w:sz w:val="24"/>
                <w:szCs w:val="24"/>
                <w:highlight w:val="none"/>
              </w:rPr>
              <w:t>%，则：</w:t>
            </w:r>
          </w:p>
          <w:p w14:paraId="164E1761">
            <w:pPr>
              <w:pStyle w:val="107"/>
              <w:keepLines w:val="0"/>
              <w:pageBreakBefore w:val="0"/>
              <w:kinsoku/>
              <w:wordWrap/>
              <w:overflowPunct/>
              <w:topLinePunct w:val="0"/>
              <w:autoSpaceDE/>
              <w:autoSpaceDN/>
              <w:bidi w:val="0"/>
              <w:spacing w:line="360" w:lineRule="auto"/>
              <w:ind w:left="0" w:right="0" w:firstLine="480" w:firstLineChars="200"/>
              <w:jc w:val="both"/>
              <w:textAlignment w:val="auto"/>
              <w:rPr>
                <w:rFonts w:hint="eastAsia" w:ascii="Times New Roman" w:hAnsi="Times New Roman" w:eastAsia="宋体"/>
                <w:b w:val="0"/>
                <w:bCs/>
                <w:color w:val="auto"/>
                <w:sz w:val="24"/>
                <w:szCs w:val="24"/>
                <w:highlight w:val="none"/>
              </w:rPr>
            </w:pPr>
            <w:r>
              <w:rPr>
                <w:rFonts w:hint="eastAsia"/>
                <w:b w:val="0"/>
                <w:bCs/>
                <w:color w:val="auto"/>
                <w:sz w:val="24"/>
                <w:szCs w:val="24"/>
                <w:highlight w:val="none"/>
                <w:lang w:val="en-US" w:eastAsia="zh-CN"/>
              </w:rPr>
              <w:t>4</w:t>
            </w:r>
            <w:r>
              <w:rPr>
                <w:rFonts w:hint="eastAsia" w:ascii="Times New Roman" w:hAnsi="Times New Roman" w:eastAsia="宋体"/>
                <w:b w:val="0"/>
                <w:bCs/>
                <w:color w:val="auto"/>
                <w:sz w:val="24"/>
                <w:szCs w:val="24"/>
                <w:highlight w:val="none"/>
              </w:rPr>
              <w:t>t/h</w:t>
            </w:r>
            <w:r>
              <w:rPr>
                <w:rFonts w:hint="eastAsia" w:ascii="Times New Roman" w:hAnsi="Times New Roman" w:eastAsia="宋体" w:cs="Times New Roman"/>
                <w:b w:val="0"/>
                <w:bCs/>
                <w:color w:val="auto"/>
                <w:sz w:val="24"/>
                <w:szCs w:val="24"/>
                <w:highlight w:val="none"/>
                <w:lang w:val="en-US" w:eastAsia="zh-CN"/>
              </w:rPr>
              <w:t>燃生物质</w:t>
            </w:r>
            <w:r>
              <w:rPr>
                <w:rFonts w:hint="eastAsia" w:ascii="Times New Roman" w:hAnsi="Times New Roman" w:eastAsia="宋体"/>
                <w:b w:val="0"/>
                <w:bCs/>
                <w:color w:val="auto"/>
                <w:sz w:val="24"/>
                <w:szCs w:val="24"/>
                <w:highlight w:val="none"/>
              </w:rPr>
              <w:t>蒸汽锅炉每小时消耗生物质量=锅炉出力÷热效率÷生物质低位发热量=</w:t>
            </w:r>
            <w:r>
              <w:rPr>
                <w:rFonts w:hint="eastAsia"/>
                <w:b w:val="0"/>
                <w:bCs/>
                <w:color w:val="auto"/>
                <w:sz w:val="24"/>
                <w:szCs w:val="24"/>
                <w:highlight w:val="none"/>
                <w:lang w:val="en-US" w:eastAsia="zh-CN"/>
              </w:rPr>
              <w:t>240</w:t>
            </w:r>
            <w:r>
              <w:rPr>
                <w:rFonts w:hint="eastAsia" w:ascii="Times New Roman" w:hAnsi="Times New Roman" w:eastAsia="宋体"/>
                <w:b w:val="0"/>
                <w:bCs/>
                <w:color w:val="auto"/>
                <w:sz w:val="24"/>
                <w:szCs w:val="24"/>
                <w:highlight w:val="none"/>
                <w:lang w:val="en-US" w:eastAsia="zh-CN"/>
              </w:rPr>
              <w:t>0000</w:t>
            </w:r>
            <w:r>
              <w:rPr>
                <w:rFonts w:hint="eastAsia" w:ascii="Times New Roman" w:hAnsi="Times New Roman" w:eastAsia="宋体"/>
                <w:b w:val="0"/>
                <w:bCs/>
                <w:color w:val="auto"/>
                <w:sz w:val="24"/>
                <w:szCs w:val="24"/>
                <w:highlight w:val="none"/>
              </w:rPr>
              <w:t>kcal÷</w:t>
            </w:r>
            <w:r>
              <w:rPr>
                <w:rFonts w:hint="eastAsia"/>
                <w:b w:val="0"/>
                <w:bCs/>
                <w:color w:val="auto"/>
                <w:sz w:val="24"/>
                <w:szCs w:val="24"/>
                <w:highlight w:val="none"/>
                <w:lang w:val="en-US" w:eastAsia="zh-CN"/>
              </w:rPr>
              <w:t>85</w:t>
            </w:r>
            <w:r>
              <w:rPr>
                <w:rFonts w:hint="eastAsia" w:ascii="Times New Roman" w:hAnsi="Times New Roman" w:eastAsia="宋体"/>
                <w:b w:val="0"/>
                <w:bCs/>
                <w:color w:val="auto"/>
                <w:sz w:val="24"/>
                <w:szCs w:val="24"/>
                <w:highlight w:val="none"/>
              </w:rPr>
              <w:t>%÷</w:t>
            </w:r>
            <w:r>
              <w:rPr>
                <w:rFonts w:hint="eastAsia" w:ascii="Times New Roman" w:hAnsi="Times New Roman" w:eastAsia="宋体" w:cs="Times New Roman"/>
                <w:b w:val="0"/>
                <w:bCs/>
                <w:color w:val="auto"/>
                <w:sz w:val="24"/>
                <w:szCs w:val="24"/>
                <w:highlight w:val="none"/>
                <w:lang w:val="en-US" w:eastAsia="zh-CN"/>
              </w:rPr>
              <w:t>2289.62</w:t>
            </w:r>
            <w:r>
              <w:rPr>
                <w:rFonts w:hint="eastAsia" w:ascii="Times New Roman" w:hAnsi="Times New Roman" w:eastAsia="宋体"/>
                <w:b w:val="0"/>
                <w:bCs/>
                <w:color w:val="auto"/>
                <w:sz w:val="24"/>
                <w:szCs w:val="24"/>
                <w:highlight w:val="none"/>
              </w:rPr>
              <w:t>kcal/kg÷</w:t>
            </w:r>
            <w:r>
              <w:rPr>
                <w:rFonts w:hint="eastAsia" w:ascii="Times New Roman" w:hAnsi="Times New Roman" w:eastAsia="宋体"/>
                <w:b w:val="0"/>
                <w:bCs/>
                <w:color w:val="auto"/>
                <w:sz w:val="24"/>
                <w:szCs w:val="24"/>
                <w:highlight w:val="none"/>
                <w:lang w:val="en-US" w:eastAsia="zh-CN"/>
              </w:rPr>
              <w:t>1000</w:t>
            </w:r>
            <w:r>
              <w:rPr>
                <w:rFonts w:hint="eastAsia" w:ascii="Times New Roman" w:hAnsi="Times New Roman" w:eastAsia="宋体"/>
                <w:b w:val="0"/>
                <w:bCs/>
                <w:color w:val="auto"/>
                <w:sz w:val="24"/>
                <w:szCs w:val="24"/>
                <w:highlight w:val="none"/>
              </w:rPr>
              <w:t>=</w:t>
            </w:r>
            <w:r>
              <w:rPr>
                <w:rFonts w:hint="eastAsia"/>
                <w:b w:val="0"/>
                <w:bCs/>
                <w:color w:val="auto"/>
                <w:sz w:val="24"/>
                <w:szCs w:val="24"/>
                <w:highlight w:val="none"/>
                <w:lang w:val="en-US" w:eastAsia="zh-CN"/>
              </w:rPr>
              <w:t>1.233</w:t>
            </w:r>
            <w:r>
              <w:rPr>
                <w:rFonts w:hint="eastAsia" w:ascii="Times New Roman" w:hAnsi="Times New Roman" w:eastAsia="宋体"/>
                <w:b w:val="0"/>
                <w:bCs/>
                <w:color w:val="auto"/>
                <w:sz w:val="24"/>
                <w:szCs w:val="24"/>
                <w:highlight w:val="none"/>
                <w:lang w:val="en-US" w:eastAsia="zh-CN"/>
              </w:rPr>
              <w:t>t</w:t>
            </w:r>
            <w:r>
              <w:rPr>
                <w:rFonts w:hint="eastAsia" w:ascii="Times New Roman" w:hAnsi="Times New Roman" w:eastAsia="宋体"/>
                <w:b w:val="0"/>
                <w:bCs/>
                <w:color w:val="auto"/>
                <w:sz w:val="24"/>
                <w:szCs w:val="24"/>
                <w:highlight w:val="none"/>
              </w:rPr>
              <w:t>/h。</w:t>
            </w:r>
          </w:p>
          <w:p w14:paraId="45BEB167">
            <w:pPr>
              <w:pStyle w:val="107"/>
              <w:keepLines w:val="0"/>
              <w:pageBreakBefore w:val="0"/>
              <w:kinsoku/>
              <w:wordWrap/>
              <w:overflowPunct/>
              <w:topLinePunct w:val="0"/>
              <w:autoSpaceDE/>
              <w:autoSpaceDN/>
              <w:bidi w:val="0"/>
              <w:spacing w:line="360" w:lineRule="auto"/>
              <w:ind w:left="0" w:right="0"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b w:val="0"/>
                <w:bCs/>
                <w:color w:val="auto"/>
                <w:sz w:val="24"/>
                <w:szCs w:val="24"/>
                <w:highlight w:val="none"/>
                <w:lang w:val="en-US" w:eastAsia="zh-CN"/>
              </w:rPr>
              <w:t>综上，本项目</w:t>
            </w:r>
            <w:r>
              <w:rPr>
                <w:rFonts w:hint="eastAsia" w:cs="Times New Roman"/>
                <w:b w:val="0"/>
                <w:bCs/>
                <w:color w:val="auto"/>
                <w:sz w:val="24"/>
                <w:szCs w:val="24"/>
                <w:highlight w:val="none"/>
                <w:lang w:val="en-US" w:eastAsia="zh-CN"/>
              </w:rPr>
              <w:t>4t/h</w:t>
            </w:r>
            <w:r>
              <w:rPr>
                <w:rFonts w:hint="eastAsia" w:ascii="Times New Roman" w:hAnsi="Times New Roman" w:eastAsia="宋体" w:cs="Times New Roman"/>
                <w:b w:val="0"/>
                <w:bCs/>
                <w:color w:val="auto"/>
                <w:sz w:val="24"/>
                <w:szCs w:val="24"/>
                <w:highlight w:val="none"/>
                <w:lang w:val="en-US" w:eastAsia="zh-CN"/>
              </w:rPr>
              <w:t>燃生物质蒸汽锅炉生物质燃料用量为</w:t>
            </w:r>
            <w:r>
              <w:rPr>
                <w:rFonts w:hint="eastAsia" w:cs="Times New Roman"/>
                <w:b w:val="0"/>
                <w:bCs/>
                <w:color w:val="auto"/>
                <w:sz w:val="24"/>
                <w:szCs w:val="24"/>
                <w:highlight w:val="none"/>
                <w:lang w:val="en-US" w:eastAsia="zh-CN"/>
              </w:rPr>
              <w:t>369.9</w:t>
            </w:r>
            <w:r>
              <w:rPr>
                <w:rFonts w:hint="eastAsia" w:ascii="Times New Roman" w:hAnsi="Times New Roman" w:eastAsia="宋体" w:cs="Times New Roman"/>
                <w:b w:val="0"/>
                <w:bCs/>
                <w:color w:val="auto"/>
                <w:sz w:val="24"/>
                <w:szCs w:val="24"/>
                <w:highlight w:val="none"/>
                <w:lang w:val="en-US" w:eastAsia="zh-CN"/>
              </w:rPr>
              <w:t>t/a。</w:t>
            </w:r>
          </w:p>
          <w:p w14:paraId="305656A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本项目蒸汽锅炉排放的烟气主要为</w:t>
            </w:r>
            <w:r>
              <w:rPr>
                <w:rFonts w:hint="default" w:ascii="Times New Roman" w:hAnsi="Times New Roman" w:eastAsia="宋体" w:cs="Times New Roman"/>
                <w:color w:val="auto"/>
                <w:kern w:val="0"/>
                <w:sz w:val="24"/>
                <w:szCs w:val="24"/>
                <w:highlight w:val="none"/>
                <w:lang w:val="en-US" w:eastAsia="zh-CN" w:bidi="ar-SA"/>
              </w:rPr>
              <w:t>SO</w:t>
            </w:r>
            <w:r>
              <w:rPr>
                <w:rFonts w:hint="default" w:ascii="Times New Roman" w:hAnsi="Times New Roman" w:eastAsia="宋体" w:cs="Times New Roman"/>
                <w:color w:val="auto"/>
                <w:kern w:val="0"/>
                <w:sz w:val="24"/>
                <w:szCs w:val="24"/>
                <w:highlight w:val="none"/>
                <w:vertAlign w:val="subscript"/>
                <w:lang w:val="en-US" w:eastAsia="zh-CN" w:bidi="ar-SA"/>
              </w:rPr>
              <w:t>2</w:t>
            </w:r>
            <w:r>
              <w:rPr>
                <w:rFonts w:hint="default" w:ascii="Times New Roman" w:hAnsi="Times New Roman" w:eastAsia="宋体" w:cs="Times New Roman"/>
                <w:color w:val="auto"/>
                <w:kern w:val="0"/>
                <w:sz w:val="24"/>
                <w:szCs w:val="24"/>
                <w:highlight w:val="none"/>
                <w:lang w:val="en-US" w:eastAsia="zh-CN" w:bidi="ar-SA"/>
              </w:rPr>
              <w:t>、NO</w:t>
            </w:r>
            <w:r>
              <w:rPr>
                <w:rFonts w:hint="default" w:ascii="Times New Roman" w:hAnsi="Times New Roman" w:eastAsia="宋体" w:cs="Times New Roman"/>
                <w:color w:val="auto"/>
                <w:kern w:val="0"/>
                <w:sz w:val="24"/>
                <w:szCs w:val="24"/>
                <w:highlight w:val="none"/>
                <w:vertAlign w:val="subscript"/>
                <w:lang w:val="en-US" w:eastAsia="zh-CN" w:bidi="ar-SA"/>
              </w:rPr>
              <w:t>x</w:t>
            </w:r>
            <w:r>
              <w:rPr>
                <w:rFonts w:hint="default" w:ascii="Times New Roman" w:hAnsi="Times New Roman" w:eastAsia="宋体" w:cs="Times New Roman"/>
                <w:color w:val="auto"/>
                <w:kern w:val="0"/>
                <w:sz w:val="24"/>
                <w:szCs w:val="24"/>
                <w:highlight w:val="none"/>
                <w:lang w:val="en-US" w:eastAsia="zh-CN" w:bidi="ar-SA"/>
              </w:rPr>
              <w:t>和</w:t>
            </w:r>
            <w:r>
              <w:rPr>
                <w:rFonts w:hint="eastAsia" w:ascii="Times New Roman" w:hAnsi="Times New Roman" w:eastAsia="宋体" w:cs="Times New Roman"/>
                <w:color w:val="auto"/>
                <w:kern w:val="0"/>
                <w:sz w:val="24"/>
                <w:szCs w:val="24"/>
                <w:highlight w:val="none"/>
                <w:lang w:val="en-US" w:eastAsia="zh-CN" w:bidi="ar-SA"/>
              </w:rPr>
              <w:t>颗粒物。</w:t>
            </w:r>
            <w:r>
              <w:rPr>
                <w:rFonts w:hint="default" w:ascii="Times New Roman" w:hAnsi="Times New Roman" w:eastAsia="宋体" w:cs="Times New Roman"/>
                <w:color w:val="auto"/>
                <w:kern w:val="0"/>
                <w:sz w:val="24"/>
                <w:szCs w:val="24"/>
                <w:highlight w:val="none"/>
                <w:lang w:val="en-US" w:eastAsia="zh-CN" w:bidi="ar-SA"/>
              </w:rPr>
              <w:t>SO</w:t>
            </w:r>
            <w:r>
              <w:rPr>
                <w:rFonts w:hint="default" w:ascii="Times New Roman" w:hAnsi="Times New Roman" w:eastAsia="宋体" w:cs="Times New Roman"/>
                <w:color w:val="auto"/>
                <w:kern w:val="0"/>
                <w:sz w:val="24"/>
                <w:szCs w:val="24"/>
                <w:highlight w:val="none"/>
                <w:vertAlign w:val="subscript"/>
                <w:lang w:val="en-US" w:eastAsia="zh-CN" w:bidi="ar-SA"/>
              </w:rPr>
              <w:t>2</w:t>
            </w:r>
            <w:r>
              <w:rPr>
                <w:rFonts w:hint="default" w:ascii="Times New Roman" w:hAnsi="Times New Roman" w:eastAsia="宋体" w:cs="Times New Roman"/>
                <w:color w:val="auto"/>
                <w:kern w:val="0"/>
                <w:sz w:val="24"/>
                <w:szCs w:val="24"/>
                <w:highlight w:val="none"/>
                <w:lang w:val="en-US" w:eastAsia="zh-CN" w:bidi="ar-SA"/>
              </w:rPr>
              <w:t>、NO</w:t>
            </w:r>
            <w:r>
              <w:rPr>
                <w:rFonts w:hint="default" w:ascii="Times New Roman" w:hAnsi="Times New Roman" w:eastAsia="宋体" w:cs="Times New Roman"/>
                <w:color w:val="auto"/>
                <w:kern w:val="0"/>
                <w:sz w:val="24"/>
                <w:szCs w:val="24"/>
                <w:highlight w:val="none"/>
                <w:vertAlign w:val="subscript"/>
                <w:lang w:val="en-US" w:eastAsia="zh-CN" w:bidi="ar-SA"/>
              </w:rPr>
              <w:t>x</w:t>
            </w:r>
            <w:r>
              <w:rPr>
                <w:rFonts w:hint="default" w:ascii="Times New Roman" w:hAnsi="Times New Roman" w:eastAsia="宋体" w:cs="Times New Roman"/>
                <w:color w:val="auto"/>
                <w:kern w:val="0"/>
                <w:sz w:val="24"/>
                <w:szCs w:val="24"/>
                <w:highlight w:val="none"/>
                <w:lang w:val="en-US" w:eastAsia="zh-CN" w:bidi="ar-SA"/>
              </w:rPr>
              <w:t>和</w:t>
            </w:r>
            <w:r>
              <w:rPr>
                <w:rFonts w:hint="eastAsia" w:ascii="Times New Roman" w:hAnsi="Times New Roman" w:eastAsia="宋体" w:cs="Times New Roman"/>
                <w:color w:val="auto"/>
                <w:kern w:val="0"/>
                <w:sz w:val="24"/>
                <w:szCs w:val="24"/>
                <w:highlight w:val="none"/>
                <w:lang w:val="en-US" w:eastAsia="zh-CN" w:bidi="ar-SA"/>
              </w:rPr>
              <w:t>颗粒物排放量</w:t>
            </w:r>
            <w:r>
              <w:rPr>
                <w:rFonts w:hint="default" w:ascii="Times New Roman" w:hAnsi="Times New Roman" w:eastAsia="宋体" w:cs="Times New Roman"/>
                <w:color w:val="auto"/>
                <w:kern w:val="0"/>
                <w:sz w:val="24"/>
                <w:szCs w:val="24"/>
                <w:highlight w:val="none"/>
                <w:lang w:val="en-US" w:eastAsia="zh-CN" w:bidi="ar-SA"/>
              </w:rPr>
              <w:t>参照</w:t>
            </w:r>
            <w:r>
              <w:rPr>
                <w:rFonts w:hint="eastAsia"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fldChar w:fldCharType="begin"/>
            </w:r>
            <w:r>
              <w:rPr>
                <w:rFonts w:hint="eastAsia" w:ascii="Times New Roman" w:hAnsi="Times New Roman" w:eastAsia="宋体" w:cs="Times New Roman"/>
                <w:color w:val="auto"/>
                <w:kern w:val="0"/>
                <w:sz w:val="24"/>
                <w:szCs w:val="24"/>
                <w:highlight w:val="none"/>
                <w:lang w:val="en-US" w:eastAsia="zh-CN" w:bidi="ar-SA"/>
              </w:rPr>
              <w:instrText xml:space="preserve"> HYPERLINK "https://www.mee.gov.cn/ywgz/fgbz/bz/bzwb/wrfzjszc/201901/W020190111333910366938.pdf" </w:instrText>
            </w:r>
            <w:r>
              <w:rPr>
                <w:rFonts w:hint="eastAsia" w:ascii="Times New Roman" w:hAnsi="Times New Roman" w:eastAsia="宋体" w:cs="Times New Roman"/>
                <w:color w:val="auto"/>
                <w:kern w:val="0"/>
                <w:sz w:val="24"/>
                <w:szCs w:val="24"/>
                <w:highlight w:val="none"/>
                <w:lang w:val="en-US" w:eastAsia="zh-CN" w:bidi="ar-SA"/>
              </w:rPr>
              <w:fldChar w:fldCharType="separate"/>
            </w:r>
            <w:r>
              <w:rPr>
                <w:rFonts w:hint="eastAsia" w:ascii="Times New Roman" w:hAnsi="Times New Roman" w:eastAsia="宋体" w:cs="Times New Roman"/>
                <w:color w:val="auto"/>
                <w:kern w:val="0"/>
                <w:sz w:val="24"/>
                <w:szCs w:val="24"/>
                <w:highlight w:val="none"/>
                <w:lang w:val="en-US" w:eastAsia="zh-CN" w:bidi="ar-SA"/>
              </w:rPr>
              <w:t>污染源源强核算技术指南 锅炉》（HJ 991—2018）</w:t>
            </w:r>
            <w:r>
              <w:rPr>
                <w:rFonts w:hint="eastAsia" w:ascii="Times New Roman" w:hAnsi="Times New Roman" w:eastAsia="宋体" w:cs="Times New Roman"/>
                <w:color w:val="auto"/>
                <w:kern w:val="0"/>
                <w:sz w:val="24"/>
                <w:szCs w:val="24"/>
                <w:highlight w:val="none"/>
                <w:lang w:val="en-US" w:eastAsia="zh-CN" w:bidi="ar-SA"/>
              </w:rPr>
              <w:fldChar w:fldCharType="end"/>
            </w:r>
            <w:r>
              <w:rPr>
                <w:rFonts w:hint="eastAsia" w:ascii="Times New Roman" w:hAnsi="Times New Roman" w:eastAsia="宋体" w:cs="Times New Roman"/>
                <w:color w:val="auto"/>
                <w:kern w:val="0"/>
                <w:sz w:val="24"/>
                <w:szCs w:val="24"/>
                <w:highlight w:val="none"/>
                <w:lang w:val="en-US" w:eastAsia="zh-CN" w:bidi="ar-SA"/>
              </w:rPr>
              <w:t>。</w:t>
            </w:r>
          </w:p>
          <w:p w14:paraId="068831E3">
            <w:pPr>
              <w:pStyle w:val="118"/>
              <w:keepLines w:val="0"/>
              <w:pageBreakBefore w:val="0"/>
              <w:topLinePunct w:val="0"/>
              <w:bidi w:val="0"/>
              <w:spacing w:beforeAutospacing="0" w:afterAutospacing="0" w:line="360" w:lineRule="auto"/>
              <w:ind w:left="0" w:leftChars="0" w:right="0" w:rightChars="0" w:firstLine="480" w:firstLineChars="200"/>
              <w:jc w:val="both"/>
              <w:rPr>
                <w:rFonts w:hint="eastAsia"/>
                <w:color w:val="auto"/>
                <w:sz w:val="24"/>
                <w:szCs w:val="24"/>
                <w:highlight w:val="none"/>
                <w:lang w:eastAsia="zh-CN"/>
              </w:rPr>
            </w:pPr>
            <w:r>
              <w:rPr>
                <w:rFonts w:hint="eastAsia"/>
                <w:color w:val="auto"/>
                <w:sz w:val="24"/>
                <w:szCs w:val="24"/>
                <w:highlight w:val="none"/>
                <w:lang w:eastAsia="zh-CN"/>
              </w:rPr>
              <w:t>②锅炉烟气量的计算</w:t>
            </w:r>
          </w:p>
          <w:p w14:paraId="03472055">
            <w:pPr>
              <w:pStyle w:val="118"/>
              <w:keepLines w:val="0"/>
              <w:pageBreakBefore w:val="0"/>
              <w:topLinePunct w:val="0"/>
              <w:bidi w:val="0"/>
              <w:spacing w:beforeAutospacing="0" w:afterAutospacing="0" w:line="360" w:lineRule="auto"/>
              <w:ind w:left="0" w:leftChars="0" w:right="0" w:rightChars="0" w:firstLine="480" w:firstLineChars="200"/>
              <w:jc w:val="both"/>
              <w:rPr>
                <w:color w:val="auto"/>
                <w:spacing w:val="-2"/>
                <w:sz w:val="24"/>
              </w:rPr>
            </w:pPr>
            <w:r>
              <w:rPr>
                <w:rFonts w:hint="eastAsia"/>
                <w:color w:val="auto"/>
                <w:sz w:val="24"/>
                <w:szCs w:val="24"/>
                <w:highlight w:val="none"/>
                <w:lang w:eastAsia="zh-CN"/>
              </w:rPr>
              <w:t>根据《污染源源强核算技术指南 锅炉》附录 C.</w:t>
            </w:r>
            <w:r>
              <w:rPr>
                <w:rFonts w:hint="eastAsia"/>
                <w:color w:val="auto"/>
                <w:sz w:val="24"/>
                <w:szCs w:val="24"/>
                <w:highlight w:val="none"/>
                <w:lang w:val="en-US" w:eastAsia="zh-CN"/>
              </w:rPr>
              <w:t>2</w:t>
            </w:r>
            <w:r>
              <w:rPr>
                <w:rFonts w:hint="eastAsia"/>
                <w:color w:val="auto"/>
                <w:sz w:val="24"/>
                <w:szCs w:val="24"/>
                <w:highlight w:val="none"/>
                <w:lang w:eastAsia="zh-CN"/>
              </w:rPr>
              <w:t>，</w:t>
            </w:r>
            <w:r>
              <w:rPr>
                <w:color w:val="auto"/>
                <w:spacing w:val="-2"/>
                <w:sz w:val="24"/>
              </w:rPr>
              <w:t>本项目锅炉烟气计算情况如下：</w:t>
            </w:r>
          </w:p>
          <w:p w14:paraId="2A6AF7E8">
            <w:pPr>
              <w:pStyle w:val="118"/>
              <w:keepLines w:val="0"/>
              <w:pageBreakBefore w:val="0"/>
              <w:topLinePunct w:val="0"/>
              <w:bidi w:val="0"/>
              <w:spacing w:beforeAutospacing="0" w:afterAutospacing="0"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a.理论烟气量</w:t>
            </w:r>
          </w:p>
          <w:p w14:paraId="56F1B533">
            <w:pPr>
              <w:pStyle w:val="118"/>
              <w:keepLines w:val="0"/>
              <w:pageBreakBefore w:val="0"/>
              <w:topLinePunct w:val="0"/>
              <w:bidi w:val="0"/>
              <w:spacing w:beforeAutospacing="0" w:afterAutospacing="0" w:line="360" w:lineRule="auto"/>
              <w:ind w:left="0" w:leftChars="0" w:right="0" w:rightChars="0" w:firstLine="0" w:firstLineChars="0"/>
              <w:jc w:val="center"/>
              <w:rPr>
                <w:rFonts w:hint="eastAsia"/>
                <w:color w:val="auto"/>
                <w:sz w:val="24"/>
                <w:szCs w:val="24"/>
                <w:highlight w:val="none"/>
                <w:lang w:eastAsia="zh-CN"/>
              </w:rPr>
            </w:pPr>
            <w:r>
              <w:rPr>
                <w:color w:val="auto"/>
              </w:rPr>
              <w:drawing>
                <wp:inline distT="0" distB="0" distL="114300" distR="114300">
                  <wp:extent cx="3924300" cy="429895"/>
                  <wp:effectExtent l="0" t="0" r="0" b="8255"/>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15"/>
                          <a:stretch>
                            <a:fillRect/>
                          </a:stretch>
                        </pic:blipFill>
                        <pic:spPr>
                          <a:xfrm>
                            <a:off x="0" y="0"/>
                            <a:ext cx="3924300" cy="429895"/>
                          </a:xfrm>
                          <a:prstGeom prst="rect">
                            <a:avLst/>
                          </a:prstGeom>
                          <a:noFill/>
                          <a:ln>
                            <a:noFill/>
                          </a:ln>
                        </pic:spPr>
                      </pic:pic>
                    </a:graphicData>
                  </a:graphic>
                </wp:inline>
              </w:drawing>
            </w:r>
          </w:p>
          <w:p w14:paraId="4564C493">
            <w:pPr>
              <w:pStyle w:val="118"/>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式中：V</w:t>
            </w:r>
            <w:r>
              <w:rPr>
                <w:rFonts w:hint="eastAsia" w:ascii="Times New Roman" w:hAnsi="Times New Roman" w:eastAsia="宋体" w:cs="Times New Roman"/>
                <w:color w:val="auto"/>
                <w:sz w:val="24"/>
                <w:szCs w:val="24"/>
                <w:highlight w:val="none"/>
                <w:vertAlign w:val="subscript"/>
                <w:lang w:eastAsia="zh-CN"/>
              </w:rPr>
              <w:t>0</w:t>
            </w:r>
            <w:r>
              <w:rPr>
                <w:rFonts w:eastAsia="仿宋"/>
                <w:color w:val="auto"/>
                <w:sz w:val="24"/>
              </w:rPr>
              <w:t>——</w:t>
            </w:r>
            <w:r>
              <w:rPr>
                <w:rFonts w:hint="eastAsia" w:ascii="Times New Roman" w:hAnsi="Times New Roman" w:eastAsia="宋体" w:cs="Times New Roman"/>
                <w:color w:val="auto"/>
                <w:sz w:val="24"/>
                <w:szCs w:val="24"/>
                <w:highlight w:val="none"/>
                <w:lang w:eastAsia="zh-CN"/>
              </w:rPr>
              <w:t>理论空气量，m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/kg；</w:t>
            </w:r>
          </w:p>
          <w:p w14:paraId="7002FC0D">
            <w:pPr>
              <w:pStyle w:val="118"/>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C</w:t>
            </w:r>
            <w:r>
              <w:rPr>
                <w:rFonts w:hint="eastAsia" w:ascii="Times New Roman" w:hAnsi="Times New Roman" w:eastAsia="宋体" w:cs="Times New Roman"/>
                <w:color w:val="auto"/>
                <w:sz w:val="24"/>
                <w:szCs w:val="24"/>
                <w:highlight w:val="none"/>
                <w:vertAlign w:val="subscript"/>
                <w:lang w:eastAsia="zh-CN"/>
              </w:rPr>
              <w:t>ar</w:t>
            </w:r>
            <w:r>
              <w:rPr>
                <w:rFonts w:eastAsia="仿宋"/>
                <w:color w:val="auto"/>
                <w:sz w:val="24"/>
              </w:rPr>
              <w:t>——</w:t>
            </w:r>
            <w:r>
              <w:rPr>
                <w:rFonts w:hint="eastAsia" w:ascii="Times New Roman" w:hAnsi="Times New Roman" w:eastAsia="宋体" w:cs="Times New Roman"/>
                <w:color w:val="auto"/>
                <w:sz w:val="24"/>
                <w:szCs w:val="24"/>
                <w:highlight w:val="none"/>
                <w:lang w:eastAsia="zh-CN"/>
              </w:rPr>
              <w:t>收到基碳的质量分数，</w:t>
            </w:r>
            <w:r>
              <w:rPr>
                <w:rFonts w:hint="eastAsia" w:ascii="Times New Roman" w:hAnsi="Times New Roman" w:eastAsia="宋体" w:cs="Times New Roman"/>
                <w:color w:val="auto"/>
                <w:sz w:val="24"/>
                <w:szCs w:val="24"/>
                <w:highlight w:val="none"/>
                <w:lang w:val="en-US" w:eastAsia="zh-CN"/>
              </w:rPr>
              <w:t>30.06</w:t>
            </w:r>
            <w:r>
              <w:rPr>
                <w:rFonts w:hint="eastAsia" w:ascii="Times New Roman" w:hAnsi="Times New Roman" w:eastAsia="宋体" w:cs="Times New Roman"/>
                <w:color w:val="auto"/>
                <w:sz w:val="24"/>
                <w:szCs w:val="24"/>
                <w:highlight w:val="none"/>
                <w:lang w:eastAsia="zh-CN"/>
              </w:rPr>
              <w:t>%；</w:t>
            </w:r>
          </w:p>
          <w:p w14:paraId="37830020">
            <w:pPr>
              <w:pStyle w:val="118"/>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S</w:t>
            </w:r>
            <w:r>
              <w:rPr>
                <w:rFonts w:hint="eastAsia" w:ascii="Times New Roman" w:hAnsi="Times New Roman" w:eastAsia="宋体" w:cs="Times New Roman"/>
                <w:color w:val="auto"/>
                <w:sz w:val="24"/>
                <w:szCs w:val="24"/>
                <w:highlight w:val="none"/>
                <w:vertAlign w:val="subscript"/>
                <w:lang w:eastAsia="zh-CN"/>
              </w:rPr>
              <w:t>ar</w:t>
            </w:r>
            <w:r>
              <w:rPr>
                <w:rFonts w:eastAsia="仿宋"/>
                <w:color w:val="auto"/>
                <w:sz w:val="24"/>
              </w:rPr>
              <w:t>——</w:t>
            </w:r>
            <w:r>
              <w:rPr>
                <w:rFonts w:hint="eastAsia" w:ascii="Times New Roman" w:hAnsi="Times New Roman" w:eastAsia="宋体" w:cs="Times New Roman"/>
                <w:color w:val="auto"/>
                <w:sz w:val="24"/>
                <w:szCs w:val="24"/>
                <w:highlight w:val="none"/>
                <w:lang w:eastAsia="zh-CN"/>
              </w:rPr>
              <w:t>收到基硫的质量分数，0.0</w:t>
            </w:r>
            <w:r>
              <w:rPr>
                <w:rFonts w:hint="eastAsia" w:ascii="Times New Roman" w:hAnsi="Times New Roman" w:eastAsia="宋体"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eastAsia="zh-CN"/>
              </w:rPr>
              <w:t>%；</w:t>
            </w:r>
          </w:p>
          <w:p w14:paraId="3B1CA5B9">
            <w:pPr>
              <w:pStyle w:val="118"/>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H</w:t>
            </w:r>
            <w:r>
              <w:rPr>
                <w:rFonts w:hint="eastAsia" w:ascii="Times New Roman" w:hAnsi="Times New Roman" w:eastAsia="宋体" w:cs="Times New Roman"/>
                <w:color w:val="auto"/>
                <w:sz w:val="24"/>
                <w:szCs w:val="24"/>
                <w:highlight w:val="none"/>
                <w:vertAlign w:val="subscript"/>
                <w:lang w:eastAsia="zh-CN"/>
              </w:rPr>
              <w:t>ar</w:t>
            </w:r>
            <w:r>
              <w:rPr>
                <w:rFonts w:eastAsia="仿宋"/>
                <w:color w:val="auto"/>
                <w:sz w:val="24"/>
              </w:rPr>
              <w:t>——</w:t>
            </w:r>
            <w:r>
              <w:rPr>
                <w:rFonts w:hint="eastAsia" w:ascii="Times New Roman" w:hAnsi="Times New Roman" w:eastAsia="宋体" w:cs="Times New Roman"/>
                <w:color w:val="auto"/>
                <w:sz w:val="24"/>
                <w:szCs w:val="24"/>
                <w:highlight w:val="none"/>
                <w:lang w:eastAsia="zh-CN"/>
              </w:rPr>
              <w:t>收到基氢的质量分数，3.</w:t>
            </w:r>
            <w:r>
              <w:rPr>
                <w:rFonts w:hint="eastAsia" w:ascii="Times New Roman" w:hAnsi="Times New Roman" w:eastAsia="宋体" w:cs="Times New Roman"/>
                <w:color w:val="auto"/>
                <w:sz w:val="24"/>
                <w:szCs w:val="24"/>
                <w:highlight w:val="none"/>
                <w:lang w:val="en-US" w:eastAsia="zh-CN"/>
              </w:rPr>
              <w:t>17</w:t>
            </w:r>
            <w:r>
              <w:rPr>
                <w:rFonts w:hint="eastAsia" w:ascii="Times New Roman" w:hAnsi="Times New Roman" w:eastAsia="宋体" w:cs="Times New Roman"/>
                <w:color w:val="auto"/>
                <w:sz w:val="24"/>
                <w:szCs w:val="24"/>
                <w:highlight w:val="none"/>
                <w:lang w:eastAsia="zh-CN"/>
              </w:rPr>
              <w:t>%；</w:t>
            </w:r>
          </w:p>
          <w:p w14:paraId="42DE186E">
            <w:pPr>
              <w:pStyle w:val="118"/>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O</w:t>
            </w:r>
            <w:r>
              <w:rPr>
                <w:rFonts w:hint="eastAsia" w:ascii="Times New Roman" w:hAnsi="Times New Roman" w:eastAsia="宋体" w:cs="Times New Roman"/>
                <w:color w:val="auto"/>
                <w:sz w:val="24"/>
                <w:szCs w:val="24"/>
                <w:highlight w:val="none"/>
                <w:vertAlign w:val="subscript"/>
                <w:lang w:eastAsia="zh-CN"/>
              </w:rPr>
              <w:t>ar</w:t>
            </w:r>
            <w:r>
              <w:rPr>
                <w:rFonts w:eastAsia="仿宋"/>
                <w:color w:val="auto"/>
                <w:sz w:val="24"/>
              </w:rPr>
              <w:t>——</w:t>
            </w:r>
            <w:r>
              <w:rPr>
                <w:rFonts w:hint="eastAsia" w:ascii="Times New Roman" w:hAnsi="Times New Roman" w:eastAsia="宋体" w:cs="Times New Roman"/>
                <w:color w:val="auto"/>
                <w:sz w:val="24"/>
                <w:szCs w:val="24"/>
                <w:highlight w:val="none"/>
                <w:lang w:eastAsia="zh-CN"/>
              </w:rPr>
              <w:t>收到基氧的质量分数，</w:t>
            </w:r>
            <w:r>
              <w:rPr>
                <w:rFonts w:hint="eastAsia" w:ascii="Times New Roman" w:hAnsi="Times New Roman" w:eastAsia="宋体" w:cs="Times New Roman"/>
                <w:color w:val="auto"/>
                <w:sz w:val="24"/>
                <w:szCs w:val="24"/>
                <w:highlight w:val="none"/>
                <w:lang w:val="en-US" w:eastAsia="zh-CN"/>
              </w:rPr>
              <w:t>26.12</w:t>
            </w:r>
            <w:r>
              <w:rPr>
                <w:rFonts w:hint="eastAsia" w:ascii="Times New Roman" w:hAnsi="Times New Roman" w:eastAsia="宋体" w:cs="Times New Roman"/>
                <w:color w:val="auto"/>
                <w:sz w:val="24"/>
                <w:szCs w:val="24"/>
                <w:highlight w:val="none"/>
                <w:lang w:eastAsia="zh-CN"/>
              </w:rPr>
              <w:t>%。</w:t>
            </w:r>
          </w:p>
          <w:p w14:paraId="11EC21F3">
            <w:pPr>
              <w:pStyle w:val="118"/>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经计算，本项目燃料产生的理论空气量为V</w:t>
            </w:r>
            <w:r>
              <w:rPr>
                <w:rFonts w:hint="eastAsia" w:ascii="Times New Roman" w:hAnsi="Times New Roman" w:eastAsia="宋体" w:cs="Times New Roman"/>
                <w:color w:val="auto"/>
                <w:sz w:val="24"/>
                <w:szCs w:val="24"/>
                <w:highlight w:val="none"/>
                <w:vertAlign w:val="subscript"/>
                <w:lang w:eastAsia="zh-CN"/>
              </w:rPr>
              <w:t>0</w:t>
            </w:r>
            <w:r>
              <w:rPr>
                <w:rFonts w:hint="eastAsia" w:ascii="Times New Roman" w:hAnsi="Times New Roman" w:eastAsia="宋体" w:cs="Times New Roman"/>
                <w:color w:val="auto"/>
                <w:sz w:val="24"/>
                <w:szCs w:val="24"/>
                <w:highlight w:val="none"/>
                <w:lang w:eastAsia="zh-CN"/>
              </w:rPr>
              <w:t>=2.64</w:t>
            </w:r>
            <w:r>
              <w:rPr>
                <w:rFonts w:hint="eastAsia"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/kg。</w:t>
            </w:r>
          </w:p>
          <w:p w14:paraId="40BA12E6">
            <w:pPr>
              <w:pStyle w:val="118"/>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b.烟气排放量计算：</w:t>
            </w:r>
          </w:p>
          <w:p w14:paraId="521B96A1">
            <w:pPr>
              <w:pStyle w:val="118"/>
              <w:keepLines w:val="0"/>
              <w:pageBreakBefore w:val="0"/>
              <w:topLinePunct w:val="0"/>
              <w:bidi w:val="0"/>
              <w:spacing w:beforeAutospacing="0" w:afterAutospacing="0" w:line="360" w:lineRule="auto"/>
              <w:ind w:left="0" w:leftChars="0" w:right="0" w:rightChars="0" w:firstLine="480" w:firstLineChars="200"/>
              <w:jc w:val="both"/>
              <w:rPr>
                <w:rFonts w:hint="eastAsia"/>
                <w:color w:val="auto"/>
                <w:sz w:val="24"/>
                <w:szCs w:val="24"/>
                <w:highlight w:val="none"/>
                <w:lang w:eastAsia="zh-CN"/>
              </w:rPr>
            </w:pPr>
            <w:r>
              <w:rPr>
                <w:color w:val="auto"/>
              </w:rPr>
              <w:drawing>
                <wp:inline distT="0" distB="0" distL="114300" distR="114300">
                  <wp:extent cx="3743325" cy="638175"/>
                  <wp:effectExtent l="0" t="0" r="9525" b="9525"/>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16"/>
                          <a:stretch>
                            <a:fillRect/>
                          </a:stretch>
                        </pic:blipFill>
                        <pic:spPr>
                          <a:xfrm>
                            <a:off x="0" y="0"/>
                            <a:ext cx="3743325" cy="638175"/>
                          </a:xfrm>
                          <a:prstGeom prst="rect">
                            <a:avLst/>
                          </a:prstGeom>
                          <a:noFill/>
                          <a:ln>
                            <a:noFill/>
                          </a:ln>
                        </pic:spPr>
                      </pic:pic>
                    </a:graphicData>
                  </a:graphic>
                </wp:inline>
              </w:drawing>
            </w:r>
          </w:p>
          <w:p w14:paraId="5DBE1FE8">
            <w:pPr>
              <w:pStyle w:val="118"/>
              <w:keepLines w:val="0"/>
              <w:pageBreakBefore w:val="0"/>
              <w:topLinePunct w:val="0"/>
              <w:bidi w:val="0"/>
              <w:spacing w:beforeAutospacing="0" w:afterAutospacing="0" w:line="360" w:lineRule="auto"/>
              <w:ind w:left="0" w:leftChars="0" w:right="0" w:rightChars="0" w:firstLine="480" w:firstLineChars="200"/>
              <w:jc w:val="both"/>
              <w:rPr>
                <w:rFonts w:hint="eastAsia"/>
                <w:color w:val="auto"/>
                <w:sz w:val="24"/>
                <w:szCs w:val="24"/>
                <w:highlight w:val="none"/>
                <w:lang w:eastAsia="zh-CN"/>
              </w:rPr>
            </w:pPr>
            <w:r>
              <w:rPr>
                <w:color w:val="auto"/>
              </w:rPr>
              <w:drawing>
                <wp:inline distT="0" distB="0" distL="114300" distR="114300">
                  <wp:extent cx="2515870" cy="1070610"/>
                  <wp:effectExtent l="0" t="0" r="17780" b="15240"/>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17"/>
                          <a:srcRect r="39558" b="41458"/>
                          <a:stretch>
                            <a:fillRect/>
                          </a:stretch>
                        </pic:blipFill>
                        <pic:spPr>
                          <a:xfrm>
                            <a:off x="0" y="0"/>
                            <a:ext cx="2515870" cy="1070610"/>
                          </a:xfrm>
                          <a:prstGeom prst="rect">
                            <a:avLst/>
                          </a:prstGeom>
                          <a:noFill/>
                          <a:ln>
                            <a:noFill/>
                          </a:ln>
                        </pic:spPr>
                      </pic:pic>
                    </a:graphicData>
                  </a:graphic>
                </wp:inline>
              </w:drawing>
            </w:r>
          </w:p>
          <w:p w14:paraId="5572D32B">
            <w:pPr>
              <w:pStyle w:val="118"/>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式中：V</w:t>
            </w:r>
            <w:r>
              <w:rPr>
                <w:rFonts w:hint="eastAsia" w:ascii="Times New Roman" w:hAnsi="Times New Roman" w:eastAsia="宋体" w:cs="Times New Roman"/>
                <w:color w:val="auto"/>
                <w:sz w:val="24"/>
                <w:szCs w:val="24"/>
                <w:highlight w:val="none"/>
                <w:vertAlign w:val="subscript"/>
                <w:lang w:eastAsia="zh-CN"/>
              </w:rPr>
              <w:t>RO2</w:t>
            </w:r>
            <w:r>
              <w:rPr>
                <w:rFonts w:eastAsia="仿宋"/>
                <w:color w:val="auto"/>
                <w:sz w:val="24"/>
              </w:rPr>
              <w:t>——</w:t>
            </w:r>
            <w:r>
              <w:rPr>
                <w:rFonts w:hint="eastAsia" w:ascii="Times New Roman" w:hAnsi="Times New Roman" w:eastAsia="宋体" w:cs="Times New Roman"/>
                <w:color w:val="auto"/>
                <w:sz w:val="24"/>
                <w:szCs w:val="24"/>
                <w:highlight w:val="none"/>
                <w:lang w:eastAsia="zh-CN"/>
              </w:rPr>
              <w:t>烟气中二氧化碳（VCO</w:t>
            </w:r>
            <w:r>
              <w:rPr>
                <w:rFonts w:hint="eastAsia" w:ascii="Times New Roman" w:hAnsi="Times New Roman" w:eastAsia="宋体" w:cs="Times New Roman"/>
                <w:color w:val="auto"/>
                <w:sz w:val="24"/>
                <w:szCs w:val="24"/>
                <w:highlight w:val="none"/>
                <w:vertAlign w:val="subscript"/>
                <w:lang w:eastAsia="zh-CN"/>
              </w:rPr>
              <w:t>2</w:t>
            </w:r>
            <w:r>
              <w:rPr>
                <w:rFonts w:hint="eastAsia" w:ascii="Times New Roman" w:hAnsi="Times New Roman" w:eastAsia="宋体" w:cs="Times New Roman"/>
                <w:color w:val="auto"/>
                <w:sz w:val="24"/>
                <w:szCs w:val="24"/>
                <w:highlight w:val="none"/>
                <w:lang w:eastAsia="zh-CN"/>
              </w:rPr>
              <w:t>）和二氧化硫（VSO</w:t>
            </w:r>
            <w:r>
              <w:rPr>
                <w:rFonts w:hint="eastAsia" w:ascii="Times New Roman" w:hAnsi="Times New Roman" w:eastAsia="宋体" w:cs="Times New Roman"/>
                <w:color w:val="auto"/>
                <w:sz w:val="24"/>
                <w:szCs w:val="24"/>
                <w:highlight w:val="none"/>
                <w:vertAlign w:val="subscript"/>
                <w:lang w:eastAsia="zh-CN"/>
              </w:rPr>
              <w:t>2</w:t>
            </w:r>
            <w:r>
              <w:rPr>
                <w:rFonts w:hint="eastAsia" w:ascii="Times New Roman" w:hAnsi="Times New Roman" w:eastAsia="宋体" w:cs="Times New Roman"/>
                <w:color w:val="auto"/>
                <w:sz w:val="24"/>
                <w:szCs w:val="24"/>
                <w:highlight w:val="none"/>
                <w:lang w:eastAsia="zh-CN"/>
              </w:rPr>
              <w:t>）容积之和，0.561m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/kg；</w:t>
            </w:r>
          </w:p>
          <w:p w14:paraId="049D1664">
            <w:pPr>
              <w:pStyle w:val="118"/>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C</w:t>
            </w:r>
            <w:r>
              <w:rPr>
                <w:rFonts w:hint="eastAsia" w:ascii="Times New Roman" w:hAnsi="Times New Roman" w:eastAsia="宋体" w:cs="Times New Roman"/>
                <w:color w:val="auto"/>
                <w:sz w:val="24"/>
                <w:szCs w:val="24"/>
                <w:highlight w:val="none"/>
                <w:vertAlign w:val="subscript"/>
                <w:lang w:eastAsia="zh-CN"/>
              </w:rPr>
              <w:t>ar</w:t>
            </w:r>
            <w:r>
              <w:rPr>
                <w:rFonts w:eastAsia="仿宋"/>
                <w:color w:val="auto"/>
                <w:sz w:val="24"/>
              </w:rPr>
              <w:t>——</w:t>
            </w:r>
            <w:r>
              <w:rPr>
                <w:rFonts w:hint="eastAsia" w:ascii="Times New Roman" w:hAnsi="Times New Roman" w:eastAsia="宋体" w:cs="Times New Roman"/>
                <w:color w:val="auto"/>
                <w:sz w:val="24"/>
                <w:szCs w:val="24"/>
                <w:highlight w:val="none"/>
                <w:lang w:eastAsia="zh-CN"/>
              </w:rPr>
              <w:t>收到基碳的质量分数，</w:t>
            </w:r>
            <w:r>
              <w:rPr>
                <w:rFonts w:hint="eastAsia" w:ascii="Times New Roman" w:hAnsi="Times New Roman" w:eastAsia="宋体" w:cs="Times New Roman"/>
                <w:color w:val="auto"/>
                <w:sz w:val="24"/>
                <w:szCs w:val="24"/>
                <w:highlight w:val="none"/>
                <w:lang w:val="en-US" w:eastAsia="zh-CN"/>
              </w:rPr>
              <w:t>30.06</w:t>
            </w:r>
            <w:r>
              <w:rPr>
                <w:rFonts w:hint="eastAsia" w:ascii="Times New Roman" w:hAnsi="Times New Roman" w:eastAsia="宋体" w:cs="Times New Roman"/>
                <w:color w:val="auto"/>
                <w:sz w:val="24"/>
                <w:szCs w:val="24"/>
                <w:highlight w:val="none"/>
                <w:lang w:eastAsia="zh-CN"/>
              </w:rPr>
              <w:t>%；</w:t>
            </w:r>
          </w:p>
          <w:p w14:paraId="376DAAD7">
            <w:pPr>
              <w:pStyle w:val="118"/>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S</w:t>
            </w:r>
            <w:r>
              <w:rPr>
                <w:rFonts w:hint="eastAsia" w:ascii="Times New Roman" w:hAnsi="Times New Roman" w:eastAsia="宋体" w:cs="Times New Roman"/>
                <w:color w:val="auto"/>
                <w:sz w:val="24"/>
                <w:szCs w:val="24"/>
                <w:highlight w:val="none"/>
                <w:vertAlign w:val="subscript"/>
                <w:lang w:eastAsia="zh-CN"/>
              </w:rPr>
              <w:t>a</w:t>
            </w:r>
            <w:r>
              <w:rPr>
                <w:rFonts w:hint="eastAsia" w:ascii="Times New Roman" w:hAnsi="Times New Roman" w:eastAsia="宋体" w:cs="Times New Roman"/>
                <w:color w:val="auto"/>
                <w:sz w:val="24"/>
                <w:szCs w:val="24"/>
                <w:highlight w:val="none"/>
                <w:vertAlign w:val="subscript"/>
                <w:lang w:val="en-US" w:eastAsia="zh-CN"/>
              </w:rPr>
              <w:t>r</w:t>
            </w:r>
            <w:r>
              <w:rPr>
                <w:rFonts w:eastAsia="仿宋"/>
                <w:color w:val="auto"/>
                <w:sz w:val="24"/>
              </w:rPr>
              <w:t>——</w:t>
            </w:r>
            <w:r>
              <w:rPr>
                <w:rFonts w:hint="eastAsia" w:ascii="Times New Roman" w:hAnsi="Times New Roman" w:eastAsia="宋体" w:cs="Times New Roman"/>
                <w:color w:val="auto"/>
                <w:sz w:val="24"/>
                <w:szCs w:val="24"/>
                <w:highlight w:val="none"/>
                <w:lang w:eastAsia="zh-CN"/>
              </w:rPr>
              <w:t>收到基硫的质量分数，0.0</w:t>
            </w:r>
            <w:r>
              <w:rPr>
                <w:rFonts w:hint="eastAsia" w:ascii="Times New Roman" w:hAnsi="Times New Roman" w:eastAsia="宋体"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eastAsia="zh-CN"/>
              </w:rPr>
              <w:t>%；</w:t>
            </w:r>
          </w:p>
          <w:p w14:paraId="6D4C8DEA">
            <w:pPr>
              <w:pStyle w:val="118"/>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N</w:t>
            </w:r>
            <w:r>
              <w:rPr>
                <w:rFonts w:hint="eastAsia" w:ascii="Times New Roman" w:hAnsi="Times New Roman" w:eastAsia="宋体" w:cs="Times New Roman"/>
                <w:color w:val="auto"/>
                <w:sz w:val="24"/>
                <w:szCs w:val="24"/>
                <w:highlight w:val="none"/>
                <w:vertAlign w:val="subscript"/>
                <w:lang w:eastAsia="zh-CN"/>
              </w:rPr>
              <w:t>ar</w:t>
            </w:r>
            <w:r>
              <w:rPr>
                <w:rFonts w:eastAsia="仿宋"/>
                <w:color w:val="auto"/>
                <w:sz w:val="24"/>
              </w:rPr>
              <w:t>——</w:t>
            </w:r>
            <w:r>
              <w:rPr>
                <w:rFonts w:hint="eastAsia" w:ascii="Times New Roman" w:hAnsi="Times New Roman" w:eastAsia="宋体" w:cs="Times New Roman"/>
                <w:color w:val="auto"/>
                <w:sz w:val="24"/>
                <w:szCs w:val="24"/>
                <w:highlight w:val="none"/>
                <w:lang w:eastAsia="zh-CN"/>
              </w:rPr>
              <w:t>收到基氮的质量分数，0.</w:t>
            </w:r>
            <w:r>
              <w:rPr>
                <w:rFonts w:hint="eastAsia" w:ascii="Times New Roman" w:hAnsi="Times New Roman" w:eastAsia="宋体" w:cs="Times New Roman"/>
                <w:color w:val="auto"/>
                <w:sz w:val="24"/>
                <w:szCs w:val="24"/>
                <w:highlight w:val="none"/>
                <w:lang w:val="en-US" w:eastAsia="zh-CN"/>
              </w:rPr>
              <w:t>32</w:t>
            </w:r>
            <w:r>
              <w:rPr>
                <w:rFonts w:hint="eastAsia" w:ascii="Times New Roman" w:hAnsi="Times New Roman" w:eastAsia="宋体" w:cs="Times New Roman"/>
                <w:color w:val="auto"/>
                <w:sz w:val="24"/>
                <w:szCs w:val="24"/>
                <w:highlight w:val="none"/>
                <w:lang w:eastAsia="zh-CN"/>
              </w:rPr>
              <w:t>%；</w:t>
            </w:r>
          </w:p>
          <w:p w14:paraId="5D90F77C">
            <w:pPr>
              <w:pStyle w:val="118"/>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则V</w:t>
            </w:r>
            <w:r>
              <w:rPr>
                <w:rFonts w:hint="eastAsia" w:ascii="Times New Roman" w:hAnsi="Times New Roman" w:eastAsia="宋体" w:cs="Times New Roman"/>
                <w:color w:val="auto"/>
                <w:sz w:val="24"/>
                <w:szCs w:val="24"/>
                <w:highlight w:val="none"/>
                <w:vertAlign w:val="subscript"/>
                <w:lang w:eastAsia="zh-CN"/>
              </w:rPr>
              <w:t>N2</w:t>
            </w:r>
            <w:r>
              <w:rPr>
                <w:rFonts w:eastAsia="仿宋"/>
                <w:color w:val="auto"/>
                <w:sz w:val="24"/>
              </w:rPr>
              <w:t>——</w:t>
            </w:r>
            <w:r>
              <w:rPr>
                <w:rFonts w:hint="eastAsia" w:ascii="Times New Roman" w:hAnsi="Times New Roman" w:eastAsia="宋体" w:cs="Times New Roman"/>
                <w:color w:val="auto"/>
                <w:sz w:val="24"/>
                <w:szCs w:val="24"/>
                <w:highlight w:val="none"/>
                <w:lang w:eastAsia="zh-CN"/>
              </w:rPr>
              <w:t>烟气中氮气量，</w:t>
            </w:r>
            <w:r>
              <w:rPr>
                <w:rFonts w:hint="eastAsia" w:cs="Times New Roman"/>
                <w:color w:val="auto"/>
                <w:sz w:val="24"/>
                <w:szCs w:val="24"/>
                <w:highlight w:val="none"/>
                <w:lang w:val="en-US" w:eastAsia="zh-CN"/>
              </w:rPr>
              <w:t>2.091</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/kg；</w:t>
            </w:r>
          </w:p>
          <w:p w14:paraId="1E661362">
            <w:pPr>
              <w:pStyle w:val="118"/>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V</w:t>
            </w:r>
            <w:r>
              <w:rPr>
                <w:rFonts w:hint="eastAsia" w:ascii="Times New Roman" w:hAnsi="Times New Roman" w:eastAsia="宋体" w:cs="Times New Roman"/>
                <w:color w:val="auto"/>
                <w:sz w:val="24"/>
                <w:szCs w:val="24"/>
                <w:highlight w:val="none"/>
                <w:vertAlign w:val="subscript"/>
                <w:lang w:eastAsia="zh-CN"/>
              </w:rPr>
              <w:t>0</w:t>
            </w:r>
            <w:r>
              <w:rPr>
                <w:rFonts w:eastAsia="仿宋"/>
                <w:color w:val="auto"/>
                <w:sz w:val="24"/>
              </w:rPr>
              <w:t>——</w:t>
            </w:r>
            <w:r>
              <w:rPr>
                <w:rFonts w:hint="eastAsia" w:ascii="Times New Roman" w:hAnsi="Times New Roman" w:eastAsia="宋体" w:cs="Times New Roman"/>
                <w:color w:val="auto"/>
                <w:sz w:val="24"/>
                <w:szCs w:val="24"/>
                <w:highlight w:val="none"/>
                <w:lang w:eastAsia="zh-CN"/>
              </w:rPr>
              <w:t>理论空气量，2.64</w:t>
            </w:r>
            <w:r>
              <w:rPr>
                <w:rFonts w:hint="eastAsia"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/kg；</w:t>
            </w:r>
          </w:p>
          <w:p w14:paraId="00120191">
            <w:pPr>
              <w:pStyle w:val="118"/>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Vg</w:t>
            </w:r>
            <w:r>
              <w:rPr>
                <w:rFonts w:eastAsia="仿宋"/>
                <w:color w:val="auto"/>
                <w:sz w:val="24"/>
              </w:rPr>
              <w:t>——</w:t>
            </w:r>
            <w:r>
              <w:rPr>
                <w:rFonts w:hint="eastAsia" w:ascii="Times New Roman" w:hAnsi="Times New Roman" w:eastAsia="宋体" w:cs="Times New Roman"/>
                <w:color w:val="auto"/>
                <w:sz w:val="24"/>
                <w:szCs w:val="24"/>
                <w:highlight w:val="none"/>
                <w:lang w:eastAsia="zh-CN"/>
              </w:rPr>
              <w:t>干烟气排放量，m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/kg；</w:t>
            </w:r>
          </w:p>
          <w:p w14:paraId="44973113">
            <w:pPr>
              <w:pStyle w:val="118"/>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α</w:t>
            </w:r>
            <w:r>
              <w:rPr>
                <w:rFonts w:eastAsia="仿宋"/>
                <w:color w:val="auto"/>
                <w:sz w:val="24"/>
              </w:rPr>
              <w:t>——</w:t>
            </w:r>
            <w:r>
              <w:rPr>
                <w:rFonts w:hint="eastAsia" w:ascii="Times New Roman" w:hAnsi="Times New Roman" w:eastAsia="宋体" w:cs="Times New Roman"/>
                <w:color w:val="auto"/>
                <w:sz w:val="24"/>
                <w:szCs w:val="24"/>
                <w:highlight w:val="none"/>
                <w:lang w:eastAsia="zh-CN"/>
              </w:rPr>
              <w:t>过量空气系数，燃料燃烧时实际空气供给量与理论空气需要量之比值，参照《污染物源强核算技术指南 锅炉》（HJ991-2018）中生物质燃料锅炉过量空气系数，取1.75，对应基准氧含量为9%；</w:t>
            </w:r>
          </w:p>
          <w:p w14:paraId="41CEF498">
            <w:pPr>
              <w:pStyle w:val="118"/>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经计算，本项目干烟气量Vg为</w:t>
            </w:r>
            <w:r>
              <w:rPr>
                <w:rFonts w:hint="eastAsia" w:cs="Times New Roman"/>
                <w:color w:val="auto"/>
                <w:sz w:val="24"/>
                <w:szCs w:val="24"/>
                <w:highlight w:val="none"/>
                <w:lang w:eastAsia="zh-CN"/>
              </w:rPr>
              <w:t>4.635</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/kg。</w:t>
            </w:r>
          </w:p>
          <w:p w14:paraId="79A0508B">
            <w:pPr>
              <w:keepNext w:val="0"/>
              <w:keepLines w:val="0"/>
              <w:pageBreakBefore w:val="0"/>
              <w:widowControl w:val="0"/>
              <w:numPr>
                <w:ilvl w:val="0"/>
                <w:numId w:val="0"/>
              </w:numPr>
              <w:suppressLineNumbers w:val="0"/>
              <w:kinsoku/>
              <w:wordWrap w:val="0"/>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sz w:val="24"/>
                <w:szCs w:val="24"/>
                <w:highlight w:val="none"/>
                <w:lang w:eastAsia="zh-CN"/>
              </w:rPr>
              <w:t>本项目年燃生物质量为</w:t>
            </w:r>
            <w:r>
              <w:rPr>
                <w:rFonts w:hint="eastAsia" w:cs="Times New Roman"/>
                <w:b w:val="0"/>
                <w:bCs/>
                <w:color w:val="auto"/>
                <w:sz w:val="24"/>
                <w:szCs w:val="24"/>
                <w:highlight w:val="none"/>
                <w:lang w:val="en-US" w:eastAsia="zh-CN"/>
              </w:rPr>
              <w:t>369.9</w:t>
            </w:r>
            <w:r>
              <w:rPr>
                <w:rFonts w:hint="eastAsia" w:ascii="Times New Roman" w:hAnsi="Times New Roman" w:eastAsia="宋体" w:cs="Times New Roman"/>
                <w:color w:val="auto"/>
                <w:sz w:val="24"/>
                <w:szCs w:val="24"/>
                <w:highlight w:val="none"/>
                <w:lang w:eastAsia="zh-CN"/>
              </w:rPr>
              <w:t>t</w:t>
            </w:r>
            <w:r>
              <w:rPr>
                <w:rFonts w:hint="eastAsia"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eastAsia="zh-CN"/>
              </w:rPr>
              <w:t>年工作</w:t>
            </w:r>
            <w:r>
              <w:rPr>
                <w:rFonts w:hint="eastAsia" w:cs="Times New Roman"/>
                <w:color w:val="auto"/>
                <w:sz w:val="24"/>
                <w:szCs w:val="24"/>
                <w:highlight w:val="none"/>
                <w:lang w:val="en-US" w:eastAsia="zh-CN"/>
              </w:rPr>
              <w:t>300</w:t>
            </w:r>
            <w:r>
              <w:rPr>
                <w:rFonts w:hint="eastAsia" w:ascii="Times New Roman" w:hAnsi="Times New Roman" w:eastAsia="宋体" w:cs="Times New Roman"/>
                <w:color w:val="auto"/>
                <w:sz w:val="24"/>
                <w:szCs w:val="24"/>
                <w:highlight w:val="none"/>
                <w:lang w:eastAsia="zh-CN"/>
              </w:rPr>
              <w:t>h，则烟气量为</w:t>
            </w:r>
            <w:r>
              <w:rPr>
                <w:rFonts w:hint="eastAsia" w:ascii="Times New Roman" w:hAnsi="Times New Roman" w:eastAsia="宋体" w:cs="Times New Roman"/>
                <w:color w:val="auto"/>
                <w:sz w:val="24"/>
                <w:szCs w:val="24"/>
                <w:highlight w:val="none"/>
                <w:lang w:val="en-US" w:eastAsia="zh-CN"/>
              </w:rPr>
              <w:t>1714486.5</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eastAsia="zh-CN"/>
              </w:rPr>
              <w:t>，</w:t>
            </w:r>
            <w:r>
              <w:rPr>
                <w:rFonts w:hint="eastAsia" w:cs="Times New Roman"/>
                <w:color w:val="auto"/>
                <w:sz w:val="24"/>
                <w:szCs w:val="24"/>
                <w:highlight w:val="none"/>
                <w:lang w:val="en-US" w:eastAsia="zh-CN"/>
              </w:rPr>
              <w:t>5714.955</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/h。</w:t>
            </w:r>
          </w:p>
          <w:p w14:paraId="4ED769D8">
            <w:pPr>
              <w:pStyle w:val="118"/>
              <w:keepNext w:val="0"/>
              <w:keepLines w:val="0"/>
              <w:pageBreakBefore w:val="0"/>
              <w:widowControl/>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baseline"/>
              <w:rPr>
                <w:rFonts w:hint="default"/>
                <w:color w:val="auto"/>
                <w:sz w:val="24"/>
                <w:szCs w:val="24"/>
                <w:highlight w:val="none"/>
                <w:lang w:val="en-US" w:eastAsia="zh-CN"/>
              </w:rPr>
            </w:pPr>
            <w:r>
              <w:rPr>
                <w:rFonts w:hint="eastAsia"/>
                <w:color w:val="auto"/>
                <w:sz w:val="24"/>
                <w:szCs w:val="24"/>
                <w:highlight w:val="none"/>
                <w:lang w:eastAsia="zh-CN"/>
              </w:rPr>
              <w:t>③</w:t>
            </w:r>
            <w:r>
              <w:rPr>
                <w:rFonts w:hint="eastAsia"/>
                <w:color w:val="auto"/>
                <w:sz w:val="24"/>
                <w:szCs w:val="24"/>
                <w:highlight w:val="none"/>
                <w:lang w:val="en-US" w:eastAsia="zh-CN"/>
              </w:rPr>
              <w:t>污染物排放量</w:t>
            </w:r>
          </w:p>
          <w:p w14:paraId="43F8432C">
            <w:pPr>
              <w:pStyle w:val="118"/>
              <w:keepNext w:val="0"/>
              <w:keepLines w:val="0"/>
              <w:pageBreakBefore w:val="0"/>
              <w:widowControl/>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baseline"/>
              <w:rPr>
                <w:rFonts w:hint="eastAsia" w:eastAsia="宋体"/>
                <w:color w:val="auto"/>
                <w:sz w:val="24"/>
                <w:szCs w:val="24"/>
                <w:highlight w:val="none"/>
                <w:lang w:eastAsia="zh-CN"/>
              </w:rPr>
            </w:pPr>
            <w:r>
              <w:rPr>
                <w:rFonts w:hint="eastAsia"/>
                <w:color w:val="auto"/>
                <w:sz w:val="24"/>
                <w:szCs w:val="24"/>
                <w:highlight w:val="none"/>
                <w:lang w:val="en-US" w:eastAsia="zh-CN"/>
              </w:rPr>
              <w:t>a.</w:t>
            </w:r>
            <w:r>
              <w:rPr>
                <w:rFonts w:hint="eastAsia"/>
                <w:color w:val="auto"/>
                <w:sz w:val="24"/>
                <w:szCs w:val="24"/>
                <w:highlight w:val="none"/>
                <w:lang w:eastAsia="zh-CN"/>
              </w:rPr>
              <w:t>烟尘排放量：</w:t>
            </w:r>
          </w:p>
          <w:p w14:paraId="7E8E3904">
            <w:pPr>
              <w:keepLines w:val="0"/>
              <w:pageBreakBefore w:val="0"/>
              <w:topLinePunct w:val="0"/>
              <w:bidi w:val="0"/>
              <w:spacing w:beforeAutospacing="0" w:afterAutospacing="0" w:line="360" w:lineRule="auto"/>
              <w:ind w:left="0" w:leftChars="0" w:right="0" w:rightChars="0" w:firstLine="480" w:firstLineChars="200"/>
              <w:jc w:val="center"/>
              <w:rPr>
                <w:rFonts w:hint="eastAsia" w:eastAsia="宋体"/>
                <w:color w:val="auto"/>
                <w:sz w:val="24"/>
                <w:szCs w:val="24"/>
                <w:highlight w:val="none"/>
                <w:lang w:eastAsia="zh-CN"/>
              </w:rPr>
            </w:pPr>
            <w:r>
              <w:rPr>
                <w:rFonts w:hint="eastAsia" w:eastAsia="宋体"/>
                <w:color w:val="auto"/>
                <w:sz w:val="24"/>
                <w:szCs w:val="24"/>
                <w:highlight w:val="none"/>
                <w:lang w:eastAsia="zh-CN"/>
              </w:rPr>
              <w:drawing>
                <wp:inline distT="0" distB="0" distL="114300" distR="114300">
                  <wp:extent cx="3762375" cy="809625"/>
                  <wp:effectExtent l="0" t="0" r="9525" b="9525"/>
                  <wp:docPr id="29" name="图片 29" descr="1678344295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678344295114"/>
                          <pic:cNvPicPr>
                            <a:picLocks noChangeAspect="1"/>
                          </pic:cNvPicPr>
                        </pic:nvPicPr>
                        <pic:blipFill>
                          <a:blip r:embed="rId18"/>
                          <a:stretch>
                            <a:fillRect/>
                          </a:stretch>
                        </pic:blipFill>
                        <pic:spPr>
                          <a:xfrm>
                            <a:off x="0" y="0"/>
                            <a:ext cx="3762375" cy="809625"/>
                          </a:xfrm>
                          <a:prstGeom prst="rect">
                            <a:avLst/>
                          </a:prstGeom>
                        </pic:spPr>
                      </pic:pic>
                    </a:graphicData>
                  </a:graphic>
                </wp:inline>
              </w:drawing>
            </w:r>
          </w:p>
          <w:p w14:paraId="02678B84">
            <w:pPr>
              <w:pStyle w:val="2"/>
              <w:keepLines w:val="0"/>
              <w:pageBreakBefore w:val="0"/>
              <w:topLinePunct w:val="0"/>
              <w:bidi w:val="0"/>
              <w:spacing w:before="0" w:beforeAutospacing="0" w:after="0" w:afterAutospacing="0" w:line="360" w:lineRule="auto"/>
              <w:ind w:right="0" w:rightChars="0" w:firstLine="480" w:firstLineChars="200"/>
              <w:rPr>
                <w:rFonts w:hint="default" w:eastAsia="宋体"/>
                <w:color w:val="auto"/>
                <w:sz w:val="24"/>
                <w:szCs w:val="24"/>
                <w:highlight w:val="none"/>
                <w:lang w:val="en-US" w:eastAsia="zh-CN"/>
              </w:rPr>
            </w:pPr>
            <w:r>
              <w:rPr>
                <w:rFonts w:hint="eastAsia" w:eastAsia="宋体"/>
                <w:color w:val="auto"/>
                <w:sz w:val="24"/>
                <w:szCs w:val="24"/>
                <w:highlight w:val="none"/>
              </w:rPr>
              <w:t>式中</w:t>
            </w:r>
            <w:r>
              <w:rPr>
                <w:rFonts w:hint="eastAsia"/>
                <w:color w:val="auto"/>
                <w:sz w:val="24"/>
                <w:szCs w:val="24"/>
                <w:highlight w:val="none"/>
                <w:lang w:eastAsia="zh-CN"/>
              </w:rPr>
              <w:t>：</w:t>
            </w:r>
            <w:r>
              <w:rPr>
                <w:rFonts w:hint="eastAsia" w:eastAsia="宋体"/>
                <w:color w:val="auto"/>
                <w:sz w:val="24"/>
                <w:szCs w:val="24"/>
                <w:highlight w:val="none"/>
              </w:rPr>
              <w:t>E</w:t>
            </w:r>
            <w:r>
              <w:rPr>
                <w:rFonts w:hint="eastAsia"/>
                <w:color w:val="auto"/>
                <w:sz w:val="24"/>
                <w:szCs w:val="24"/>
                <w:highlight w:val="none"/>
                <w:vertAlign w:val="subscript"/>
                <w:lang w:val="en-US" w:eastAsia="zh-CN"/>
              </w:rPr>
              <w:t>A</w:t>
            </w:r>
            <w:r>
              <w:rPr>
                <w:rFonts w:eastAsia="仿宋"/>
                <w:color w:val="auto"/>
                <w:sz w:val="24"/>
              </w:rPr>
              <w:t>——</w:t>
            </w:r>
            <w:r>
              <w:rPr>
                <w:rFonts w:hint="eastAsia" w:eastAsia="宋体"/>
                <w:color w:val="auto"/>
                <w:sz w:val="24"/>
                <w:szCs w:val="24"/>
                <w:highlight w:val="none"/>
              </w:rPr>
              <w:t>核算时段内颗粒物</w:t>
            </w:r>
            <w:r>
              <w:rPr>
                <w:rFonts w:hint="eastAsia"/>
                <w:color w:val="auto"/>
                <w:sz w:val="24"/>
                <w:szCs w:val="24"/>
                <w:highlight w:val="none"/>
                <w:lang w:eastAsia="zh-CN"/>
              </w:rPr>
              <w:t>（</w:t>
            </w:r>
            <w:r>
              <w:rPr>
                <w:rFonts w:hint="eastAsia" w:eastAsia="宋体"/>
                <w:color w:val="auto"/>
                <w:sz w:val="24"/>
                <w:szCs w:val="24"/>
                <w:highlight w:val="none"/>
              </w:rPr>
              <w:t>烟尘</w:t>
            </w:r>
            <w:r>
              <w:rPr>
                <w:rFonts w:hint="eastAsia"/>
                <w:color w:val="auto"/>
                <w:sz w:val="24"/>
                <w:szCs w:val="24"/>
                <w:highlight w:val="none"/>
                <w:lang w:eastAsia="zh-CN"/>
              </w:rPr>
              <w:t>）</w:t>
            </w:r>
            <w:r>
              <w:rPr>
                <w:rFonts w:hint="eastAsia" w:eastAsia="宋体"/>
                <w:color w:val="auto"/>
                <w:sz w:val="24"/>
                <w:szCs w:val="24"/>
                <w:highlight w:val="none"/>
              </w:rPr>
              <w:t>排放量</w:t>
            </w:r>
            <w:r>
              <w:rPr>
                <w:rFonts w:hint="eastAsia"/>
                <w:color w:val="auto"/>
                <w:sz w:val="24"/>
                <w:szCs w:val="24"/>
                <w:highlight w:val="none"/>
                <w:lang w:eastAsia="zh-CN"/>
              </w:rPr>
              <w:t>，</w:t>
            </w:r>
            <w:r>
              <w:rPr>
                <w:rFonts w:hint="eastAsia"/>
                <w:color w:val="auto"/>
                <w:sz w:val="24"/>
                <w:szCs w:val="24"/>
                <w:highlight w:val="none"/>
                <w:lang w:val="en-US" w:eastAsia="zh-CN"/>
              </w:rPr>
              <w:t>t；</w:t>
            </w:r>
          </w:p>
          <w:p w14:paraId="4A060A69">
            <w:pPr>
              <w:keepLines w:val="0"/>
              <w:pageBreakBefore w:val="0"/>
              <w:topLinePunct w:val="0"/>
              <w:bidi w:val="0"/>
              <w:spacing w:beforeAutospacing="0" w:afterAutospacing="0" w:line="360" w:lineRule="auto"/>
              <w:ind w:left="0" w:leftChars="0" w:right="0" w:rightChars="0" w:firstLine="480" w:firstLineChars="200"/>
              <w:rPr>
                <w:rFonts w:hint="eastAsia" w:eastAsia="宋体"/>
                <w:color w:val="auto"/>
                <w:sz w:val="24"/>
                <w:szCs w:val="24"/>
                <w:highlight w:val="none"/>
                <w:lang w:eastAsia="zh-CN"/>
              </w:rPr>
            </w:pPr>
            <w:r>
              <w:rPr>
                <w:rFonts w:hint="eastAsia" w:eastAsia="宋体"/>
                <w:color w:val="auto"/>
                <w:sz w:val="24"/>
                <w:szCs w:val="24"/>
                <w:highlight w:val="none"/>
              </w:rPr>
              <w:t>R</w:t>
            </w:r>
            <w:r>
              <w:rPr>
                <w:rFonts w:eastAsia="仿宋"/>
                <w:color w:val="auto"/>
                <w:sz w:val="24"/>
              </w:rPr>
              <w:t>——</w:t>
            </w:r>
            <w:r>
              <w:rPr>
                <w:rFonts w:hint="eastAsia" w:eastAsia="宋体"/>
                <w:color w:val="auto"/>
                <w:sz w:val="24"/>
                <w:szCs w:val="24"/>
                <w:highlight w:val="none"/>
              </w:rPr>
              <w:t>核算时段内锅炉燃料耗量</w:t>
            </w:r>
            <w:r>
              <w:rPr>
                <w:rFonts w:hint="eastAsia" w:ascii="Times New Roman" w:hAnsi="Times New Roman" w:eastAsia="宋体" w:cs="Times New Roman"/>
                <w:color w:val="auto"/>
                <w:kern w:val="0"/>
                <w:sz w:val="24"/>
                <w:szCs w:val="24"/>
                <w:highlight w:val="none"/>
                <w:lang w:val="en-US" w:eastAsia="zh-CN" w:bidi="ar-SA"/>
              </w:rPr>
              <w:t>，</w:t>
            </w:r>
            <w:r>
              <w:rPr>
                <w:rFonts w:hint="eastAsia" w:cs="Times New Roman"/>
                <w:b w:val="0"/>
                <w:bCs/>
                <w:color w:val="auto"/>
                <w:sz w:val="24"/>
                <w:szCs w:val="24"/>
                <w:highlight w:val="none"/>
                <w:lang w:val="en-US" w:eastAsia="zh-CN"/>
              </w:rPr>
              <w:t>369.9</w:t>
            </w:r>
            <w:r>
              <w:rPr>
                <w:rFonts w:hint="eastAsia" w:ascii="Times New Roman" w:hAnsi="Times New Roman" w:eastAsia="宋体" w:cs="Times New Roman"/>
                <w:color w:val="auto"/>
                <w:kern w:val="0"/>
                <w:sz w:val="24"/>
                <w:szCs w:val="24"/>
                <w:highlight w:val="none"/>
                <w:lang w:val="en-US" w:eastAsia="zh-CN" w:bidi="ar-SA"/>
              </w:rPr>
              <w:t>t；</w:t>
            </w:r>
          </w:p>
          <w:p w14:paraId="116A94A5">
            <w:pPr>
              <w:pStyle w:val="2"/>
              <w:keepLines w:val="0"/>
              <w:pageBreakBefore w:val="0"/>
              <w:topLinePunct w:val="0"/>
              <w:bidi w:val="0"/>
              <w:spacing w:before="0" w:beforeAutospacing="0" w:after="0" w:afterAutospacing="0" w:line="360" w:lineRule="auto"/>
              <w:ind w:left="0" w:leftChars="0" w:right="0" w:rightChars="0" w:firstLine="480" w:firstLineChars="200"/>
              <w:rPr>
                <w:rFonts w:hint="eastAsia" w:eastAsia="宋体"/>
                <w:color w:val="auto"/>
                <w:sz w:val="24"/>
                <w:szCs w:val="24"/>
                <w:highlight w:val="none"/>
                <w:lang w:eastAsia="zh-CN"/>
              </w:rPr>
            </w:pPr>
            <w:r>
              <w:rPr>
                <w:rFonts w:hint="eastAsia" w:eastAsia="宋体"/>
                <w:color w:val="auto"/>
                <w:sz w:val="24"/>
                <w:szCs w:val="24"/>
                <w:highlight w:val="none"/>
              </w:rPr>
              <w:t>A</w:t>
            </w:r>
            <w:r>
              <w:rPr>
                <w:rFonts w:hint="eastAsia"/>
                <w:color w:val="auto"/>
                <w:sz w:val="24"/>
                <w:szCs w:val="24"/>
                <w:highlight w:val="none"/>
                <w:vertAlign w:val="subscript"/>
                <w:lang w:val="en-US" w:eastAsia="zh-CN"/>
              </w:rPr>
              <w:t>ar</w:t>
            </w:r>
            <w:r>
              <w:rPr>
                <w:rFonts w:eastAsia="仿宋"/>
                <w:color w:val="auto"/>
                <w:sz w:val="24"/>
              </w:rPr>
              <w:t>——</w:t>
            </w:r>
            <w:r>
              <w:rPr>
                <w:rFonts w:hint="eastAsia" w:eastAsia="宋体"/>
                <w:color w:val="auto"/>
                <w:sz w:val="24"/>
                <w:szCs w:val="24"/>
                <w:highlight w:val="none"/>
              </w:rPr>
              <w:t>收到基灰分的质量分数，</w:t>
            </w:r>
            <w:r>
              <w:rPr>
                <w:rFonts w:hint="eastAsia"/>
                <w:color w:val="auto"/>
                <w:sz w:val="24"/>
                <w:szCs w:val="24"/>
                <w:highlight w:val="none"/>
                <w:lang w:val="en-US" w:eastAsia="zh-CN"/>
              </w:rPr>
              <w:t>3.06</w:t>
            </w:r>
            <w:r>
              <w:rPr>
                <w:rFonts w:hint="eastAsia" w:eastAsia="宋体"/>
                <w:color w:val="auto"/>
                <w:sz w:val="24"/>
                <w:szCs w:val="24"/>
                <w:highlight w:val="none"/>
              </w:rPr>
              <w:t>%</w:t>
            </w:r>
            <w:r>
              <w:rPr>
                <w:rFonts w:hint="eastAsia"/>
                <w:color w:val="auto"/>
                <w:sz w:val="24"/>
                <w:szCs w:val="24"/>
                <w:highlight w:val="none"/>
                <w:lang w:eastAsia="zh-CN"/>
              </w:rPr>
              <w:t>；</w:t>
            </w:r>
          </w:p>
          <w:p w14:paraId="45161279">
            <w:pPr>
              <w:keepLines w:val="0"/>
              <w:pageBreakBefore w:val="0"/>
              <w:topLinePunct w:val="0"/>
              <w:bidi w:val="0"/>
              <w:spacing w:beforeAutospacing="0" w:afterAutospacing="0" w:line="360" w:lineRule="auto"/>
              <w:ind w:left="0" w:leftChars="0" w:right="0" w:rightChars="0" w:firstLine="480" w:firstLineChars="200"/>
              <w:rPr>
                <w:rFonts w:hint="eastAsia" w:eastAsia="宋体"/>
                <w:color w:val="auto"/>
                <w:sz w:val="24"/>
                <w:szCs w:val="24"/>
                <w:highlight w:val="none"/>
                <w:lang w:eastAsia="zh-CN"/>
              </w:rPr>
            </w:pPr>
            <w:r>
              <w:rPr>
                <w:rFonts w:hint="eastAsia" w:eastAsia="宋体"/>
                <w:color w:val="auto"/>
                <w:sz w:val="24"/>
                <w:szCs w:val="24"/>
                <w:highlight w:val="none"/>
              </w:rPr>
              <w:t>d</w:t>
            </w:r>
            <w:r>
              <w:rPr>
                <w:rFonts w:hint="eastAsia"/>
                <w:color w:val="auto"/>
                <w:sz w:val="24"/>
                <w:szCs w:val="24"/>
                <w:highlight w:val="none"/>
                <w:vertAlign w:val="subscript"/>
                <w:lang w:val="en-US" w:eastAsia="zh-CN"/>
              </w:rPr>
              <w:t>fh</w:t>
            </w:r>
            <w:r>
              <w:rPr>
                <w:rFonts w:eastAsia="仿宋"/>
                <w:color w:val="auto"/>
                <w:sz w:val="24"/>
              </w:rPr>
              <w:t>——</w:t>
            </w:r>
            <w:r>
              <w:rPr>
                <w:rFonts w:hint="eastAsia" w:eastAsia="宋体"/>
                <w:color w:val="auto"/>
                <w:sz w:val="24"/>
                <w:szCs w:val="24"/>
                <w:highlight w:val="none"/>
              </w:rPr>
              <w:t>锅炉烟气带出的飞灰份额，</w:t>
            </w:r>
            <w:r>
              <w:rPr>
                <w:rFonts w:hint="eastAsia" w:cs="Times New Roman"/>
                <w:color w:val="auto"/>
                <w:kern w:val="0"/>
                <w:sz w:val="24"/>
                <w:szCs w:val="24"/>
                <w:highlight w:val="none"/>
                <w:lang w:val="en-US" w:eastAsia="zh-CN" w:bidi="ar-SA"/>
              </w:rPr>
              <w:t>本项目锅炉为链条炉，根据</w:t>
            </w:r>
            <w:r>
              <w:rPr>
                <w:rFonts w:hint="eastAsia"/>
                <w:color w:val="auto"/>
                <w:sz w:val="24"/>
                <w:szCs w:val="24"/>
                <w:highlight w:val="none"/>
                <w:lang w:eastAsia="zh-CN"/>
              </w:rPr>
              <w:t>《污染源源强核算技术指南 锅炉》</w:t>
            </w:r>
            <w:r>
              <w:rPr>
                <w:rFonts w:hint="eastAsia"/>
                <w:color w:val="auto"/>
                <w:sz w:val="24"/>
                <w:szCs w:val="24"/>
                <w:highlight w:val="none"/>
                <w:lang w:val="en-US" w:eastAsia="zh-CN"/>
              </w:rPr>
              <w:t>表B.2，生物质链条炉</w:t>
            </w:r>
            <w:r>
              <w:rPr>
                <w:rFonts w:hint="eastAsia" w:eastAsia="宋体"/>
                <w:color w:val="auto"/>
                <w:sz w:val="24"/>
                <w:szCs w:val="24"/>
                <w:highlight w:val="none"/>
              </w:rPr>
              <w:t>d</w:t>
            </w:r>
            <w:r>
              <w:rPr>
                <w:rFonts w:hint="eastAsia"/>
                <w:color w:val="auto"/>
                <w:sz w:val="24"/>
                <w:szCs w:val="24"/>
                <w:highlight w:val="none"/>
                <w:vertAlign w:val="subscript"/>
                <w:lang w:val="en-US" w:eastAsia="zh-CN"/>
              </w:rPr>
              <w:t>fh</w:t>
            </w:r>
            <w:r>
              <w:rPr>
                <w:rFonts w:hint="eastAsia"/>
                <w:color w:val="auto"/>
                <w:sz w:val="24"/>
                <w:szCs w:val="24"/>
                <w:highlight w:val="none"/>
                <w:lang w:val="en-US" w:eastAsia="zh-CN"/>
              </w:rPr>
              <w:t>取值40%~50%，本项目取</w:t>
            </w:r>
            <w:r>
              <w:rPr>
                <w:rFonts w:hint="eastAsia" w:cs="Times New Roman"/>
                <w:color w:val="auto"/>
                <w:kern w:val="0"/>
                <w:sz w:val="24"/>
                <w:szCs w:val="24"/>
                <w:highlight w:val="none"/>
                <w:lang w:val="en-US" w:eastAsia="zh-CN" w:bidi="ar-SA"/>
              </w:rPr>
              <w:t>50</w:t>
            </w:r>
            <w:r>
              <w:rPr>
                <w:rFonts w:hint="eastAsia" w:eastAsia="宋体"/>
                <w:color w:val="auto"/>
                <w:sz w:val="24"/>
                <w:szCs w:val="24"/>
                <w:highlight w:val="none"/>
              </w:rPr>
              <w:t>%</w:t>
            </w:r>
            <w:r>
              <w:rPr>
                <w:rFonts w:hint="eastAsia"/>
                <w:color w:val="auto"/>
                <w:sz w:val="24"/>
                <w:szCs w:val="24"/>
                <w:highlight w:val="none"/>
                <w:lang w:eastAsia="zh-CN"/>
              </w:rPr>
              <w:t>；</w:t>
            </w:r>
          </w:p>
          <w:p w14:paraId="6EB45F62">
            <w:pPr>
              <w:pStyle w:val="2"/>
              <w:keepLines w:val="0"/>
              <w:pageBreakBefore w:val="0"/>
              <w:topLinePunct w:val="0"/>
              <w:bidi w:val="0"/>
              <w:spacing w:before="0" w:beforeAutospacing="0" w:after="0" w:afterAutospacing="0" w:line="360" w:lineRule="auto"/>
              <w:ind w:left="0" w:leftChars="0" w:right="0" w:rightChars="0" w:firstLine="480" w:firstLineChars="200"/>
              <w:rPr>
                <w:rFonts w:hint="eastAsia" w:ascii="Times New Roman" w:hAnsi="Times New Roman" w:eastAsia="仿宋"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η</w:t>
            </w:r>
            <w:r>
              <w:rPr>
                <w:rFonts w:hint="default" w:ascii="Times New Roman" w:hAnsi="Times New Roman" w:cs="Times New Roman"/>
                <w:color w:val="auto"/>
                <w:sz w:val="24"/>
                <w:szCs w:val="24"/>
                <w:highlight w:val="none"/>
                <w:vertAlign w:val="subscript"/>
                <w:lang w:val="en-US" w:eastAsia="zh-CN"/>
              </w:rPr>
              <w:t>c</w:t>
            </w:r>
            <w:r>
              <w:rPr>
                <w:rFonts w:eastAsia="仿宋"/>
                <w:color w:val="auto"/>
                <w:sz w:val="24"/>
              </w:rPr>
              <w:t>——</w:t>
            </w:r>
            <w:r>
              <w:rPr>
                <w:rFonts w:hint="eastAsia" w:ascii="Times New Roman" w:hAnsi="Times New Roman" w:eastAsia="宋体" w:cs="Times New Roman"/>
                <w:color w:val="auto"/>
                <w:kern w:val="2"/>
                <w:sz w:val="24"/>
                <w:szCs w:val="24"/>
                <w:highlight w:val="none"/>
                <w:lang w:val="en-US" w:eastAsia="zh-CN" w:bidi="ar-SA"/>
              </w:rPr>
              <w:t>综合除尘效率，</w:t>
            </w:r>
            <w:r>
              <w:rPr>
                <w:rFonts w:hint="eastAsia" w:cs="Times New Roman"/>
                <w:color w:val="auto"/>
                <w:kern w:val="2"/>
                <w:sz w:val="24"/>
                <w:szCs w:val="24"/>
                <w:highlight w:val="none"/>
                <w:lang w:val="en-US" w:eastAsia="zh-CN" w:bidi="ar-SA"/>
              </w:rPr>
              <w:t>99</w:t>
            </w:r>
            <w:r>
              <w:rPr>
                <w:rFonts w:hint="eastAsia" w:ascii="Times New Roman" w:hAnsi="Times New Roman" w:eastAsia="宋体" w:cs="Times New Roman"/>
                <w:color w:val="auto"/>
                <w:kern w:val="2"/>
                <w:sz w:val="24"/>
                <w:szCs w:val="24"/>
                <w:highlight w:val="none"/>
                <w:lang w:val="en-US" w:eastAsia="zh-CN" w:bidi="ar-SA"/>
              </w:rPr>
              <w:t>%</w:t>
            </w:r>
            <w:r>
              <w:rPr>
                <w:rFonts w:hint="eastAsia" w:eastAsia="仿宋"/>
                <w:color w:val="auto"/>
                <w:sz w:val="24"/>
                <w:lang w:eastAsia="zh-CN"/>
              </w:rPr>
              <w:t>；</w:t>
            </w:r>
          </w:p>
          <w:p w14:paraId="1A2504A1">
            <w:pPr>
              <w:keepLines w:val="0"/>
              <w:pageBreakBefore w:val="0"/>
              <w:topLinePunct w:val="0"/>
              <w:bidi w:val="0"/>
              <w:spacing w:beforeAutospacing="0" w:afterAutospacing="0" w:line="360" w:lineRule="auto"/>
              <w:ind w:left="0" w:leftChars="0" w:right="0" w:rightChars="0" w:firstLine="480" w:firstLineChars="200"/>
              <w:rPr>
                <w:rFonts w:hint="default" w:eastAsia="宋体"/>
                <w:color w:val="auto"/>
                <w:sz w:val="24"/>
                <w:szCs w:val="24"/>
                <w:highlight w:val="none"/>
                <w:lang w:val="en-US" w:eastAsia="zh-CN"/>
              </w:rPr>
            </w:pPr>
            <w:r>
              <w:rPr>
                <w:rFonts w:hint="eastAsia"/>
                <w:color w:val="auto"/>
                <w:sz w:val="24"/>
                <w:szCs w:val="24"/>
                <w:highlight w:val="none"/>
                <w:lang w:val="en-US" w:eastAsia="zh-CN"/>
              </w:rPr>
              <w:t>C</w:t>
            </w:r>
            <w:r>
              <w:rPr>
                <w:rFonts w:hint="eastAsia"/>
                <w:color w:val="auto"/>
                <w:sz w:val="24"/>
                <w:szCs w:val="24"/>
                <w:highlight w:val="none"/>
                <w:vertAlign w:val="subscript"/>
                <w:lang w:val="en-US" w:eastAsia="zh-CN"/>
              </w:rPr>
              <w:t>fh</w:t>
            </w:r>
            <w:r>
              <w:rPr>
                <w:rFonts w:eastAsia="仿宋"/>
                <w:color w:val="auto"/>
                <w:sz w:val="24"/>
              </w:rPr>
              <w:t>——</w:t>
            </w:r>
            <w:r>
              <w:rPr>
                <w:rFonts w:hint="eastAsia" w:ascii="Times New Roman" w:hAnsi="Times New Roman" w:eastAsia="宋体" w:cs="Times New Roman"/>
                <w:color w:val="auto"/>
                <w:kern w:val="2"/>
                <w:sz w:val="24"/>
                <w:szCs w:val="24"/>
                <w:highlight w:val="none"/>
                <w:lang w:val="en-US" w:eastAsia="zh-CN" w:bidi="ar-SA"/>
              </w:rPr>
              <w:t>飞灰中的可燃物含量，</w:t>
            </w:r>
            <w:r>
              <w:rPr>
                <w:rFonts w:hint="eastAsia" w:cs="Times New Roman"/>
                <w:color w:val="auto"/>
                <w:kern w:val="2"/>
                <w:sz w:val="24"/>
                <w:szCs w:val="24"/>
                <w:highlight w:val="none"/>
                <w:lang w:val="en-US" w:eastAsia="zh-CN" w:bidi="ar-SA"/>
              </w:rPr>
              <w:t>15</w:t>
            </w:r>
            <w:r>
              <w:rPr>
                <w:rFonts w:hint="eastAsia"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w:t>
            </w:r>
          </w:p>
          <w:p w14:paraId="7EAA1161">
            <w:pPr>
              <w:pStyle w:val="2"/>
              <w:keepLines w:val="0"/>
              <w:pageBreakBefore w:val="0"/>
              <w:topLinePunct w:val="0"/>
              <w:bidi w:val="0"/>
              <w:spacing w:before="0" w:beforeAutospacing="0" w:after="0" w:afterAutospacing="0" w:line="360" w:lineRule="auto"/>
              <w:ind w:right="0" w:rightChars="0" w:firstLine="480" w:firstLineChars="200"/>
              <w:rPr>
                <w:rFonts w:hint="default"/>
                <w:color w:val="auto"/>
                <w:lang w:val="en-US"/>
              </w:rPr>
            </w:pPr>
            <w:r>
              <w:rPr>
                <w:rFonts w:hint="eastAsia" w:eastAsia="宋体"/>
                <w:color w:val="auto"/>
                <w:sz w:val="24"/>
                <w:szCs w:val="24"/>
                <w:highlight w:val="none"/>
              </w:rPr>
              <w:t>E</w:t>
            </w:r>
            <w:r>
              <w:rPr>
                <w:rFonts w:hint="eastAsia"/>
                <w:color w:val="auto"/>
                <w:sz w:val="24"/>
                <w:szCs w:val="24"/>
                <w:highlight w:val="none"/>
                <w:vertAlign w:val="subscript"/>
                <w:lang w:val="en-US" w:eastAsia="zh-CN"/>
              </w:rPr>
              <w:t>A</w:t>
            </w:r>
            <w:r>
              <w:rPr>
                <w:rFonts w:hint="eastAsia"/>
                <w:color w:val="auto"/>
                <w:sz w:val="24"/>
                <w:szCs w:val="24"/>
                <w:highlight w:val="none"/>
                <w:vertAlign w:val="baseline"/>
                <w:lang w:val="en-US" w:eastAsia="zh-CN"/>
              </w:rPr>
              <w:t>=（</w:t>
            </w:r>
            <w:r>
              <w:rPr>
                <w:rFonts w:hint="eastAsia" w:cs="Times New Roman"/>
                <w:b w:val="0"/>
                <w:bCs/>
                <w:color w:val="auto"/>
                <w:sz w:val="24"/>
                <w:szCs w:val="24"/>
                <w:highlight w:val="none"/>
                <w:lang w:val="en-US" w:eastAsia="zh-CN"/>
              </w:rPr>
              <w:t>369.9</w:t>
            </w:r>
            <w:r>
              <w:rPr>
                <w:rFonts w:hint="eastAsia"/>
                <w:color w:val="auto"/>
                <w:sz w:val="24"/>
                <w:szCs w:val="24"/>
                <w:highlight w:val="none"/>
                <w:vertAlign w:val="baseline"/>
                <w:lang w:val="en-US" w:eastAsia="zh-CN"/>
              </w:rPr>
              <w:t>×0.0306×0.5×0.01）÷0.85=0.066t/a</w:t>
            </w:r>
          </w:p>
          <w:p w14:paraId="485F40A4">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rPr>
                <w:rFonts w:hint="default"/>
                <w:color w:val="auto"/>
                <w:sz w:val="24"/>
                <w:szCs w:val="32"/>
                <w:lang w:val="en-US" w:eastAsia="zh-CN"/>
              </w:rPr>
            </w:pPr>
            <w:r>
              <w:rPr>
                <w:rFonts w:hint="eastAsia"/>
                <w:color w:val="auto"/>
                <w:sz w:val="24"/>
                <w:szCs w:val="32"/>
                <w:lang w:val="en-US" w:eastAsia="zh-CN"/>
              </w:rPr>
              <w:t>b.二氧化硫排放量</w:t>
            </w:r>
          </w:p>
          <w:p w14:paraId="6B8C46DF">
            <w:pPr>
              <w:pStyle w:val="2"/>
              <w:keepLines w:val="0"/>
              <w:pageBreakBefore w:val="0"/>
              <w:topLinePunct w:val="0"/>
              <w:bidi w:val="0"/>
              <w:spacing w:before="0" w:beforeAutospacing="0" w:after="0" w:afterAutospacing="0" w:line="360" w:lineRule="auto"/>
              <w:ind w:left="0" w:leftChars="0" w:right="0" w:rightChars="0" w:firstLine="360" w:firstLineChars="200"/>
              <w:jc w:val="center"/>
              <w:rPr>
                <w:rFonts w:hint="eastAsia" w:eastAsia="宋体"/>
                <w:color w:val="auto"/>
                <w:lang w:eastAsia="zh-CN"/>
              </w:rPr>
            </w:pPr>
            <w:r>
              <w:rPr>
                <w:rFonts w:hint="eastAsia" w:eastAsia="宋体"/>
                <w:color w:val="auto"/>
                <w:lang w:eastAsia="zh-CN"/>
              </w:rPr>
              <w:drawing>
                <wp:inline distT="0" distB="0" distL="114300" distR="114300">
                  <wp:extent cx="3078480" cy="533400"/>
                  <wp:effectExtent l="0" t="0" r="7620" b="0"/>
                  <wp:docPr id="32" name="图片 32" descr="16785940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678594096(1)"/>
                          <pic:cNvPicPr>
                            <a:picLocks noChangeAspect="1"/>
                          </pic:cNvPicPr>
                        </pic:nvPicPr>
                        <pic:blipFill>
                          <a:blip r:embed="rId19"/>
                          <a:stretch>
                            <a:fillRect/>
                          </a:stretch>
                        </pic:blipFill>
                        <pic:spPr>
                          <a:xfrm>
                            <a:off x="0" y="0"/>
                            <a:ext cx="3078480" cy="533400"/>
                          </a:xfrm>
                          <a:prstGeom prst="rect">
                            <a:avLst/>
                          </a:prstGeom>
                        </pic:spPr>
                      </pic:pic>
                    </a:graphicData>
                  </a:graphic>
                </wp:inline>
              </w:drawing>
            </w:r>
          </w:p>
          <w:p w14:paraId="0B21073F">
            <w:pPr>
              <w:pStyle w:val="2"/>
              <w:keepNext w:val="0"/>
              <w:keepLines w:val="0"/>
              <w:pageBreakBefore w:val="0"/>
              <w:kinsoku/>
              <w:wordWrap/>
              <w:overflowPunct/>
              <w:topLinePunct w:val="0"/>
              <w:autoSpaceDE/>
              <w:autoSpaceDN/>
              <w:bidi w:val="0"/>
              <w:adjustRightInd/>
              <w:spacing w:before="0" w:beforeAutospacing="0" w:after="0" w:afterAutospacing="0" w:line="360" w:lineRule="auto"/>
              <w:ind w:right="0" w:rightChars="0" w:firstLine="480" w:firstLineChars="200"/>
              <w:textAlignment w:val="auto"/>
              <w:rPr>
                <w:rFonts w:hint="default" w:eastAsia="宋体"/>
                <w:color w:val="auto"/>
                <w:sz w:val="24"/>
                <w:szCs w:val="24"/>
                <w:highlight w:val="none"/>
                <w:lang w:val="en-US" w:eastAsia="zh-CN"/>
              </w:rPr>
            </w:pPr>
            <w:r>
              <w:rPr>
                <w:rFonts w:hint="eastAsia" w:eastAsia="宋体"/>
                <w:color w:val="auto"/>
                <w:sz w:val="24"/>
                <w:szCs w:val="24"/>
                <w:highlight w:val="none"/>
              </w:rPr>
              <w:t>式中</w:t>
            </w:r>
            <w:r>
              <w:rPr>
                <w:rFonts w:hint="eastAsia"/>
                <w:color w:val="auto"/>
                <w:sz w:val="24"/>
                <w:szCs w:val="24"/>
                <w:highlight w:val="none"/>
                <w:lang w:eastAsia="zh-CN"/>
              </w:rPr>
              <w:t>：</w:t>
            </w:r>
            <w:r>
              <w:rPr>
                <w:rFonts w:hint="eastAsia" w:eastAsia="宋体"/>
                <w:color w:val="auto"/>
                <w:sz w:val="24"/>
                <w:szCs w:val="24"/>
                <w:highlight w:val="none"/>
              </w:rPr>
              <w:t>E</w:t>
            </w:r>
            <w:r>
              <w:rPr>
                <w:rFonts w:hint="eastAsia"/>
                <w:color w:val="auto"/>
                <w:sz w:val="24"/>
                <w:szCs w:val="24"/>
                <w:highlight w:val="none"/>
                <w:vertAlign w:val="subscript"/>
                <w:lang w:val="en-US" w:eastAsia="zh-CN"/>
              </w:rPr>
              <w:t>SO2</w:t>
            </w:r>
            <w:r>
              <w:rPr>
                <w:rFonts w:eastAsia="仿宋"/>
                <w:color w:val="auto"/>
                <w:sz w:val="24"/>
              </w:rPr>
              <w:t>——</w:t>
            </w:r>
            <w:r>
              <w:rPr>
                <w:rFonts w:hint="eastAsia" w:eastAsia="宋体"/>
                <w:color w:val="auto"/>
                <w:sz w:val="24"/>
                <w:szCs w:val="24"/>
                <w:highlight w:val="none"/>
              </w:rPr>
              <w:t>核</w:t>
            </w:r>
            <w:r>
              <w:rPr>
                <w:rFonts w:hint="eastAsia" w:ascii="Times New Roman" w:hAnsi="Times New Roman" w:eastAsia="宋体" w:cs="Times New Roman"/>
                <w:color w:val="auto"/>
                <w:kern w:val="2"/>
                <w:sz w:val="24"/>
                <w:szCs w:val="24"/>
                <w:highlight w:val="none"/>
                <w:lang w:val="en-US" w:eastAsia="zh-CN" w:bidi="ar-SA"/>
              </w:rPr>
              <w:t>算时段内二氧化硫排放量，t；</w:t>
            </w:r>
          </w:p>
          <w:p w14:paraId="5E91AF4C">
            <w:pPr>
              <w:keepNext w:val="0"/>
              <w:keepLines w:val="0"/>
              <w:pageBreakBefore w:val="0"/>
              <w:kinsoku/>
              <w:wordWrap/>
              <w:overflowPunct/>
              <w:topLinePunct w:val="0"/>
              <w:autoSpaceDE/>
              <w:autoSpaceDN/>
              <w:bidi w:val="0"/>
              <w:adjustRightInd/>
              <w:spacing w:beforeAutospacing="0" w:afterAutospacing="0" w:line="360" w:lineRule="auto"/>
              <w:ind w:left="0" w:leftChars="0" w:right="0" w:rightChars="0" w:firstLine="480" w:firstLineChars="200"/>
              <w:textAlignment w:val="auto"/>
              <w:rPr>
                <w:rFonts w:hint="default" w:eastAsia="宋体"/>
                <w:color w:val="auto"/>
                <w:sz w:val="24"/>
                <w:szCs w:val="24"/>
                <w:highlight w:val="none"/>
                <w:lang w:val="en-US" w:eastAsia="zh-CN"/>
              </w:rPr>
            </w:pPr>
            <w:r>
              <w:rPr>
                <w:rFonts w:hint="eastAsia" w:eastAsia="宋体"/>
                <w:color w:val="auto"/>
                <w:sz w:val="24"/>
                <w:szCs w:val="24"/>
                <w:highlight w:val="none"/>
              </w:rPr>
              <w:t>R</w:t>
            </w:r>
            <w:r>
              <w:rPr>
                <w:rFonts w:eastAsia="仿宋"/>
                <w:color w:val="auto"/>
                <w:sz w:val="24"/>
              </w:rPr>
              <w:t>——</w:t>
            </w:r>
            <w:r>
              <w:rPr>
                <w:rFonts w:hint="eastAsia" w:eastAsia="宋体"/>
                <w:color w:val="auto"/>
                <w:sz w:val="24"/>
                <w:szCs w:val="24"/>
                <w:highlight w:val="none"/>
              </w:rPr>
              <w:t>核算时段内锅炉燃料耗量，</w:t>
            </w:r>
            <w:r>
              <w:rPr>
                <w:rFonts w:hint="eastAsia" w:cs="Times New Roman"/>
                <w:b w:val="0"/>
                <w:bCs/>
                <w:color w:val="auto"/>
                <w:sz w:val="24"/>
                <w:szCs w:val="24"/>
                <w:highlight w:val="none"/>
                <w:lang w:val="en-US" w:eastAsia="zh-CN"/>
              </w:rPr>
              <w:t>369.9</w:t>
            </w:r>
            <w:r>
              <w:rPr>
                <w:rFonts w:hint="eastAsia" w:ascii="Times New Roman" w:hAnsi="Times New Roman" w:eastAsia="宋体" w:cs="Times New Roman"/>
                <w:color w:val="auto"/>
                <w:kern w:val="0"/>
                <w:sz w:val="24"/>
                <w:szCs w:val="24"/>
                <w:highlight w:val="none"/>
                <w:lang w:val="en-US" w:eastAsia="zh-CN" w:bidi="ar-SA"/>
              </w:rPr>
              <w:t>t</w:t>
            </w:r>
            <w:r>
              <w:rPr>
                <w:rFonts w:hint="eastAsia"/>
                <w:color w:val="auto"/>
                <w:sz w:val="24"/>
                <w:szCs w:val="24"/>
                <w:highlight w:val="none"/>
                <w:lang w:eastAsia="zh-CN"/>
              </w:rPr>
              <w:t>；</w:t>
            </w:r>
          </w:p>
          <w:p w14:paraId="6D7FE9D8">
            <w:pPr>
              <w:pStyle w:val="2"/>
              <w:keepNext w:val="0"/>
              <w:keepLines w:val="0"/>
              <w:pageBreakBefore w:val="0"/>
              <w:kinsoku/>
              <w:wordWrap/>
              <w:overflowPunct/>
              <w:topLinePunct w:val="0"/>
              <w:autoSpaceDE/>
              <w:autoSpaceDN/>
              <w:bidi w:val="0"/>
              <w:adjustRightInd/>
              <w:spacing w:before="0" w:beforeAutospacing="0" w:after="0" w:afterAutospacing="0" w:line="360" w:lineRule="auto"/>
              <w:ind w:left="0" w:leftChars="0" w:right="0" w:rightChars="0" w:firstLine="480" w:firstLineChars="200"/>
              <w:textAlignment w:val="auto"/>
              <w:rPr>
                <w:rFonts w:hint="eastAsia" w:eastAsia="宋体"/>
                <w:color w:val="auto"/>
                <w:sz w:val="24"/>
                <w:szCs w:val="24"/>
                <w:highlight w:val="none"/>
                <w:lang w:eastAsia="zh-CN"/>
              </w:rPr>
            </w:pPr>
            <w:r>
              <w:rPr>
                <w:rFonts w:hint="eastAsia"/>
                <w:color w:val="auto"/>
                <w:sz w:val="24"/>
                <w:szCs w:val="24"/>
                <w:highlight w:val="none"/>
                <w:lang w:val="en-US" w:eastAsia="zh-CN"/>
              </w:rPr>
              <w:t>S</w:t>
            </w:r>
            <w:r>
              <w:rPr>
                <w:rFonts w:hint="eastAsia"/>
                <w:color w:val="auto"/>
                <w:sz w:val="24"/>
                <w:szCs w:val="24"/>
                <w:highlight w:val="none"/>
                <w:vertAlign w:val="subscript"/>
                <w:lang w:val="en-US" w:eastAsia="zh-CN"/>
              </w:rPr>
              <w:t>ar</w:t>
            </w:r>
            <w:r>
              <w:rPr>
                <w:rFonts w:eastAsia="仿宋"/>
                <w:color w:val="auto"/>
                <w:sz w:val="24"/>
              </w:rPr>
              <w:t>——</w:t>
            </w:r>
            <w:r>
              <w:rPr>
                <w:rFonts w:hint="eastAsia" w:ascii="Times New Roman" w:hAnsi="Times New Roman" w:eastAsia="宋体" w:cs="Times New Roman"/>
                <w:color w:val="auto"/>
                <w:kern w:val="2"/>
                <w:sz w:val="24"/>
                <w:szCs w:val="24"/>
                <w:highlight w:val="none"/>
                <w:lang w:val="en-US" w:eastAsia="zh-CN" w:bidi="ar-SA"/>
              </w:rPr>
              <w:t>收到基硫的质量分数，</w:t>
            </w:r>
            <w:r>
              <w:rPr>
                <w:rFonts w:hint="eastAsia"/>
                <w:color w:val="auto"/>
                <w:sz w:val="24"/>
                <w:szCs w:val="24"/>
                <w:highlight w:val="none"/>
                <w:lang w:val="en-US" w:eastAsia="zh-CN"/>
              </w:rPr>
              <w:t>0.04</w:t>
            </w:r>
            <w:r>
              <w:rPr>
                <w:rFonts w:hint="eastAsia" w:eastAsia="宋体"/>
                <w:color w:val="auto"/>
                <w:sz w:val="24"/>
                <w:szCs w:val="24"/>
                <w:highlight w:val="none"/>
              </w:rPr>
              <w:t>%</w:t>
            </w:r>
            <w:r>
              <w:rPr>
                <w:rFonts w:hint="eastAsia"/>
                <w:color w:val="auto"/>
                <w:sz w:val="24"/>
                <w:szCs w:val="24"/>
                <w:highlight w:val="none"/>
                <w:lang w:eastAsia="zh-CN"/>
              </w:rPr>
              <w:t>；</w:t>
            </w:r>
          </w:p>
          <w:p w14:paraId="6326C3B6">
            <w:pPr>
              <w:keepNext w:val="0"/>
              <w:keepLines w:val="0"/>
              <w:pageBreakBefore w:val="0"/>
              <w:kinsoku/>
              <w:wordWrap/>
              <w:overflowPunct/>
              <w:topLinePunct w:val="0"/>
              <w:autoSpaceDE/>
              <w:autoSpaceDN/>
              <w:bidi w:val="0"/>
              <w:adjustRightInd/>
              <w:spacing w:beforeAutospacing="0" w:afterAutospacing="0" w:line="360" w:lineRule="auto"/>
              <w:ind w:left="0" w:leftChars="0" w:right="0" w:rightChars="0" w:firstLine="480" w:firstLineChars="200"/>
              <w:textAlignment w:val="auto"/>
              <w:rPr>
                <w:rFonts w:hint="eastAsia" w:eastAsia="宋体"/>
                <w:color w:val="auto"/>
                <w:sz w:val="24"/>
                <w:szCs w:val="24"/>
                <w:highlight w:val="none"/>
                <w:lang w:eastAsia="zh-CN"/>
              </w:rPr>
            </w:pPr>
            <w:r>
              <w:rPr>
                <w:rFonts w:hint="eastAsia" w:eastAsia="仿宋"/>
                <w:color w:val="auto"/>
                <w:sz w:val="24"/>
                <w:lang w:val="en-US" w:eastAsia="zh-CN"/>
              </w:rPr>
              <w:t>q</w:t>
            </w:r>
            <w:r>
              <w:rPr>
                <w:rFonts w:hint="eastAsia" w:eastAsia="仿宋"/>
                <w:color w:val="auto"/>
                <w:sz w:val="24"/>
                <w:vertAlign w:val="subscript"/>
                <w:lang w:val="en-US" w:eastAsia="zh-CN"/>
              </w:rPr>
              <w:t>4</w:t>
            </w:r>
            <w:r>
              <w:rPr>
                <w:rFonts w:eastAsia="仿宋"/>
                <w:color w:val="auto"/>
                <w:sz w:val="24"/>
              </w:rPr>
              <w:t>——</w:t>
            </w:r>
            <w:r>
              <w:rPr>
                <w:rFonts w:hint="eastAsia" w:ascii="Times New Roman" w:hAnsi="Times New Roman" w:eastAsia="宋体" w:cs="Times New Roman"/>
                <w:color w:val="auto"/>
                <w:kern w:val="0"/>
                <w:sz w:val="24"/>
                <w:szCs w:val="24"/>
                <w:highlight w:val="none"/>
                <w:lang w:val="en-US" w:eastAsia="zh-CN" w:bidi="ar-SA"/>
              </w:rPr>
              <w:t>锅炉机械不完全燃烧热损失，</w:t>
            </w:r>
            <w:r>
              <w:rPr>
                <w:rFonts w:hint="eastAsia" w:cs="Times New Roman"/>
                <w:color w:val="auto"/>
                <w:kern w:val="0"/>
                <w:sz w:val="24"/>
                <w:szCs w:val="24"/>
                <w:highlight w:val="none"/>
                <w:lang w:val="en-US" w:eastAsia="zh-CN" w:bidi="ar-SA"/>
              </w:rPr>
              <w:t>15</w:t>
            </w:r>
            <w:r>
              <w:rPr>
                <w:rFonts w:hint="eastAsia" w:eastAsia="宋体"/>
                <w:color w:val="auto"/>
                <w:sz w:val="24"/>
                <w:szCs w:val="24"/>
                <w:highlight w:val="none"/>
              </w:rPr>
              <w:t>%</w:t>
            </w:r>
            <w:r>
              <w:rPr>
                <w:rFonts w:hint="eastAsia"/>
                <w:color w:val="auto"/>
                <w:sz w:val="24"/>
                <w:szCs w:val="24"/>
                <w:highlight w:val="none"/>
                <w:lang w:eastAsia="zh-CN"/>
              </w:rPr>
              <w:t>；</w:t>
            </w:r>
          </w:p>
          <w:p w14:paraId="40F924D0">
            <w:pPr>
              <w:pStyle w:val="2"/>
              <w:keepNext w:val="0"/>
              <w:keepLines w:val="0"/>
              <w:pageBreakBefore w:val="0"/>
              <w:kinsoku/>
              <w:wordWrap/>
              <w:overflowPunct/>
              <w:topLinePunct w:val="0"/>
              <w:autoSpaceDE/>
              <w:autoSpaceDN/>
              <w:bidi w:val="0"/>
              <w:adjustRightInd/>
              <w:spacing w:before="0" w:beforeAutospacing="0" w:after="0" w:afterAutospacing="0" w:line="360" w:lineRule="auto"/>
              <w:ind w:left="0" w:leftChars="0" w:right="0" w:rightChars="0" w:firstLine="480" w:firstLineChars="200"/>
              <w:textAlignment w:val="auto"/>
              <w:rPr>
                <w:rFonts w:hint="eastAsia" w:ascii="Times New Roman" w:hAnsi="Times New Roman" w:eastAsia="仿宋"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η</w:t>
            </w:r>
            <w:r>
              <w:rPr>
                <w:rFonts w:hint="eastAsia" w:cs="Times New Roman"/>
                <w:color w:val="auto"/>
                <w:sz w:val="24"/>
                <w:szCs w:val="24"/>
                <w:highlight w:val="none"/>
                <w:vertAlign w:val="subscript"/>
                <w:lang w:val="en-US" w:eastAsia="zh-CN"/>
              </w:rPr>
              <w:t>s</w:t>
            </w:r>
            <w:r>
              <w:rPr>
                <w:rFonts w:eastAsia="仿宋"/>
                <w:color w:val="auto"/>
                <w:sz w:val="24"/>
              </w:rPr>
              <w:t>——</w:t>
            </w:r>
            <w:r>
              <w:rPr>
                <w:rFonts w:hint="eastAsia" w:ascii="Times New Roman" w:hAnsi="Times New Roman" w:eastAsia="宋体" w:cs="Times New Roman"/>
                <w:color w:val="auto"/>
                <w:kern w:val="0"/>
                <w:sz w:val="24"/>
                <w:szCs w:val="24"/>
                <w:highlight w:val="none"/>
                <w:lang w:val="en-US" w:eastAsia="zh-CN" w:bidi="ar-SA"/>
              </w:rPr>
              <w:t>脱</w:t>
            </w:r>
            <w:r>
              <w:rPr>
                <w:rFonts w:hint="eastAsia" w:ascii="Times New Roman" w:hAnsi="Times New Roman" w:eastAsia="宋体" w:cs="Times New Roman"/>
                <w:color w:val="auto"/>
                <w:kern w:val="2"/>
                <w:sz w:val="24"/>
                <w:szCs w:val="24"/>
                <w:highlight w:val="none"/>
                <w:lang w:val="en-US" w:eastAsia="zh-CN" w:bidi="ar-SA"/>
              </w:rPr>
              <w:t>硫效</w:t>
            </w:r>
            <w:r>
              <w:rPr>
                <w:rFonts w:hint="eastAsia" w:ascii="Times New Roman" w:hAnsi="Times New Roman" w:eastAsia="宋体" w:cs="Times New Roman"/>
                <w:color w:val="auto"/>
                <w:kern w:val="0"/>
                <w:sz w:val="24"/>
                <w:szCs w:val="24"/>
                <w:highlight w:val="none"/>
                <w:lang w:val="en-US" w:eastAsia="zh-CN" w:bidi="ar-SA"/>
              </w:rPr>
              <w:t>率，</w:t>
            </w:r>
            <w:r>
              <w:rPr>
                <w:rFonts w:hint="eastAsia" w:cs="Times New Roman"/>
                <w:color w:val="auto"/>
                <w:kern w:val="2"/>
                <w:sz w:val="24"/>
                <w:szCs w:val="24"/>
                <w:highlight w:val="none"/>
                <w:lang w:val="en-US" w:eastAsia="zh-CN" w:bidi="ar-SA"/>
              </w:rPr>
              <w:t>0</w:t>
            </w:r>
            <w:r>
              <w:rPr>
                <w:rFonts w:hint="eastAsia" w:ascii="Times New Roman" w:hAnsi="Times New Roman" w:eastAsia="宋体" w:cs="Times New Roman"/>
                <w:color w:val="auto"/>
                <w:kern w:val="2"/>
                <w:sz w:val="24"/>
                <w:szCs w:val="24"/>
                <w:highlight w:val="none"/>
                <w:lang w:val="en-US" w:eastAsia="zh-CN" w:bidi="ar-SA"/>
              </w:rPr>
              <w:t>%</w:t>
            </w:r>
            <w:r>
              <w:rPr>
                <w:rFonts w:hint="eastAsia" w:eastAsia="仿宋"/>
                <w:color w:val="auto"/>
                <w:sz w:val="24"/>
                <w:lang w:eastAsia="zh-CN"/>
              </w:rPr>
              <w:t>；</w:t>
            </w:r>
          </w:p>
          <w:p w14:paraId="253650D0">
            <w:pPr>
              <w:keepNext w:val="0"/>
              <w:keepLines w:val="0"/>
              <w:pageBreakBefore w:val="0"/>
              <w:kinsoku/>
              <w:wordWrap/>
              <w:overflowPunct/>
              <w:topLinePunct w:val="0"/>
              <w:autoSpaceDE/>
              <w:autoSpaceDN/>
              <w:bidi w:val="0"/>
              <w:adjustRightInd/>
              <w:spacing w:beforeAutospacing="0" w:afterAutospacing="0" w:line="360" w:lineRule="auto"/>
              <w:ind w:left="0" w:leftChars="0" w:right="0" w:rightChars="0" w:firstLine="480" w:firstLineChars="200"/>
              <w:textAlignment w:val="auto"/>
              <w:rPr>
                <w:rFonts w:hint="eastAsia" w:cs="Times New Roman"/>
                <w:color w:val="auto"/>
                <w:kern w:val="2"/>
                <w:sz w:val="24"/>
                <w:szCs w:val="24"/>
                <w:highlight w:val="none"/>
                <w:lang w:val="en-US" w:eastAsia="zh-CN" w:bidi="ar-SA"/>
              </w:rPr>
            </w:pPr>
            <w:r>
              <w:rPr>
                <w:rFonts w:hint="eastAsia"/>
                <w:color w:val="auto"/>
                <w:sz w:val="24"/>
                <w:szCs w:val="24"/>
                <w:highlight w:val="none"/>
                <w:lang w:val="en-US" w:eastAsia="zh-CN"/>
              </w:rPr>
              <w:t>K</w:t>
            </w:r>
            <w:r>
              <w:rPr>
                <w:rFonts w:eastAsia="仿宋"/>
                <w:color w:val="auto"/>
                <w:sz w:val="24"/>
              </w:rPr>
              <w:t>——</w:t>
            </w:r>
            <w:r>
              <w:rPr>
                <w:rFonts w:hint="eastAsia" w:cs="Times New Roman"/>
                <w:color w:val="auto"/>
                <w:kern w:val="2"/>
                <w:sz w:val="24"/>
                <w:szCs w:val="24"/>
                <w:highlight w:val="none"/>
                <w:lang w:val="en-US" w:eastAsia="zh-CN" w:bidi="ar-SA"/>
              </w:rPr>
              <w:t>燃料中的硫燃烧后二氧化硫的份额</w:t>
            </w:r>
            <w:r>
              <w:rPr>
                <w:rFonts w:hint="eastAsia" w:ascii="Times New Roman" w:hAnsi="Times New Roman" w:eastAsia="宋体" w:cs="Times New Roman"/>
                <w:color w:val="auto"/>
                <w:kern w:val="2"/>
                <w:sz w:val="24"/>
                <w:szCs w:val="24"/>
                <w:highlight w:val="none"/>
                <w:lang w:val="en-US" w:eastAsia="zh-CN" w:bidi="ar-SA"/>
              </w:rPr>
              <w:t>，</w:t>
            </w:r>
            <w:r>
              <w:rPr>
                <w:rFonts w:hint="eastAsia" w:cs="Times New Roman"/>
                <w:color w:val="auto"/>
                <w:kern w:val="0"/>
                <w:sz w:val="24"/>
                <w:szCs w:val="24"/>
                <w:highlight w:val="none"/>
                <w:lang w:val="en-US" w:eastAsia="zh-CN" w:bidi="ar-SA"/>
              </w:rPr>
              <w:t>根据</w:t>
            </w:r>
            <w:r>
              <w:rPr>
                <w:rFonts w:hint="eastAsia"/>
                <w:color w:val="auto"/>
                <w:sz w:val="24"/>
                <w:szCs w:val="24"/>
                <w:highlight w:val="none"/>
                <w:lang w:eastAsia="zh-CN"/>
              </w:rPr>
              <w:t>《污染源源强核算技术指南 锅炉》</w:t>
            </w:r>
            <w:r>
              <w:rPr>
                <w:rFonts w:hint="eastAsia"/>
                <w:color w:val="auto"/>
                <w:sz w:val="24"/>
                <w:szCs w:val="24"/>
                <w:highlight w:val="none"/>
                <w:lang w:val="en-US" w:eastAsia="zh-CN"/>
              </w:rPr>
              <w:t>表B.3，燃生物质炉K取值0.3~0.5，本项目取</w:t>
            </w:r>
            <w:r>
              <w:rPr>
                <w:rFonts w:hint="eastAsia" w:cs="Times New Roman"/>
                <w:color w:val="auto"/>
                <w:kern w:val="2"/>
                <w:sz w:val="24"/>
                <w:szCs w:val="24"/>
                <w:highlight w:val="none"/>
                <w:lang w:val="en-US" w:eastAsia="zh-CN" w:bidi="ar-SA"/>
              </w:rPr>
              <w:t>0.5。</w:t>
            </w:r>
          </w:p>
          <w:p w14:paraId="4480A104">
            <w:pPr>
              <w:pStyle w:val="2"/>
              <w:keepLines w:val="0"/>
              <w:pageBreakBefore w:val="0"/>
              <w:topLinePunct w:val="0"/>
              <w:bidi w:val="0"/>
              <w:spacing w:before="0" w:beforeAutospacing="0" w:after="0" w:afterAutospacing="0" w:line="360" w:lineRule="auto"/>
              <w:ind w:right="0" w:rightChars="0" w:firstLine="480" w:firstLineChars="200"/>
              <w:rPr>
                <w:rFonts w:hint="default"/>
                <w:color w:val="auto"/>
                <w:lang w:val="en-US" w:eastAsia="zh-CN"/>
              </w:rPr>
            </w:pPr>
            <w:r>
              <w:rPr>
                <w:rFonts w:hint="eastAsia" w:eastAsia="宋体"/>
                <w:color w:val="auto"/>
                <w:sz w:val="24"/>
                <w:szCs w:val="24"/>
                <w:highlight w:val="none"/>
              </w:rPr>
              <w:t>E</w:t>
            </w:r>
            <w:r>
              <w:rPr>
                <w:rFonts w:hint="eastAsia"/>
                <w:color w:val="auto"/>
                <w:sz w:val="24"/>
                <w:szCs w:val="24"/>
                <w:highlight w:val="none"/>
                <w:vertAlign w:val="subscript"/>
                <w:lang w:val="en-US" w:eastAsia="zh-CN"/>
              </w:rPr>
              <w:t>SO2</w:t>
            </w:r>
            <w:r>
              <w:rPr>
                <w:rFonts w:hint="eastAsia"/>
                <w:color w:val="auto"/>
                <w:sz w:val="24"/>
                <w:szCs w:val="24"/>
                <w:highlight w:val="none"/>
                <w:vertAlign w:val="baseline"/>
                <w:lang w:val="en-US" w:eastAsia="zh-CN"/>
              </w:rPr>
              <w:t>=2×</w:t>
            </w:r>
            <w:r>
              <w:rPr>
                <w:rFonts w:hint="eastAsia" w:cs="Times New Roman"/>
                <w:b w:val="0"/>
                <w:bCs/>
                <w:color w:val="auto"/>
                <w:sz w:val="24"/>
                <w:szCs w:val="24"/>
                <w:highlight w:val="none"/>
                <w:lang w:val="en-US" w:eastAsia="zh-CN"/>
              </w:rPr>
              <w:t>369.9</w:t>
            </w:r>
            <w:r>
              <w:rPr>
                <w:rFonts w:hint="eastAsia"/>
                <w:color w:val="auto"/>
                <w:sz w:val="24"/>
                <w:szCs w:val="24"/>
                <w:highlight w:val="none"/>
                <w:vertAlign w:val="baseline"/>
                <w:lang w:val="en-US" w:eastAsia="zh-CN"/>
              </w:rPr>
              <w:t>×0.0004×0.85×0.5=0.126t/a</w:t>
            </w:r>
          </w:p>
          <w:p w14:paraId="463A7BE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c.氮氧化物排放量</w:t>
            </w:r>
          </w:p>
          <w:p w14:paraId="4956137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center"/>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drawing>
                <wp:inline distT="0" distB="0" distL="114300" distR="114300">
                  <wp:extent cx="2766060" cy="784860"/>
                  <wp:effectExtent l="0" t="0" r="15240" b="15240"/>
                  <wp:docPr id="34" name="图片 34"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图片3"/>
                          <pic:cNvPicPr>
                            <a:picLocks noChangeAspect="1"/>
                          </pic:cNvPicPr>
                        </pic:nvPicPr>
                        <pic:blipFill>
                          <a:blip r:embed="rId20"/>
                          <a:stretch>
                            <a:fillRect/>
                          </a:stretch>
                        </pic:blipFill>
                        <pic:spPr>
                          <a:xfrm>
                            <a:off x="0" y="0"/>
                            <a:ext cx="2766060" cy="784860"/>
                          </a:xfrm>
                          <a:prstGeom prst="rect">
                            <a:avLst/>
                          </a:prstGeom>
                        </pic:spPr>
                      </pic:pic>
                    </a:graphicData>
                  </a:graphic>
                </wp:inline>
              </w:drawing>
            </w:r>
          </w:p>
          <w:p w14:paraId="5EC06A9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式中：E</w:t>
            </w:r>
            <w:r>
              <w:rPr>
                <w:rFonts w:hint="eastAsia" w:ascii="Times New Roman" w:hAnsi="Times New Roman" w:eastAsia="宋体" w:cs="Times New Roman"/>
                <w:color w:val="auto"/>
                <w:kern w:val="0"/>
                <w:sz w:val="24"/>
                <w:szCs w:val="24"/>
                <w:highlight w:val="none"/>
                <w:vertAlign w:val="subscript"/>
                <w:lang w:val="en-US" w:eastAsia="zh-CN" w:bidi="ar-SA"/>
              </w:rPr>
              <w:t>NOx</w:t>
            </w:r>
            <w:r>
              <w:rPr>
                <w:rFonts w:hint="eastAsia" w:ascii="Times New Roman" w:hAnsi="Times New Roman" w:eastAsia="宋体" w:cs="Times New Roman"/>
                <w:color w:val="auto"/>
                <w:kern w:val="0"/>
                <w:sz w:val="24"/>
                <w:szCs w:val="24"/>
                <w:highlight w:val="none"/>
                <w:lang w:val="en-US" w:eastAsia="zh-CN" w:bidi="ar-SA"/>
              </w:rPr>
              <w:t>——核算时段内氮氧化物排放量，t；</w:t>
            </w:r>
          </w:p>
          <w:p w14:paraId="4F018DB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ρ</w:t>
            </w:r>
            <w:r>
              <w:rPr>
                <w:rFonts w:hint="default" w:ascii="Times New Roman" w:hAnsi="Times New Roman" w:eastAsia="宋体" w:cs="Times New Roman"/>
                <w:color w:val="auto"/>
                <w:kern w:val="0"/>
                <w:sz w:val="24"/>
                <w:szCs w:val="24"/>
                <w:highlight w:val="none"/>
                <w:vertAlign w:val="subscript"/>
                <w:lang w:val="en-US" w:eastAsia="zh-CN" w:bidi="ar-SA"/>
              </w:rPr>
              <w:t>NOx</w:t>
            </w:r>
            <w:r>
              <w:rPr>
                <w:rFonts w:hint="eastAsia" w:ascii="Times New Roman" w:hAnsi="Times New Roman" w:eastAsia="宋体" w:cs="Times New Roman"/>
                <w:color w:val="auto"/>
                <w:kern w:val="0"/>
                <w:sz w:val="24"/>
                <w:szCs w:val="24"/>
                <w:highlight w:val="none"/>
                <w:lang w:val="en-US" w:eastAsia="zh-CN" w:bidi="ar-SA"/>
              </w:rPr>
              <w:t>——锅炉炉膛出口氮氧化物质量浓</w:t>
            </w:r>
            <w:r>
              <w:rPr>
                <w:rFonts w:hint="eastAsia" w:ascii="Times New Roman" w:hAnsi="Times New Roman" w:eastAsia="宋体" w:cs="Times New Roman"/>
                <w:color w:val="auto"/>
                <w:sz w:val="24"/>
                <w:szCs w:val="24"/>
                <w:highlight w:val="none"/>
                <w:lang w:val="en-US" w:eastAsia="zh-CN"/>
              </w:rPr>
              <w:t>度，参考《克山县长明食品贸易有限公司甜玉米生产加工建设项目竣工</w:t>
            </w:r>
            <w:r>
              <w:rPr>
                <w:rFonts w:hint="eastAsia" w:ascii="Times New Roman" w:hAnsi="Times New Roman" w:eastAsia="宋体"/>
                <w:color w:val="auto"/>
                <w:sz w:val="24"/>
                <w:szCs w:val="24"/>
                <w:highlight w:val="none"/>
                <w:lang w:val="en-US" w:eastAsia="zh-CN"/>
              </w:rPr>
              <w:t>环境保护验收监测报告表》中</w:t>
            </w:r>
            <w:r>
              <w:rPr>
                <w:rFonts w:hint="eastAsia" w:ascii="Times New Roman" w:hAnsi="Times New Roman"/>
                <w:color w:val="auto"/>
                <w:sz w:val="24"/>
                <w:szCs w:val="24"/>
                <w:highlight w:val="none"/>
                <w:lang w:val="en-US" w:eastAsia="zh-CN"/>
              </w:rPr>
              <w:t>4t/h</w:t>
            </w:r>
            <w:r>
              <w:rPr>
                <w:rFonts w:hint="eastAsia" w:ascii="Times New Roman" w:hAnsi="Times New Roman" w:eastAsia="宋体"/>
                <w:color w:val="auto"/>
                <w:sz w:val="24"/>
                <w:szCs w:val="24"/>
                <w:highlight w:val="none"/>
                <w:lang w:val="en-US" w:eastAsia="zh-CN"/>
              </w:rPr>
              <w:t>生物质锅炉氮氧化物烟囱出口监测浓度为86-101</w:t>
            </w:r>
            <w:r>
              <w:rPr>
                <w:rFonts w:hint="eastAsia" w:ascii="Times New Roman" w:hAnsi="Times New Roman" w:eastAsia="宋体"/>
                <w:color w:val="auto"/>
                <w:sz w:val="24"/>
                <w:szCs w:val="24"/>
                <w:highlight w:val="none"/>
              </w:rPr>
              <w:t>mg/m</w:t>
            </w:r>
            <w:r>
              <w:rPr>
                <w:rFonts w:hint="eastAsia" w:ascii="Times New Roman" w:hAnsi="Times New Roman" w:eastAsia="宋体"/>
                <w:color w:val="auto"/>
                <w:sz w:val="24"/>
                <w:szCs w:val="24"/>
                <w:highlight w:val="none"/>
                <w:vertAlign w:val="superscript"/>
              </w:rPr>
              <w:t>3</w:t>
            </w:r>
            <w:r>
              <w:rPr>
                <w:rFonts w:hint="eastAsia"/>
                <w:color w:val="auto"/>
                <w:sz w:val="24"/>
                <w:szCs w:val="24"/>
                <w:highlight w:val="none"/>
                <w:vertAlign w:val="baseline"/>
                <w:lang w:eastAsia="zh-CN"/>
              </w:rPr>
              <w:t>，</w:t>
            </w:r>
            <w:r>
              <w:rPr>
                <w:rFonts w:hint="eastAsia"/>
                <w:color w:val="auto"/>
                <w:sz w:val="24"/>
                <w:szCs w:val="24"/>
                <w:highlight w:val="none"/>
                <w:vertAlign w:val="baseline"/>
                <w:lang w:val="en-US" w:eastAsia="zh-CN"/>
              </w:rPr>
              <w:t>本项目取</w:t>
            </w:r>
            <w:r>
              <w:rPr>
                <w:rFonts w:hint="eastAsia"/>
                <w:color w:val="auto"/>
                <w:sz w:val="24"/>
                <w:szCs w:val="24"/>
                <w:highlight w:val="none"/>
                <w:lang w:val="en-US" w:eastAsia="zh-CN"/>
              </w:rPr>
              <w:t>101mg/m</w:t>
            </w:r>
            <w:r>
              <w:rPr>
                <w:rFonts w:hint="eastAsia"/>
                <w:color w:val="auto"/>
                <w:sz w:val="24"/>
                <w:szCs w:val="24"/>
                <w:highlight w:val="none"/>
                <w:vertAlign w:val="superscript"/>
                <w:lang w:val="en-US" w:eastAsia="zh-CN"/>
              </w:rPr>
              <w:t>3</w:t>
            </w:r>
            <w:r>
              <w:rPr>
                <w:rFonts w:hint="eastAsia" w:ascii="Times New Roman" w:hAnsi="Times New Roman" w:eastAsia="宋体" w:cs="Times New Roman"/>
                <w:color w:val="auto"/>
                <w:kern w:val="0"/>
                <w:sz w:val="24"/>
                <w:szCs w:val="24"/>
                <w:highlight w:val="none"/>
                <w:lang w:val="en-US" w:eastAsia="zh-CN" w:bidi="ar-SA"/>
              </w:rPr>
              <w:t>；</w:t>
            </w:r>
          </w:p>
          <w:p w14:paraId="135CD0F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Q——核算时段内标态干烟气排放量，</w:t>
            </w:r>
            <w:r>
              <w:rPr>
                <w:rFonts w:hint="eastAsia" w:ascii="Times New Roman" w:hAnsi="Times New Roman" w:eastAsia="宋体" w:cs="Times New Roman"/>
                <w:color w:val="auto"/>
                <w:sz w:val="24"/>
                <w:szCs w:val="24"/>
                <w:highlight w:val="none"/>
                <w:lang w:val="en-US" w:eastAsia="zh-CN"/>
              </w:rPr>
              <w:t>1714486.5</w:t>
            </w:r>
            <w:r>
              <w:rPr>
                <w:rFonts w:hint="eastAsia" w:ascii="Times New Roman" w:hAnsi="Times New Roman" w:eastAsia="宋体" w:cs="Times New Roman"/>
                <w:color w:val="auto"/>
                <w:kern w:val="0"/>
                <w:sz w:val="24"/>
                <w:szCs w:val="24"/>
                <w:highlight w:val="none"/>
                <w:lang w:val="en-US" w:eastAsia="zh-CN" w:bidi="ar-SA"/>
              </w:rPr>
              <w:t>m</w:t>
            </w:r>
            <w:r>
              <w:rPr>
                <w:rFonts w:hint="eastAsia" w:ascii="Times New Roman" w:hAnsi="Times New Roman" w:eastAsia="宋体" w:cs="Times New Roman"/>
                <w:color w:val="auto"/>
                <w:kern w:val="0"/>
                <w:sz w:val="24"/>
                <w:szCs w:val="24"/>
                <w:highlight w:val="none"/>
                <w:vertAlign w:val="superscript"/>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w:t>
            </w:r>
          </w:p>
          <w:p w14:paraId="7D68109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η</w:t>
            </w:r>
            <w:r>
              <w:rPr>
                <w:rFonts w:hint="eastAsia" w:ascii="Times New Roman" w:hAnsi="Times New Roman" w:eastAsia="宋体" w:cs="Times New Roman"/>
                <w:color w:val="auto"/>
                <w:kern w:val="0"/>
                <w:sz w:val="24"/>
                <w:szCs w:val="24"/>
                <w:highlight w:val="none"/>
                <w:vertAlign w:val="subscript"/>
                <w:lang w:val="en-US" w:eastAsia="zh-CN" w:bidi="ar-SA"/>
              </w:rPr>
              <w:t>NOx</w:t>
            </w:r>
            <w:r>
              <w:rPr>
                <w:rFonts w:hint="eastAsia" w:ascii="Times New Roman" w:hAnsi="Times New Roman" w:eastAsia="宋体" w:cs="Times New Roman"/>
                <w:color w:val="auto"/>
                <w:kern w:val="0"/>
                <w:sz w:val="24"/>
                <w:szCs w:val="24"/>
                <w:highlight w:val="none"/>
                <w:lang w:val="en-US" w:eastAsia="zh-CN" w:bidi="ar-SA"/>
              </w:rPr>
              <w:t>——脱硝效率，0%。</w:t>
            </w:r>
          </w:p>
          <w:p w14:paraId="2A0B166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E</w:t>
            </w:r>
            <w:r>
              <w:rPr>
                <w:rFonts w:hint="eastAsia" w:ascii="Times New Roman" w:hAnsi="Times New Roman" w:eastAsia="宋体" w:cs="Times New Roman"/>
                <w:color w:val="auto"/>
                <w:kern w:val="0"/>
                <w:sz w:val="24"/>
                <w:szCs w:val="24"/>
                <w:highlight w:val="none"/>
                <w:vertAlign w:val="subscript"/>
                <w:lang w:val="en-US" w:eastAsia="zh-CN" w:bidi="ar-SA"/>
              </w:rPr>
              <w:t>NOx</w:t>
            </w:r>
            <w:r>
              <w:rPr>
                <w:rFonts w:hint="eastAsia" w:ascii="Times New Roman" w:hAnsi="Times New Roman" w:eastAsia="宋体" w:cs="Times New Roman"/>
                <w:color w:val="auto"/>
                <w:kern w:val="0"/>
                <w:sz w:val="24"/>
                <w:szCs w:val="24"/>
                <w:highlight w:val="none"/>
                <w:lang w:val="en-US" w:eastAsia="zh-CN" w:bidi="ar-SA"/>
              </w:rPr>
              <w:t>=</w:t>
            </w:r>
            <w:r>
              <w:rPr>
                <w:rFonts w:hint="eastAsia" w:cs="Times New Roman"/>
                <w:color w:val="auto"/>
                <w:kern w:val="0"/>
                <w:sz w:val="24"/>
                <w:szCs w:val="24"/>
                <w:highlight w:val="none"/>
                <w:lang w:val="en-US" w:eastAsia="zh-CN" w:bidi="ar-SA"/>
              </w:rPr>
              <w:t>101</w:t>
            </w:r>
            <w:r>
              <w:rPr>
                <w:rFonts w:hint="eastAsia"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sz w:val="24"/>
                <w:szCs w:val="24"/>
                <w:highlight w:val="none"/>
                <w:lang w:val="en-US" w:eastAsia="zh-CN"/>
              </w:rPr>
              <w:t>1714486.5</w:t>
            </w:r>
            <w:r>
              <w:rPr>
                <w:rFonts w:hint="eastAsia" w:ascii="Times New Roman" w:hAnsi="Times New Roman" w:eastAsia="宋体" w:cs="Times New Roman"/>
                <w:color w:val="auto"/>
                <w:kern w:val="0"/>
                <w:sz w:val="24"/>
                <w:szCs w:val="24"/>
                <w:highlight w:val="none"/>
                <w:lang w:val="en-US" w:eastAsia="zh-CN" w:bidi="ar-SA"/>
              </w:rPr>
              <w:t>×10</w:t>
            </w:r>
            <w:r>
              <w:rPr>
                <w:rFonts w:hint="eastAsia" w:ascii="Times New Roman" w:hAnsi="Times New Roman" w:eastAsia="宋体" w:cs="Times New Roman"/>
                <w:color w:val="auto"/>
                <w:kern w:val="0"/>
                <w:sz w:val="24"/>
                <w:szCs w:val="24"/>
                <w:highlight w:val="none"/>
                <w:vertAlign w:val="superscript"/>
                <w:lang w:val="en-US" w:eastAsia="zh-CN" w:bidi="ar-SA"/>
              </w:rPr>
              <w:t>-9</w:t>
            </w:r>
            <w:r>
              <w:rPr>
                <w:rFonts w:hint="eastAsia" w:ascii="Times New Roman" w:hAnsi="Times New Roman" w:eastAsia="宋体" w:cs="Times New Roman"/>
                <w:color w:val="auto"/>
                <w:kern w:val="0"/>
                <w:sz w:val="24"/>
                <w:szCs w:val="24"/>
                <w:highlight w:val="none"/>
                <w:lang w:val="en-US" w:eastAsia="zh-CN" w:bidi="ar-SA"/>
              </w:rPr>
              <w:t>=</w:t>
            </w:r>
            <w:r>
              <w:rPr>
                <w:rFonts w:hint="eastAsia" w:cs="Times New Roman"/>
                <w:color w:val="auto"/>
                <w:kern w:val="0"/>
                <w:sz w:val="24"/>
                <w:szCs w:val="24"/>
                <w:highlight w:val="none"/>
                <w:lang w:val="en-US" w:eastAsia="zh-CN" w:bidi="ar-SA"/>
              </w:rPr>
              <w:t>0.173</w:t>
            </w:r>
            <w:r>
              <w:rPr>
                <w:rFonts w:hint="eastAsia" w:ascii="Times New Roman" w:hAnsi="Times New Roman" w:eastAsia="宋体" w:cs="Times New Roman"/>
                <w:color w:val="auto"/>
                <w:kern w:val="0"/>
                <w:sz w:val="24"/>
                <w:szCs w:val="24"/>
                <w:highlight w:val="none"/>
                <w:lang w:val="en-US" w:eastAsia="zh-CN" w:bidi="ar-SA"/>
              </w:rPr>
              <w:t>t/a</w:t>
            </w:r>
          </w:p>
          <w:p w14:paraId="53A0E3B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d.汞及其化合物</w:t>
            </w:r>
          </w:p>
          <w:p w14:paraId="3696BAA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生物质分析报告中未体现汞含量，根据《直接法测定固体生物质燃料中汞的试验研究》（煤质技术，2020年）可知，生物质汞含量为15.47ng/g。由于生物质汞含量极低的特点，本项目暂不考虑汞的排放。</w:t>
            </w:r>
          </w:p>
          <w:p w14:paraId="61ADCFA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（2）蒸煮过程中产生的异味</w:t>
            </w:r>
          </w:p>
          <w:p w14:paraId="5E0CAC9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本项目蒸煮过程中产生异味，以臭气浓度计，糯玉米经过装袋和密封后进行蒸煮灭菌，因此，蒸煮过程产生的异味较小，本项目不进行量化分析。</w:t>
            </w:r>
          </w:p>
          <w:p w14:paraId="7C06E2B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color w:val="auto"/>
                <w:lang w:val="en-US" w:eastAsia="zh-CN"/>
              </w:rPr>
            </w:pPr>
            <w:r>
              <w:rPr>
                <w:rFonts w:hint="eastAsia" w:ascii="Times New Roman" w:hAnsi="Times New Roman" w:eastAsia="宋体" w:cs="Times New Roman"/>
                <w:color w:val="auto"/>
                <w:kern w:val="0"/>
                <w:sz w:val="24"/>
                <w:szCs w:val="24"/>
                <w:highlight w:val="none"/>
                <w:lang w:val="en-US" w:eastAsia="zh-CN" w:bidi="ar-SA"/>
              </w:rPr>
              <w:t>本项目废气污染源源强核算结果及相关参数见表4-</w:t>
            </w:r>
            <w:r>
              <w:rPr>
                <w:rFonts w:hint="eastAsia" w:cs="Times New Roman"/>
                <w:color w:val="auto"/>
                <w:kern w:val="0"/>
                <w:sz w:val="24"/>
                <w:szCs w:val="24"/>
                <w:highlight w:val="none"/>
                <w:lang w:val="en-US" w:eastAsia="zh-CN" w:bidi="ar-SA"/>
              </w:rPr>
              <w:t>1</w:t>
            </w:r>
            <w:r>
              <w:rPr>
                <w:rFonts w:hint="eastAsia" w:ascii="Times New Roman" w:hAnsi="Times New Roman" w:eastAsia="宋体" w:cs="Times New Roman"/>
                <w:color w:val="auto"/>
                <w:kern w:val="0"/>
                <w:sz w:val="24"/>
                <w:szCs w:val="24"/>
                <w:highlight w:val="none"/>
                <w:lang w:val="en-US" w:eastAsia="zh-CN" w:bidi="ar-SA"/>
              </w:rPr>
              <w:t>，污染物排放量核算表见表4-</w:t>
            </w:r>
            <w:r>
              <w:rPr>
                <w:rFonts w:hint="eastAsia" w:cs="Times New Roman"/>
                <w:color w:val="auto"/>
                <w:kern w:val="0"/>
                <w:sz w:val="24"/>
                <w:szCs w:val="24"/>
                <w:highlight w:val="none"/>
                <w:lang w:val="en-US" w:eastAsia="zh-CN" w:bidi="ar-SA"/>
              </w:rPr>
              <w:t>2</w:t>
            </w:r>
            <w:r>
              <w:rPr>
                <w:rFonts w:hint="eastAsia" w:ascii="Times New Roman" w:hAnsi="Times New Roman" w:eastAsia="宋体" w:cs="Times New Roman"/>
                <w:color w:val="auto"/>
                <w:kern w:val="0"/>
                <w:sz w:val="24"/>
                <w:szCs w:val="24"/>
                <w:highlight w:val="none"/>
                <w:lang w:val="en-US" w:eastAsia="zh-CN" w:bidi="ar-SA"/>
              </w:rPr>
              <w:t>、4-</w:t>
            </w:r>
            <w:r>
              <w:rPr>
                <w:rFonts w:hint="eastAsia" w:cs="Times New Roman"/>
                <w:color w:val="auto"/>
                <w:kern w:val="0"/>
                <w:sz w:val="24"/>
                <w:szCs w:val="24"/>
                <w:highlight w:val="none"/>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w:t>
            </w:r>
          </w:p>
          <w:p w14:paraId="318BF4D5">
            <w:pPr>
              <w:pStyle w:val="2"/>
              <w:keepNext w:val="0"/>
              <w:keepLines w:val="0"/>
              <w:pageBreakBefore w:val="0"/>
              <w:suppressLineNumbers w:val="0"/>
              <w:wordWrap/>
              <w:bidi w:val="0"/>
              <w:spacing w:before="0" w:beforeAutospacing="0" w:after="0" w:afterAutospacing="0" w:line="240" w:lineRule="auto"/>
              <w:ind w:left="0" w:leftChars="0" w:right="0"/>
              <w:jc w:val="center"/>
              <w:rPr>
                <w:rFonts w:hint="eastAsia" w:ascii="Times New Roman" w:hAnsi="Times New Roman" w:cs="Times New Roman" w:eastAsiaTheme="minorEastAsia"/>
                <w:b/>
                <w:bCs/>
                <w:color w:val="auto"/>
                <w:kern w:val="2"/>
                <w:sz w:val="21"/>
                <w:szCs w:val="24"/>
                <w:highlight w:val="none"/>
                <w:lang w:val="en-US" w:eastAsia="zh-CN" w:bidi="ar-SA"/>
              </w:rPr>
            </w:pPr>
          </w:p>
          <w:p w14:paraId="02AB2CC4">
            <w:pPr>
              <w:pStyle w:val="2"/>
              <w:keepNext w:val="0"/>
              <w:keepLines w:val="0"/>
              <w:pageBreakBefore w:val="0"/>
              <w:suppressLineNumbers w:val="0"/>
              <w:wordWrap/>
              <w:bidi w:val="0"/>
              <w:spacing w:before="0" w:beforeAutospacing="0" w:after="0" w:afterAutospacing="0" w:line="240" w:lineRule="auto"/>
              <w:ind w:left="0" w:leftChars="0" w:right="0"/>
              <w:jc w:val="center"/>
              <w:rPr>
                <w:rFonts w:hint="default" w:ascii="Times New Roman" w:hAnsi="Times New Roman" w:cs="Times New Roman" w:eastAsiaTheme="minorEastAsia"/>
                <w:b/>
                <w:bCs/>
                <w:color w:val="auto"/>
                <w:kern w:val="2"/>
                <w:sz w:val="21"/>
                <w:szCs w:val="24"/>
                <w:highlight w:val="none"/>
                <w:lang w:val="en-US" w:eastAsia="zh-CN" w:bidi="ar-SA"/>
              </w:rPr>
            </w:pPr>
            <w:r>
              <w:rPr>
                <w:rFonts w:hint="eastAsia" w:ascii="Times New Roman" w:hAnsi="Times New Roman" w:cs="Times New Roman" w:eastAsiaTheme="minorEastAsia"/>
                <w:b/>
                <w:bCs/>
                <w:color w:val="auto"/>
                <w:kern w:val="2"/>
                <w:sz w:val="21"/>
                <w:szCs w:val="24"/>
                <w:highlight w:val="none"/>
                <w:lang w:val="en-US" w:eastAsia="zh-CN" w:bidi="ar-SA"/>
              </w:rPr>
              <w:t>表4-</w:t>
            </w:r>
            <w:r>
              <w:rPr>
                <w:rFonts w:hint="eastAsia" w:cs="Times New Roman" w:eastAsiaTheme="minorEastAsia"/>
                <w:b/>
                <w:bCs/>
                <w:color w:val="auto"/>
                <w:kern w:val="2"/>
                <w:sz w:val="21"/>
                <w:szCs w:val="24"/>
                <w:highlight w:val="none"/>
                <w:lang w:val="en-US" w:eastAsia="zh-CN" w:bidi="ar-SA"/>
              </w:rPr>
              <w:t xml:space="preserve">1  </w:t>
            </w:r>
            <w:r>
              <w:rPr>
                <w:rFonts w:hint="eastAsia" w:ascii="Times New Roman" w:hAnsi="Times New Roman" w:cs="Times New Roman" w:eastAsiaTheme="minorEastAsia"/>
                <w:b/>
                <w:bCs/>
                <w:color w:val="auto"/>
                <w:kern w:val="2"/>
                <w:sz w:val="21"/>
                <w:szCs w:val="24"/>
                <w:highlight w:val="none"/>
                <w:lang w:val="en-US" w:eastAsia="zh-CN" w:bidi="ar-SA"/>
              </w:rPr>
              <w:t>废气污染源源强核算结果及相关参数一览表</w:t>
            </w:r>
          </w:p>
          <w:tbl>
            <w:tblPr>
              <w:tblStyle w:val="3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3"/>
              <w:gridCol w:w="378"/>
              <w:gridCol w:w="712"/>
              <w:gridCol w:w="590"/>
              <w:gridCol w:w="419"/>
              <w:gridCol w:w="628"/>
              <w:gridCol w:w="668"/>
              <w:gridCol w:w="692"/>
              <w:gridCol w:w="579"/>
              <w:gridCol w:w="646"/>
              <w:gridCol w:w="582"/>
              <w:gridCol w:w="658"/>
              <w:gridCol w:w="697"/>
              <w:gridCol w:w="546"/>
            </w:tblGrid>
            <w:tr w14:paraId="5ECAC2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9" w:type="pct"/>
                  <w:vMerge w:val="restart"/>
                  <w:noWrap w:val="0"/>
                  <w:vAlign w:val="center"/>
                </w:tcPr>
                <w:p w14:paraId="506C4CF8">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工序</w:t>
                  </w:r>
                </w:p>
              </w:tc>
              <w:tc>
                <w:tcPr>
                  <w:tcW w:w="232" w:type="pct"/>
                  <w:vMerge w:val="restart"/>
                  <w:noWrap w:val="0"/>
                  <w:vAlign w:val="center"/>
                </w:tcPr>
                <w:p w14:paraId="105E1B79">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sz w:val="18"/>
                      <w:szCs w:val="18"/>
                      <w:highlight w:val="none"/>
                    </w:rPr>
                    <w:t>装置</w:t>
                  </w:r>
                </w:p>
              </w:tc>
              <w:tc>
                <w:tcPr>
                  <w:tcW w:w="435" w:type="pct"/>
                  <w:vMerge w:val="restart"/>
                  <w:noWrap w:val="0"/>
                  <w:vAlign w:val="center"/>
                </w:tcPr>
                <w:p w14:paraId="2E583010">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sz w:val="18"/>
                      <w:szCs w:val="18"/>
                      <w:highlight w:val="none"/>
                    </w:rPr>
                    <w:t>污染源</w:t>
                  </w:r>
                </w:p>
              </w:tc>
              <w:tc>
                <w:tcPr>
                  <w:tcW w:w="361" w:type="pct"/>
                  <w:vMerge w:val="restart"/>
                  <w:noWrap w:val="0"/>
                  <w:vAlign w:val="center"/>
                </w:tcPr>
                <w:p w14:paraId="5165DFD5">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污染物</w:t>
                  </w:r>
                </w:p>
              </w:tc>
              <w:tc>
                <w:tcPr>
                  <w:tcW w:w="1471" w:type="pct"/>
                  <w:gridSpan w:val="4"/>
                  <w:noWrap w:val="0"/>
                  <w:vAlign w:val="center"/>
                </w:tcPr>
                <w:p w14:paraId="65C548B6">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污染物产生</w:t>
                  </w:r>
                </w:p>
              </w:tc>
              <w:tc>
                <w:tcPr>
                  <w:tcW w:w="749" w:type="pct"/>
                  <w:gridSpan w:val="2"/>
                  <w:noWrap w:val="0"/>
                  <w:vAlign w:val="center"/>
                </w:tcPr>
                <w:p w14:paraId="676E50F0">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治理措施</w:t>
                  </w:r>
                </w:p>
              </w:tc>
              <w:tc>
                <w:tcPr>
                  <w:tcW w:w="1184" w:type="pct"/>
                  <w:gridSpan w:val="3"/>
                  <w:noWrap w:val="0"/>
                  <w:vAlign w:val="center"/>
                </w:tcPr>
                <w:p w14:paraId="4924CAAD">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污染物排放</w:t>
                  </w:r>
                </w:p>
              </w:tc>
              <w:tc>
                <w:tcPr>
                  <w:tcW w:w="334" w:type="pct"/>
                  <w:vMerge w:val="restart"/>
                  <w:noWrap w:val="0"/>
                  <w:vAlign w:val="center"/>
                </w:tcPr>
                <w:p w14:paraId="4A48925F">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kern w:val="0"/>
                      <w:sz w:val="18"/>
                      <w:szCs w:val="18"/>
                      <w:highlight w:val="none"/>
                    </w:rPr>
                  </w:pPr>
                  <w:r>
                    <w:rPr>
                      <w:rFonts w:hint="default"/>
                      <w:color w:val="auto"/>
                      <w:spacing w:val="-10"/>
                      <w:kern w:val="0"/>
                      <w:sz w:val="18"/>
                      <w:szCs w:val="18"/>
                      <w:highlight w:val="none"/>
                    </w:rPr>
                    <w:t>排放时间/h</w:t>
                  </w:r>
                </w:p>
              </w:tc>
            </w:tr>
            <w:tr w14:paraId="2C4D29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9" w:type="pct"/>
                  <w:vMerge w:val="continue"/>
                  <w:noWrap w:val="0"/>
                  <w:vAlign w:val="center"/>
                </w:tcPr>
                <w:p w14:paraId="0ACDC39C">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p>
              </w:tc>
              <w:tc>
                <w:tcPr>
                  <w:tcW w:w="232" w:type="pct"/>
                  <w:vMerge w:val="continue"/>
                  <w:noWrap w:val="0"/>
                  <w:vAlign w:val="center"/>
                </w:tcPr>
                <w:p w14:paraId="5777CF44">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p>
              </w:tc>
              <w:tc>
                <w:tcPr>
                  <w:tcW w:w="435" w:type="pct"/>
                  <w:vMerge w:val="continue"/>
                  <w:noWrap w:val="0"/>
                  <w:vAlign w:val="center"/>
                </w:tcPr>
                <w:p w14:paraId="386006E7">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p>
              </w:tc>
              <w:tc>
                <w:tcPr>
                  <w:tcW w:w="361" w:type="pct"/>
                  <w:vMerge w:val="continue"/>
                  <w:noWrap w:val="0"/>
                  <w:vAlign w:val="center"/>
                </w:tcPr>
                <w:p w14:paraId="20D01750">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p>
              </w:tc>
              <w:tc>
                <w:tcPr>
                  <w:tcW w:w="256" w:type="pct"/>
                  <w:noWrap w:val="0"/>
                  <w:vAlign w:val="center"/>
                </w:tcPr>
                <w:p w14:paraId="1D926954">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kern w:val="0"/>
                      <w:sz w:val="18"/>
                      <w:szCs w:val="18"/>
                      <w:highlight w:val="none"/>
                    </w:rPr>
                  </w:pPr>
                  <w:r>
                    <w:rPr>
                      <w:rFonts w:hint="default"/>
                      <w:color w:val="auto"/>
                      <w:spacing w:val="-10"/>
                      <w:kern w:val="0"/>
                      <w:sz w:val="18"/>
                      <w:szCs w:val="18"/>
                      <w:highlight w:val="none"/>
                    </w:rPr>
                    <w:t>核算</w:t>
                  </w:r>
                </w:p>
                <w:p w14:paraId="267E748A">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方法</w:t>
                  </w:r>
                </w:p>
              </w:tc>
              <w:tc>
                <w:tcPr>
                  <w:tcW w:w="384" w:type="pct"/>
                  <w:noWrap w:val="0"/>
                  <w:vAlign w:val="center"/>
                </w:tcPr>
                <w:p w14:paraId="3F562E20">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产生废气量m</w:t>
                  </w:r>
                  <w:r>
                    <w:rPr>
                      <w:rFonts w:hint="default"/>
                      <w:color w:val="auto"/>
                      <w:spacing w:val="-10"/>
                      <w:kern w:val="0"/>
                      <w:sz w:val="18"/>
                      <w:szCs w:val="18"/>
                      <w:highlight w:val="none"/>
                      <w:vertAlign w:val="superscript"/>
                    </w:rPr>
                    <w:t>3</w:t>
                  </w:r>
                  <w:r>
                    <w:rPr>
                      <w:rFonts w:hint="default"/>
                      <w:color w:val="auto"/>
                      <w:spacing w:val="-10"/>
                      <w:kern w:val="0"/>
                      <w:sz w:val="18"/>
                      <w:szCs w:val="18"/>
                      <w:highlight w:val="none"/>
                    </w:rPr>
                    <w:t>/h</w:t>
                  </w:r>
                </w:p>
              </w:tc>
              <w:tc>
                <w:tcPr>
                  <w:tcW w:w="408" w:type="pct"/>
                  <w:noWrap w:val="0"/>
                  <w:vAlign w:val="center"/>
                </w:tcPr>
                <w:p w14:paraId="4A262942">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产生浓度mg/m</w:t>
                  </w:r>
                  <w:r>
                    <w:rPr>
                      <w:rFonts w:hint="default"/>
                      <w:color w:val="auto"/>
                      <w:spacing w:val="-10"/>
                      <w:kern w:val="0"/>
                      <w:sz w:val="18"/>
                      <w:szCs w:val="18"/>
                      <w:highlight w:val="none"/>
                      <w:vertAlign w:val="superscript"/>
                    </w:rPr>
                    <w:t>3</w:t>
                  </w:r>
                </w:p>
              </w:tc>
              <w:tc>
                <w:tcPr>
                  <w:tcW w:w="421" w:type="pct"/>
                  <w:noWrap w:val="0"/>
                  <w:vAlign w:val="center"/>
                </w:tcPr>
                <w:p w14:paraId="2DC1AECA">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产生量kg/h</w:t>
                  </w:r>
                </w:p>
              </w:tc>
              <w:tc>
                <w:tcPr>
                  <w:tcW w:w="354" w:type="pct"/>
                  <w:noWrap w:val="0"/>
                  <w:vAlign w:val="center"/>
                </w:tcPr>
                <w:p w14:paraId="0E934917">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工艺</w:t>
                  </w:r>
                </w:p>
              </w:tc>
              <w:tc>
                <w:tcPr>
                  <w:tcW w:w="395" w:type="pct"/>
                  <w:noWrap w:val="0"/>
                  <w:vAlign w:val="center"/>
                </w:tcPr>
                <w:p w14:paraId="73E5B064">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效率（%）</w:t>
                  </w:r>
                </w:p>
              </w:tc>
              <w:tc>
                <w:tcPr>
                  <w:tcW w:w="356" w:type="pct"/>
                  <w:noWrap w:val="0"/>
                  <w:vAlign w:val="center"/>
                </w:tcPr>
                <w:p w14:paraId="52A7A4BB">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排放废气量m</w:t>
                  </w:r>
                  <w:r>
                    <w:rPr>
                      <w:rFonts w:hint="default"/>
                      <w:color w:val="auto"/>
                      <w:spacing w:val="-10"/>
                      <w:kern w:val="0"/>
                      <w:sz w:val="18"/>
                      <w:szCs w:val="18"/>
                      <w:highlight w:val="none"/>
                      <w:vertAlign w:val="superscript"/>
                    </w:rPr>
                    <w:t>3</w:t>
                  </w:r>
                  <w:r>
                    <w:rPr>
                      <w:rFonts w:hint="default"/>
                      <w:color w:val="auto"/>
                      <w:spacing w:val="-10"/>
                      <w:kern w:val="0"/>
                      <w:sz w:val="18"/>
                      <w:szCs w:val="18"/>
                      <w:highlight w:val="none"/>
                    </w:rPr>
                    <w:t>/h</w:t>
                  </w:r>
                </w:p>
              </w:tc>
              <w:tc>
                <w:tcPr>
                  <w:tcW w:w="402" w:type="pct"/>
                  <w:noWrap w:val="0"/>
                  <w:vAlign w:val="center"/>
                </w:tcPr>
                <w:p w14:paraId="133BA374">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排放浓度mg/m</w:t>
                  </w:r>
                  <w:r>
                    <w:rPr>
                      <w:rFonts w:hint="default"/>
                      <w:color w:val="auto"/>
                      <w:spacing w:val="-10"/>
                      <w:kern w:val="0"/>
                      <w:sz w:val="18"/>
                      <w:szCs w:val="18"/>
                      <w:highlight w:val="none"/>
                      <w:vertAlign w:val="superscript"/>
                    </w:rPr>
                    <w:t>3</w:t>
                  </w:r>
                </w:p>
              </w:tc>
              <w:tc>
                <w:tcPr>
                  <w:tcW w:w="426" w:type="pct"/>
                  <w:noWrap w:val="0"/>
                  <w:vAlign w:val="center"/>
                </w:tcPr>
                <w:p w14:paraId="68D515D2">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排放量kg/h</w:t>
                  </w:r>
                </w:p>
              </w:tc>
              <w:tc>
                <w:tcPr>
                  <w:tcW w:w="334" w:type="pct"/>
                  <w:vMerge w:val="continue"/>
                  <w:noWrap w:val="0"/>
                  <w:vAlign w:val="center"/>
                </w:tcPr>
                <w:p w14:paraId="0251B4DF">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kern w:val="0"/>
                      <w:sz w:val="18"/>
                      <w:szCs w:val="18"/>
                      <w:highlight w:val="none"/>
                    </w:rPr>
                  </w:pPr>
                </w:p>
              </w:tc>
            </w:tr>
            <w:tr w14:paraId="79772C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9" w:type="pct"/>
                  <w:vMerge w:val="restart"/>
                  <w:noWrap w:val="0"/>
                  <w:vAlign w:val="center"/>
                </w:tcPr>
                <w:p w14:paraId="1BA024D5">
                  <w:pPr>
                    <w:pStyle w:val="109"/>
                    <w:keepNext w:val="0"/>
                    <w:keepLines w:val="0"/>
                    <w:pageBreakBefore w:val="0"/>
                    <w:suppressLineNumbers w:val="0"/>
                    <w:wordWrap/>
                    <w:bidi w:val="0"/>
                    <w:spacing w:before="0" w:beforeAutospacing="0" w:after="0" w:afterAutospacing="0" w:line="360" w:lineRule="auto"/>
                    <w:ind w:left="0" w:leftChars="0" w:right="0"/>
                    <w:rPr>
                      <w:rFonts w:hint="eastAsia" w:eastAsia="宋体"/>
                      <w:color w:val="auto"/>
                      <w:sz w:val="18"/>
                      <w:szCs w:val="18"/>
                      <w:highlight w:val="none"/>
                      <w:lang w:eastAsia="zh-CN"/>
                    </w:rPr>
                  </w:pPr>
                  <w:r>
                    <w:rPr>
                      <w:rFonts w:hint="eastAsia"/>
                      <w:color w:val="auto"/>
                      <w:sz w:val="18"/>
                      <w:szCs w:val="18"/>
                      <w:highlight w:val="none"/>
                      <w:lang w:eastAsia="zh-CN"/>
                    </w:rPr>
                    <w:t>生产区</w:t>
                  </w:r>
                </w:p>
              </w:tc>
              <w:tc>
                <w:tcPr>
                  <w:tcW w:w="232" w:type="pct"/>
                  <w:vMerge w:val="restart"/>
                  <w:noWrap w:val="0"/>
                  <w:vAlign w:val="center"/>
                </w:tcPr>
                <w:p w14:paraId="5EB26068">
                  <w:pPr>
                    <w:pStyle w:val="109"/>
                    <w:keepNext w:val="0"/>
                    <w:keepLines w:val="0"/>
                    <w:pageBreakBefore w:val="0"/>
                    <w:suppressLineNumbers w:val="0"/>
                    <w:wordWrap/>
                    <w:bidi w:val="0"/>
                    <w:spacing w:before="0" w:beforeAutospacing="0" w:after="0" w:afterAutospacing="0" w:line="360" w:lineRule="auto"/>
                    <w:ind w:left="0" w:leftChars="0" w:right="0"/>
                    <w:rPr>
                      <w:rFonts w:hint="eastAsia" w:eastAsia="宋体"/>
                      <w:color w:val="auto"/>
                      <w:sz w:val="18"/>
                      <w:szCs w:val="18"/>
                      <w:highlight w:val="none"/>
                      <w:lang w:eastAsia="zh-CN"/>
                    </w:rPr>
                  </w:pPr>
                  <w:r>
                    <w:rPr>
                      <w:rFonts w:hint="eastAsia"/>
                      <w:color w:val="auto"/>
                      <w:sz w:val="18"/>
                      <w:szCs w:val="18"/>
                      <w:highlight w:val="none"/>
                      <w:lang w:eastAsia="zh-CN"/>
                    </w:rPr>
                    <w:t>蒸汽锅炉</w:t>
                  </w:r>
                </w:p>
              </w:tc>
              <w:tc>
                <w:tcPr>
                  <w:tcW w:w="435" w:type="pct"/>
                  <w:vMerge w:val="restart"/>
                  <w:noWrap w:val="0"/>
                  <w:vAlign w:val="center"/>
                </w:tcPr>
                <w:p w14:paraId="25703653">
                  <w:pPr>
                    <w:pStyle w:val="109"/>
                    <w:keepNext w:val="0"/>
                    <w:keepLines w:val="0"/>
                    <w:pageBreakBefore w:val="0"/>
                    <w:suppressLineNumbers w:val="0"/>
                    <w:wordWrap/>
                    <w:bidi w:val="0"/>
                    <w:spacing w:before="0" w:beforeAutospacing="0" w:after="0" w:afterAutospacing="0" w:line="360" w:lineRule="auto"/>
                    <w:ind w:left="0" w:leftChars="0" w:right="0"/>
                    <w:rPr>
                      <w:rFonts w:hint="eastAsia" w:eastAsia="宋体"/>
                      <w:color w:val="auto"/>
                      <w:sz w:val="18"/>
                      <w:szCs w:val="18"/>
                      <w:highlight w:val="none"/>
                      <w:lang w:val="en-US" w:eastAsia="zh-CN"/>
                    </w:rPr>
                  </w:pPr>
                  <w:r>
                    <w:rPr>
                      <w:rFonts w:hint="eastAsia"/>
                      <w:color w:val="auto"/>
                      <w:sz w:val="18"/>
                      <w:szCs w:val="18"/>
                      <w:highlight w:val="none"/>
                      <w:lang w:val="en-US" w:eastAsia="zh-CN"/>
                    </w:rPr>
                    <w:t>35m</w:t>
                  </w:r>
                  <w:r>
                    <w:rPr>
                      <w:rFonts w:hint="default"/>
                      <w:color w:val="auto"/>
                      <w:sz w:val="18"/>
                      <w:szCs w:val="18"/>
                      <w:highlight w:val="none"/>
                    </w:rPr>
                    <w:t>高</w:t>
                  </w:r>
                  <w:r>
                    <w:rPr>
                      <w:rFonts w:hint="eastAsia"/>
                      <w:color w:val="auto"/>
                      <w:sz w:val="18"/>
                      <w:szCs w:val="18"/>
                      <w:highlight w:val="none"/>
                      <w:lang w:val="en-US" w:eastAsia="zh-CN"/>
                    </w:rPr>
                    <w:t>烟囱</w:t>
                  </w:r>
                  <w:r>
                    <w:rPr>
                      <w:rFonts w:hint="default"/>
                      <w:color w:val="auto"/>
                      <w:sz w:val="18"/>
                      <w:szCs w:val="18"/>
                      <w:highlight w:val="none"/>
                    </w:rPr>
                    <w:t>DA00</w:t>
                  </w:r>
                  <w:r>
                    <w:rPr>
                      <w:rFonts w:hint="eastAsia"/>
                      <w:color w:val="auto"/>
                      <w:sz w:val="18"/>
                      <w:szCs w:val="18"/>
                      <w:highlight w:val="none"/>
                      <w:lang w:val="en-US" w:eastAsia="zh-CN"/>
                    </w:rPr>
                    <w:t>1</w:t>
                  </w:r>
                </w:p>
              </w:tc>
              <w:tc>
                <w:tcPr>
                  <w:tcW w:w="361" w:type="pct"/>
                  <w:noWrap w:val="0"/>
                  <w:vAlign w:val="center"/>
                </w:tcPr>
                <w:p w14:paraId="4AB77012">
                  <w:pPr>
                    <w:keepNext w:val="0"/>
                    <w:keepLines w:val="0"/>
                    <w:pageBreakBefore w:val="0"/>
                    <w:widowControl/>
                    <w:suppressLineNumbers w:val="0"/>
                    <w:wordWrap/>
                    <w:bidi w:val="0"/>
                    <w:spacing w:before="0" w:beforeAutospacing="0" w:after="0" w:afterAutospacing="0" w:line="360" w:lineRule="auto"/>
                    <w:ind w:left="0" w:leftChars="0" w:right="0"/>
                    <w:jc w:val="center"/>
                    <w:textAlignment w:val="center"/>
                    <w:rPr>
                      <w:rFonts w:hint="eastAsia" w:eastAsia="宋体"/>
                      <w:color w:val="auto"/>
                      <w:kern w:val="0"/>
                      <w:sz w:val="18"/>
                      <w:szCs w:val="18"/>
                      <w:highlight w:val="none"/>
                      <w:lang w:val="en-US" w:eastAsia="zh-CN"/>
                    </w:rPr>
                  </w:pPr>
                  <w:r>
                    <w:rPr>
                      <w:rFonts w:hint="eastAsia"/>
                      <w:color w:val="auto"/>
                      <w:kern w:val="0"/>
                      <w:sz w:val="18"/>
                      <w:szCs w:val="18"/>
                      <w:highlight w:val="none"/>
                      <w:lang w:val="en-US" w:eastAsia="zh-CN"/>
                    </w:rPr>
                    <w:t>烟尘</w:t>
                  </w:r>
                </w:p>
              </w:tc>
              <w:tc>
                <w:tcPr>
                  <w:tcW w:w="256" w:type="pct"/>
                  <w:vMerge w:val="restart"/>
                  <w:noWrap w:val="0"/>
                  <w:vAlign w:val="center"/>
                </w:tcPr>
                <w:p w14:paraId="09984B65">
                  <w:pPr>
                    <w:pStyle w:val="109"/>
                    <w:keepNext w:val="0"/>
                    <w:keepLines w:val="0"/>
                    <w:pageBreakBefore w:val="0"/>
                    <w:suppressLineNumbers w:val="0"/>
                    <w:wordWrap/>
                    <w:bidi w:val="0"/>
                    <w:spacing w:before="0" w:beforeAutospacing="0" w:after="0" w:afterAutospacing="0" w:line="360" w:lineRule="auto"/>
                    <w:ind w:left="0" w:leftChars="0" w:right="0"/>
                    <w:rPr>
                      <w:rFonts w:hint="eastAsia" w:eastAsia="宋体"/>
                      <w:color w:val="auto"/>
                      <w:sz w:val="18"/>
                      <w:szCs w:val="18"/>
                      <w:highlight w:val="none"/>
                      <w:lang w:eastAsia="zh-CN"/>
                    </w:rPr>
                  </w:pPr>
                  <w:r>
                    <w:rPr>
                      <w:rFonts w:hint="eastAsia"/>
                      <w:color w:val="auto"/>
                      <w:sz w:val="18"/>
                      <w:szCs w:val="18"/>
                      <w:highlight w:val="none"/>
                      <w:lang w:eastAsia="zh-CN"/>
                    </w:rPr>
                    <w:t>物料衡算法</w:t>
                  </w:r>
                </w:p>
              </w:tc>
              <w:tc>
                <w:tcPr>
                  <w:tcW w:w="384" w:type="pct"/>
                  <w:vMerge w:val="restart"/>
                  <w:noWrap w:val="0"/>
                  <w:vAlign w:val="center"/>
                </w:tcPr>
                <w:p w14:paraId="437E62E7">
                  <w:pPr>
                    <w:pStyle w:val="109"/>
                    <w:keepNext w:val="0"/>
                    <w:keepLines w:val="0"/>
                    <w:pageBreakBefore w:val="0"/>
                    <w:suppressLineNumbers w:val="0"/>
                    <w:wordWrap/>
                    <w:bidi w:val="0"/>
                    <w:spacing w:before="0" w:beforeAutospacing="0" w:after="0" w:afterAutospacing="0" w:line="360" w:lineRule="auto"/>
                    <w:ind w:left="0" w:leftChars="0" w:right="0"/>
                    <w:rPr>
                      <w:rFonts w:hint="default" w:eastAsia="宋体"/>
                      <w:color w:val="auto"/>
                      <w:sz w:val="18"/>
                      <w:szCs w:val="18"/>
                      <w:highlight w:val="none"/>
                      <w:lang w:val="en-US" w:eastAsia="zh-CN"/>
                    </w:rPr>
                  </w:pPr>
                  <w:r>
                    <w:rPr>
                      <w:rFonts w:hint="eastAsia" w:ascii="Times New Roman" w:hAnsi="Times New Roman" w:eastAsia="宋体" w:cs="Times New Roman"/>
                      <w:color w:val="auto"/>
                      <w:kern w:val="0"/>
                      <w:sz w:val="18"/>
                      <w:szCs w:val="18"/>
                      <w:highlight w:val="none"/>
                      <w:lang w:val="en-US" w:eastAsia="zh-CN" w:bidi="ar-SA"/>
                    </w:rPr>
                    <w:t>8320.284</w:t>
                  </w:r>
                </w:p>
              </w:tc>
              <w:tc>
                <w:tcPr>
                  <w:tcW w:w="408" w:type="pct"/>
                  <w:noWrap w:val="0"/>
                  <w:vAlign w:val="center"/>
                </w:tcPr>
                <w:p w14:paraId="3B91FB1D">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3883</w:t>
                  </w:r>
                </w:p>
              </w:tc>
              <w:tc>
                <w:tcPr>
                  <w:tcW w:w="421" w:type="pct"/>
                  <w:noWrap w:val="0"/>
                  <w:vAlign w:val="center"/>
                </w:tcPr>
                <w:p w14:paraId="5C8F225D">
                  <w:pPr>
                    <w:pStyle w:val="109"/>
                    <w:keepNext w:val="0"/>
                    <w:keepLines w:val="0"/>
                    <w:pageBreakBefore w:val="0"/>
                    <w:suppressLineNumbers w:val="0"/>
                    <w:wordWrap/>
                    <w:bidi w:val="0"/>
                    <w:spacing w:before="0" w:beforeAutospacing="0" w:after="0" w:afterAutospacing="0" w:line="360" w:lineRule="auto"/>
                    <w:ind w:left="0" w:leftChars="0" w:right="0" w:right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22.194</w:t>
                  </w:r>
                </w:p>
              </w:tc>
              <w:tc>
                <w:tcPr>
                  <w:tcW w:w="354" w:type="pct"/>
                  <w:noWrap w:val="0"/>
                  <w:vAlign w:val="center"/>
                </w:tcPr>
                <w:p w14:paraId="13DF4C32">
                  <w:pPr>
                    <w:pStyle w:val="109"/>
                    <w:keepNext w:val="0"/>
                    <w:keepLines w:val="0"/>
                    <w:pageBreakBefore w:val="0"/>
                    <w:suppressLineNumbers w:val="0"/>
                    <w:wordWrap/>
                    <w:bidi w:val="0"/>
                    <w:spacing w:before="0" w:beforeAutospacing="0" w:after="0" w:afterAutospacing="0" w:line="360" w:lineRule="auto"/>
                    <w:ind w:left="0" w:leftChars="0" w:right="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旋风除尘+布袋除尘器</w:t>
                  </w:r>
                </w:p>
              </w:tc>
              <w:tc>
                <w:tcPr>
                  <w:tcW w:w="395" w:type="pct"/>
                  <w:noWrap w:val="0"/>
                  <w:vAlign w:val="center"/>
                </w:tcPr>
                <w:p w14:paraId="67088B57">
                  <w:pPr>
                    <w:pStyle w:val="109"/>
                    <w:keepNext w:val="0"/>
                    <w:keepLines w:val="0"/>
                    <w:pageBreakBefore w:val="0"/>
                    <w:suppressLineNumbers w:val="0"/>
                    <w:wordWrap/>
                    <w:bidi w:val="0"/>
                    <w:spacing w:before="0" w:beforeAutospacing="0" w:after="0" w:afterAutospacing="0" w:line="360" w:lineRule="auto"/>
                    <w:ind w:left="0" w:leftChars="0" w:right="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99</w:t>
                  </w:r>
                </w:p>
              </w:tc>
              <w:tc>
                <w:tcPr>
                  <w:tcW w:w="356" w:type="pct"/>
                  <w:vMerge w:val="restart"/>
                  <w:noWrap w:val="0"/>
                  <w:vAlign w:val="center"/>
                </w:tcPr>
                <w:p w14:paraId="21BCD30F">
                  <w:pPr>
                    <w:pStyle w:val="109"/>
                    <w:keepNext w:val="0"/>
                    <w:keepLines w:val="0"/>
                    <w:pageBreakBefore w:val="0"/>
                    <w:suppressLineNumbers w:val="0"/>
                    <w:wordWrap/>
                    <w:bidi w:val="0"/>
                    <w:spacing w:before="0" w:beforeAutospacing="0" w:after="0" w:afterAutospacing="0" w:line="360" w:lineRule="auto"/>
                    <w:ind w:left="0" w:leftChars="0" w:right="0"/>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8320.284</w:t>
                  </w:r>
                </w:p>
              </w:tc>
              <w:tc>
                <w:tcPr>
                  <w:tcW w:w="402" w:type="pct"/>
                  <w:noWrap w:val="0"/>
                  <w:vAlign w:val="center"/>
                </w:tcPr>
                <w:p w14:paraId="440C204F">
                  <w:pPr>
                    <w:keepNext w:val="0"/>
                    <w:keepLines w:val="0"/>
                    <w:pageBreakBefore w:val="0"/>
                    <w:widowControl/>
                    <w:suppressLineNumbers w:val="0"/>
                    <w:wordWrap/>
                    <w:bidi w:val="0"/>
                    <w:spacing w:before="0" w:beforeAutospacing="0" w:after="0" w:afterAutospacing="0" w:line="360" w:lineRule="auto"/>
                    <w:ind w:left="0" w:leftChars="0" w:right="0"/>
                    <w:jc w:val="center"/>
                    <w:textAlignment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38</w:t>
                  </w:r>
                </w:p>
              </w:tc>
              <w:tc>
                <w:tcPr>
                  <w:tcW w:w="426" w:type="pct"/>
                  <w:noWrap w:val="0"/>
                  <w:vAlign w:val="center"/>
                </w:tcPr>
                <w:p w14:paraId="309B3376">
                  <w:pPr>
                    <w:pStyle w:val="109"/>
                    <w:keepNext w:val="0"/>
                    <w:keepLines w:val="0"/>
                    <w:pageBreakBefore w:val="0"/>
                    <w:suppressLineNumbers w:val="0"/>
                    <w:wordWrap/>
                    <w:bidi w:val="0"/>
                    <w:spacing w:before="0" w:beforeAutospacing="0" w:after="0" w:afterAutospacing="0" w:line="360" w:lineRule="auto"/>
                    <w:ind w:left="0" w:leftChars="0" w:right="0"/>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0.22</w:t>
                  </w:r>
                </w:p>
              </w:tc>
              <w:tc>
                <w:tcPr>
                  <w:tcW w:w="334" w:type="pct"/>
                  <w:vMerge w:val="restart"/>
                  <w:noWrap w:val="0"/>
                  <w:vAlign w:val="center"/>
                </w:tcPr>
                <w:p w14:paraId="45F65837">
                  <w:pPr>
                    <w:keepNext w:val="0"/>
                    <w:keepLines w:val="0"/>
                    <w:pageBreakBefore w:val="0"/>
                    <w:suppressLineNumbers w:val="0"/>
                    <w:wordWrap/>
                    <w:bidi w:val="0"/>
                    <w:spacing w:before="0" w:beforeAutospacing="0" w:after="0" w:afterAutospacing="0" w:line="360" w:lineRule="auto"/>
                    <w:ind w:left="0" w:leftChars="0" w:right="0"/>
                    <w:jc w:val="center"/>
                    <w:textAlignment w:val="center"/>
                    <w:rPr>
                      <w:rFonts w:hint="default" w:eastAsia="宋体"/>
                      <w:color w:val="auto"/>
                      <w:spacing w:val="-10"/>
                      <w:sz w:val="18"/>
                      <w:szCs w:val="18"/>
                      <w:highlight w:val="none"/>
                      <w:lang w:val="en-US" w:eastAsia="zh-CN"/>
                    </w:rPr>
                  </w:pPr>
                  <w:r>
                    <w:rPr>
                      <w:rFonts w:hint="eastAsia"/>
                      <w:color w:val="auto"/>
                      <w:spacing w:val="-10"/>
                      <w:sz w:val="18"/>
                      <w:szCs w:val="18"/>
                      <w:highlight w:val="none"/>
                      <w:lang w:val="en-US" w:eastAsia="zh-CN"/>
                    </w:rPr>
                    <w:t>300</w:t>
                  </w:r>
                </w:p>
              </w:tc>
            </w:tr>
            <w:tr w14:paraId="48A901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9" w:type="pct"/>
                  <w:vMerge w:val="continue"/>
                  <w:noWrap w:val="0"/>
                  <w:vAlign w:val="center"/>
                </w:tcPr>
                <w:p w14:paraId="00CA44DC">
                  <w:pPr>
                    <w:pStyle w:val="109"/>
                    <w:keepNext w:val="0"/>
                    <w:keepLines w:val="0"/>
                    <w:pageBreakBefore w:val="0"/>
                    <w:suppressLineNumbers w:val="0"/>
                    <w:wordWrap/>
                    <w:bidi w:val="0"/>
                    <w:spacing w:before="0" w:beforeAutospacing="0" w:after="0" w:afterAutospacing="0" w:line="360" w:lineRule="auto"/>
                    <w:ind w:left="0" w:leftChars="0" w:right="0"/>
                    <w:rPr>
                      <w:rFonts w:hint="eastAsia" w:eastAsia="宋体"/>
                      <w:color w:val="auto"/>
                      <w:sz w:val="18"/>
                      <w:szCs w:val="18"/>
                      <w:highlight w:val="none"/>
                      <w:lang w:eastAsia="zh-CN"/>
                    </w:rPr>
                  </w:pPr>
                </w:p>
              </w:tc>
              <w:tc>
                <w:tcPr>
                  <w:tcW w:w="232" w:type="pct"/>
                  <w:vMerge w:val="continue"/>
                  <w:noWrap w:val="0"/>
                  <w:vAlign w:val="center"/>
                </w:tcPr>
                <w:p w14:paraId="23D7B2F1">
                  <w:pPr>
                    <w:pStyle w:val="109"/>
                    <w:keepNext w:val="0"/>
                    <w:keepLines w:val="0"/>
                    <w:pageBreakBefore w:val="0"/>
                    <w:suppressLineNumbers w:val="0"/>
                    <w:wordWrap/>
                    <w:bidi w:val="0"/>
                    <w:spacing w:before="0" w:beforeAutospacing="0" w:after="0" w:afterAutospacing="0" w:line="360" w:lineRule="auto"/>
                    <w:ind w:left="0" w:leftChars="0" w:right="0"/>
                    <w:rPr>
                      <w:rFonts w:hint="eastAsia" w:eastAsia="宋体"/>
                      <w:color w:val="auto"/>
                      <w:sz w:val="18"/>
                      <w:szCs w:val="18"/>
                      <w:highlight w:val="none"/>
                      <w:lang w:eastAsia="zh-CN"/>
                    </w:rPr>
                  </w:pPr>
                </w:p>
              </w:tc>
              <w:tc>
                <w:tcPr>
                  <w:tcW w:w="435" w:type="pct"/>
                  <w:vMerge w:val="continue"/>
                  <w:noWrap w:val="0"/>
                  <w:vAlign w:val="center"/>
                </w:tcPr>
                <w:p w14:paraId="2117414E">
                  <w:pPr>
                    <w:pStyle w:val="109"/>
                    <w:keepNext w:val="0"/>
                    <w:keepLines w:val="0"/>
                    <w:pageBreakBefore w:val="0"/>
                    <w:suppressLineNumbers w:val="0"/>
                    <w:wordWrap/>
                    <w:bidi w:val="0"/>
                    <w:spacing w:before="0" w:beforeAutospacing="0" w:after="0" w:afterAutospacing="0" w:line="360" w:lineRule="auto"/>
                    <w:ind w:left="0" w:leftChars="0" w:right="0"/>
                    <w:rPr>
                      <w:rFonts w:hint="eastAsia" w:eastAsia="宋体"/>
                      <w:color w:val="auto"/>
                      <w:sz w:val="18"/>
                      <w:szCs w:val="18"/>
                      <w:highlight w:val="none"/>
                      <w:lang w:val="en-US" w:eastAsia="zh-CN"/>
                    </w:rPr>
                  </w:pPr>
                </w:p>
              </w:tc>
              <w:tc>
                <w:tcPr>
                  <w:tcW w:w="361" w:type="pct"/>
                  <w:noWrap w:val="0"/>
                  <w:vAlign w:val="center"/>
                </w:tcPr>
                <w:p w14:paraId="2C3A1935">
                  <w:pPr>
                    <w:keepNext w:val="0"/>
                    <w:keepLines w:val="0"/>
                    <w:pageBreakBefore w:val="0"/>
                    <w:widowControl/>
                    <w:suppressLineNumbers w:val="0"/>
                    <w:wordWrap/>
                    <w:bidi w:val="0"/>
                    <w:spacing w:before="0" w:beforeAutospacing="0" w:after="0" w:afterAutospacing="0" w:line="360" w:lineRule="auto"/>
                    <w:ind w:left="0" w:leftChars="0" w:right="0"/>
                    <w:jc w:val="center"/>
                    <w:textAlignment w:val="center"/>
                    <w:rPr>
                      <w:rFonts w:hint="default"/>
                      <w:color w:val="auto"/>
                      <w:sz w:val="18"/>
                      <w:szCs w:val="18"/>
                      <w:highlight w:val="none"/>
                    </w:rPr>
                  </w:pPr>
                  <w:r>
                    <w:rPr>
                      <w:rFonts w:hint="default"/>
                      <w:color w:val="auto"/>
                      <w:kern w:val="0"/>
                      <w:sz w:val="18"/>
                      <w:szCs w:val="18"/>
                      <w:highlight w:val="none"/>
                    </w:rPr>
                    <w:t>SO</w:t>
                  </w:r>
                  <w:r>
                    <w:rPr>
                      <w:rStyle w:val="119"/>
                      <w:color w:val="auto"/>
                      <w:sz w:val="18"/>
                      <w:szCs w:val="18"/>
                      <w:highlight w:val="none"/>
                      <w:vertAlign w:val="subscript"/>
                    </w:rPr>
                    <w:t>2</w:t>
                  </w:r>
                </w:p>
              </w:tc>
              <w:tc>
                <w:tcPr>
                  <w:tcW w:w="256" w:type="pct"/>
                  <w:vMerge w:val="continue"/>
                  <w:noWrap w:val="0"/>
                  <w:vAlign w:val="center"/>
                </w:tcPr>
                <w:p w14:paraId="3EC155CB">
                  <w:pPr>
                    <w:pStyle w:val="109"/>
                    <w:keepNext w:val="0"/>
                    <w:keepLines w:val="0"/>
                    <w:pageBreakBefore w:val="0"/>
                    <w:suppressLineNumbers w:val="0"/>
                    <w:wordWrap/>
                    <w:bidi w:val="0"/>
                    <w:spacing w:before="0" w:beforeAutospacing="0" w:after="0" w:afterAutospacing="0" w:line="360" w:lineRule="auto"/>
                    <w:ind w:left="0" w:leftChars="0" w:right="0"/>
                    <w:rPr>
                      <w:rFonts w:hint="eastAsia" w:eastAsia="宋体"/>
                      <w:color w:val="auto"/>
                      <w:sz w:val="18"/>
                      <w:szCs w:val="18"/>
                      <w:highlight w:val="none"/>
                      <w:lang w:eastAsia="zh-CN"/>
                    </w:rPr>
                  </w:pPr>
                </w:p>
              </w:tc>
              <w:tc>
                <w:tcPr>
                  <w:tcW w:w="384" w:type="pct"/>
                  <w:vMerge w:val="continue"/>
                  <w:noWrap w:val="0"/>
                  <w:vAlign w:val="center"/>
                </w:tcPr>
                <w:p w14:paraId="14BA46F0">
                  <w:pPr>
                    <w:pStyle w:val="109"/>
                    <w:keepNext w:val="0"/>
                    <w:keepLines w:val="0"/>
                    <w:pageBreakBefore w:val="0"/>
                    <w:suppressLineNumbers w:val="0"/>
                    <w:wordWrap/>
                    <w:bidi w:val="0"/>
                    <w:spacing w:before="0" w:beforeAutospacing="0" w:after="0" w:afterAutospacing="0" w:line="360" w:lineRule="auto"/>
                    <w:ind w:left="0" w:leftChars="0" w:right="0"/>
                    <w:rPr>
                      <w:rFonts w:hint="default" w:eastAsia="宋体"/>
                      <w:color w:val="auto"/>
                      <w:sz w:val="18"/>
                      <w:szCs w:val="18"/>
                      <w:highlight w:val="none"/>
                      <w:lang w:val="en-US" w:eastAsia="zh-CN"/>
                    </w:rPr>
                  </w:pPr>
                </w:p>
              </w:tc>
              <w:tc>
                <w:tcPr>
                  <w:tcW w:w="670" w:type="dxa"/>
                  <w:noWrap w:val="0"/>
                  <w:vAlign w:val="center"/>
                </w:tcPr>
                <w:p w14:paraId="07739ACC">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73</w:t>
                  </w:r>
                </w:p>
              </w:tc>
              <w:tc>
                <w:tcPr>
                  <w:tcW w:w="692" w:type="dxa"/>
                  <w:noWrap w:val="0"/>
                  <w:vAlign w:val="center"/>
                </w:tcPr>
                <w:p w14:paraId="00368F9A">
                  <w:pPr>
                    <w:pStyle w:val="109"/>
                    <w:keepNext w:val="0"/>
                    <w:keepLines w:val="0"/>
                    <w:pageBreakBefore w:val="0"/>
                    <w:suppressLineNumbers w:val="0"/>
                    <w:wordWrap/>
                    <w:bidi w:val="0"/>
                    <w:spacing w:before="0" w:beforeAutospacing="0" w:after="0" w:afterAutospacing="0" w:line="360" w:lineRule="auto"/>
                    <w:ind w:left="0" w:leftChars="0" w:right="0" w:right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0.42</w:t>
                  </w:r>
                </w:p>
              </w:tc>
              <w:tc>
                <w:tcPr>
                  <w:tcW w:w="354" w:type="pct"/>
                  <w:noWrap w:val="0"/>
                  <w:vAlign w:val="center"/>
                </w:tcPr>
                <w:p w14:paraId="41713000">
                  <w:pPr>
                    <w:pStyle w:val="109"/>
                    <w:keepNext w:val="0"/>
                    <w:keepLines w:val="0"/>
                    <w:pageBreakBefore w:val="0"/>
                    <w:suppressLineNumbers w:val="0"/>
                    <w:wordWrap/>
                    <w:bidi w:val="0"/>
                    <w:spacing w:before="0" w:beforeAutospacing="0" w:after="0" w:afterAutospacing="0" w:line="360" w:lineRule="auto"/>
                    <w:ind w:left="0" w:leftChars="0" w:right="0"/>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w:t>
                  </w:r>
                </w:p>
              </w:tc>
              <w:tc>
                <w:tcPr>
                  <w:tcW w:w="395" w:type="pct"/>
                  <w:noWrap w:val="0"/>
                  <w:vAlign w:val="center"/>
                </w:tcPr>
                <w:p w14:paraId="5AFAB038">
                  <w:pPr>
                    <w:pStyle w:val="109"/>
                    <w:keepNext w:val="0"/>
                    <w:keepLines w:val="0"/>
                    <w:pageBreakBefore w:val="0"/>
                    <w:suppressLineNumbers w:val="0"/>
                    <w:wordWrap/>
                    <w:bidi w:val="0"/>
                    <w:spacing w:before="0" w:beforeAutospacing="0" w:after="0" w:afterAutospacing="0" w:line="360" w:lineRule="auto"/>
                    <w:ind w:left="0" w:leftChars="0" w:right="0"/>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w:t>
                  </w:r>
                </w:p>
              </w:tc>
              <w:tc>
                <w:tcPr>
                  <w:tcW w:w="356" w:type="pct"/>
                  <w:vMerge w:val="continue"/>
                  <w:noWrap w:val="0"/>
                  <w:vAlign w:val="center"/>
                </w:tcPr>
                <w:p w14:paraId="64CBD13C">
                  <w:pPr>
                    <w:pStyle w:val="109"/>
                    <w:keepNext w:val="0"/>
                    <w:keepLines w:val="0"/>
                    <w:pageBreakBefore w:val="0"/>
                    <w:suppressLineNumbers w:val="0"/>
                    <w:wordWrap/>
                    <w:bidi w:val="0"/>
                    <w:spacing w:before="0" w:beforeAutospacing="0" w:after="0" w:afterAutospacing="0" w:line="360" w:lineRule="auto"/>
                    <w:ind w:left="0" w:leftChars="0" w:right="0"/>
                    <w:rPr>
                      <w:rFonts w:hint="default" w:ascii="Times New Roman" w:hAnsi="Times New Roman" w:eastAsia="宋体" w:cs="Times New Roman"/>
                      <w:color w:val="auto"/>
                      <w:kern w:val="0"/>
                      <w:sz w:val="18"/>
                      <w:szCs w:val="18"/>
                      <w:highlight w:val="none"/>
                      <w:lang w:val="en-US" w:eastAsia="zh-CN" w:bidi="ar-SA"/>
                    </w:rPr>
                  </w:pPr>
                </w:p>
              </w:tc>
              <w:tc>
                <w:tcPr>
                  <w:tcW w:w="660" w:type="dxa"/>
                  <w:noWrap w:val="0"/>
                  <w:vAlign w:val="center"/>
                </w:tcPr>
                <w:p w14:paraId="48630C15">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73</w:t>
                  </w:r>
                </w:p>
              </w:tc>
              <w:tc>
                <w:tcPr>
                  <w:tcW w:w="699" w:type="dxa"/>
                  <w:noWrap w:val="0"/>
                  <w:vAlign w:val="center"/>
                </w:tcPr>
                <w:p w14:paraId="3337B4D1">
                  <w:pPr>
                    <w:pStyle w:val="109"/>
                    <w:keepNext w:val="0"/>
                    <w:keepLines w:val="0"/>
                    <w:pageBreakBefore w:val="0"/>
                    <w:suppressLineNumbers w:val="0"/>
                    <w:wordWrap/>
                    <w:bidi w:val="0"/>
                    <w:spacing w:before="0" w:beforeAutospacing="0" w:after="0" w:afterAutospacing="0" w:line="360" w:lineRule="auto"/>
                    <w:ind w:left="0" w:leftChars="0" w:right="0" w:rightChars="0"/>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0"/>
                      <w:sz w:val="18"/>
                      <w:szCs w:val="18"/>
                      <w:highlight w:val="none"/>
                      <w:lang w:val="en-US" w:eastAsia="zh-CN" w:bidi="ar-SA"/>
                    </w:rPr>
                    <w:t>0.42</w:t>
                  </w:r>
                </w:p>
              </w:tc>
              <w:tc>
                <w:tcPr>
                  <w:tcW w:w="334" w:type="pct"/>
                  <w:vMerge w:val="continue"/>
                  <w:noWrap w:val="0"/>
                  <w:vAlign w:val="center"/>
                </w:tcPr>
                <w:p w14:paraId="6F55B085">
                  <w:pPr>
                    <w:keepNext w:val="0"/>
                    <w:keepLines w:val="0"/>
                    <w:pageBreakBefore w:val="0"/>
                    <w:suppressLineNumbers w:val="0"/>
                    <w:wordWrap/>
                    <w:bidi w:val="0"/>
                    <w:spacing w:before="0" w:beforeAutospacing="0" w:after="0" w:afterAutospacing="0" w:line="360" w:lineRule="auto"/>
                    <w:ind w:left="0" w:leftChars="0" w:right="0"/>
                    <w:jc w:val="center"/>
                    <w:textAlignment w:val="center"/>
                    <w:rPr>
                      <w:rFonts w:hint="default" w:eastAsia="宋体"/>
                      <w:color w:val="auto"/>
                      <w:spacing w:val="-10"/>
                      <w:sz w:val="18"/>
                      <w:szCs w:val="18"/>
                      <w:highlight w:val="none"/>
                      <w:lang w:val="en-US" w:eastAsia="zh-CN"/>
                    </w:rPr>
                  </w:pPr>
                </w:p>
              </w:tc>
            </w:tr>
            <w:tr w14:paraId="11D99E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9" w:type="pct"/>
                  <w:vMerge w:val="continue"/>
                  <w:noWrap w:val="0"/>
                  <w:vAlign w:val="center"/>
                </w:tcPr>
                <w:p w14:paraId="2AE8BE55">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rPr>
                  </w:pPr>
                </w:p>
              </w:tc>
              <w:tc>
                <w:tcPr>
                  <w:tcW w:w="232" w:type="pct"/>
                  <w:vMerge w:val="continue"/>
                  <w:noWrap w:val="0"/>
                  <w:vAlign w:val="center"/>
                </w:tcPr>
                <w:p w14:paraId="50CE212D">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rPr>
                  </w:pPr>
                </w:p>
              </w:tc>
              <w:tc>
                <w:tcPr>
                  <w:tcW w:w="435" w:type="pct"/>
                  <w:vMerge w:val="continue"/>
                  <w:noWrap w:val="0"/>
                  <w:vAlign w:val="center"/>
                </w:tcPr>
                <w:p w14:paraId="22E15CAE">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rPr>
                  </w:pPr>
                </w:p>
              </w:tc>
              <w:tc>
                <w:tcPr>
                  <w:tcW w:w="361" w:type="pct"/>
                  <w:noWrap w:val="0"/>
                  <w:vAlign w:val="center"/>
                </w:tcPr>
                <w:p w14:paraId="378D4F64">
                  <w:pPr>
                    <w:keepNext w:val="0"/>
                    <w:keepLines w:val="0"/>
                    <w:pageBreakBefore w:val="0"/>
                    <w:widowControl/>
                    <w:suppressLineNumbers w:val="0"/>
                    <w:wordWrap/>
                    <w:bidi w:val="0"/>
                    <w:spacing w:before="0" w:beforeAutospacing="0" w:after="0" w:afterAutospacing="0" w:line="360" w:lineRule="auto"/>
                    <w:ind w:left="0" w:leftChars="0" w:right="0"/>
                    <w:jc w:val="center"/>
                    <w:textAlignment w:val="center"/>
                    <w:rPr>
                      <w:rFonts w:hint="default"/>
                      <w:color w:val="auto"/>
                      <w:sz w:val="18"/>
                      <w:szCs w:val="18"/>
                      <w:highlight w:val="none"/>
                    </w:rPr>
                  </w:pPr>
                  <w:r>
                    <w:rPr>
                      <w:rFonts w:hint="default"/>
                      <w:color w:val="auto"/>
                      <w:kern w:val="0"/>
                      <w:sz w:val="18"/>
                      <w:szCs w:val="18"/>
                      <w:highlight w:val="none"/>
                    </w:rPr>
                    <w:t>NO</w:t>
                  </w:r>
                  <w:r>
                    <w:rPr>
                      <w:rStyle w:val="119"/>
                      <w:color w:val="auto"/>
                      <w:sz w:val="18"/>
                      <w:szCs w:val="18"/>
                      <w:highlight w:val="none"/>
                      <w:vertAlign w:val="subscript"/>
                    </w:rPr>
                    <w:t>X</w:t>
                  </w:r>
                </w:p>
              </w:tc>
              <w:tc>
                <w:tcPr>
                  <w:tcW w:w="256" w:type="pct"/>
                  <w:vMerge w:val="continue"/>
                  <w:noWrap w:val="0"/>
                  <w:vAlign w:val="center"/>
                </w:tcPr>
                <w:p w14:paraId="6D138339">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rPr>
                  </w:pPr>
                </w:p>
              </w:tc>
              <w:tc>
                <w:tcPr>
                  <w:tcW w:w="384" w:type="pct"/>
                  <w:vMerge w:val="continue"/>
                  <w:noWrap w:val="0"/>
                  <w:vAlign w:val="center"/>
                </w:tcPr>
                <w:p w14:paraId="24F4D73D">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rPr>
                  </w:pPr>
                </w:p>
              </w:tc>
              <w:tc>
                <w:tcPr>
                  <w:tcW w:w="670" w:type="dxa"/>
                  <w:noWrap w:val="0"/>
                  <w:vAlign w:val="center"/>
                </w:tcPr>
                <w:p w14:paraId="3D23DF82">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101</w:t>
                  </w:r>
                </w:p>
              </w:tc>
              <w:tc>
                <w:tcPr>
                  <w:tcW w:w="692" w:type="dxa"/>
                  <w:noWrap w:val="0"/>
                  <w:vAlign w:val="center"/>
                </w:tcPr>
                <w:p w14:paraId="600F90D5">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eastAsia="宋体"/>
                      <w:color w:val="auto"/>
                      <w:sz w:val="18"/>
                      <w:szCs w:val="18"/>
                      <w:highlight w:val="none"/>
                      <w:lang w:val="en-US" w:eastAsia="zh-CN"/>
                    </w:rPr>
                  </w:pPr>
                  <w:r>
                    <w:rPr>
                      <w:rFonts w:hint="eastAsia"/>
                      <w:color w:val="auto"/>
                      <w:sz w:val="18"/>
                      <w:szCs w:val="18"/>
                      <w:highlight w:val="none"/>
                      <w:lang w:val="en-US" w:eastAsia="zh-CN"/>
                    </w:rPr>
                    <w:t>0.84</w:t>
                  </w:r>
                </w:p>
              </w:tc>
              <w:tc>
                <w:tcPr>
                  <w:tcW w:w="354" w:type="pct"/>
                  <w:noWrap w:val="0"/>
                  <w:vAlign w:val="center"/>
                </w:tcPr>
                <w:p w14:paraId="66F8EE88">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rPr>
                  </w:pPr>
                  <w:r>
                    <w:rPr>
                      <w:rFonts w:hint="default"/>
                      <w:color w:val="auto"/>
                      <w:sz w:val="18"/>
                      <w:szCs w:val="18"/>
                      <w:highlight w:val="none"/>
                    </w:rPr>
                    <w:t>/</w:t>
                  </w:r>
                </w:p>
              </w:tc>
              <w:tc>
                <w:tcPr>
                  <w:tcW w:w="395" w:type="pct"/>
                  <w:noWrap w:val="0"/>
                  <w:vAlign w:val="center"/>
                </w:tcPr>
                <w:p w14:paraId="4637F0CC">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rPr>
                  </w:pPr>
                  <w:r>
                    <w:rPr>
                      <w:rFonts w:hint="default"/>
                      <w:color w:val="auto"/>
                      <w:sz w:val="18"/>
                      <w:szCs w:val="18"/>
                      <w:highlight w:val="none"/>
                    </w:rPr>
                    <w:t>/</w:t>
                  </w:r>
                </w:p>
              </w:tc>
              <w:tc>
                <w:tcPr>
                  <w:tcW w:w="356" w:type="pct"/>
                  <w:vMerge w:val="continue"/>
                  <w:noWrap w:val="0"/>
                  <w:vAlign w:val="center"/>
                </w:tcPr>
                <w:p w14:paraId="3F18EA91">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rPr>
                  </w:pPr>
                </w:p>
              </w:tc>
              <w:tc>
                <w:tcPr>
                  <w:tcW w:w="660" w:type="dxa"/>
                  <w:noWrap w:val="0"/>
                  <w:vAlign w:val="center"/>
                </w:tcPr>
                <w:p w14:paraId="6395E265">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101</w:t>
                  </w:r>
                </w:p>
              </w:tc>
              <w:tc>
                <w:tcPr>
                  <w:tcW w:w="699" w:type="dxa"/>
                  <w:noWrap w:val="0"/>
                  <w:vAlign w:val="center"/>
                </w:tcPr>
                <w:p w14:paraId="25EF2618">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0.84</w:t>
                  </w:r>
                </w:p>
              </w:tc>
              <w:tc>
                <w:tcPr>
                  <w:tcW w:w="334" w:type="pct"/>
                  <w:vMerge w:val="continue"/>
                  <w:noWrap w:val="0"/>
                  <w:vAlign w:val="center"/>
                </w:tcPr>
                <w:p w14:paraId="6B3F38A5">
                  <w:pPr>
                    <w:keepNext w:val="0"/>
                    <w:keepLines w:val="0"/>
                    <w:pageBreakBefore w:val="0"/>
                    <w:suppressLineNumbers w:val="0"/>
                    <w:wordWrap/>
                    <w:bidi w:val="0"/>
                    <w:spacing w:before="0" w:beforeAutospacing="0" w:after="0" w:afterAutospacing="0" w:line="360" w:lineRule="auto"/>
                    <w:ind w:left="0" w:leftChars="0" w:right="0"/>
                    <w:jc w:val="center"/>
                    <w:textAlignment w:val="center"/>
                    <w:rPr>
                      <w:rFonts w:hint="default"/>
                      <w:color w:val="auto"/>
                      <w:spacing w:val="-10"/>
                      <w:sz w:val="18"/>
                      <w:szCs w:val="18"/>
                      <w:highlight w:val="none"/>
                    </w:rPr>
                  </w:pPr>
                </w:p>
              </w:tc>
            </w:tr>
            <w:tr w14:paraId="65DF8B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9" w:type="pct"/>
                  <w:vMerge w:val="continue"/>
                  <w:noWrap w:val="0"/>
                  <w:vAlign w:val="center"/>
                </w:tcPr>
                <w:p w14:paraId="0BA14356">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rPr>
                  </w:pPr>
                </w:p>
              </w:tc>
              <w:tc>
                <w:tcPr>
                  <w:tcW w:w="232" w:type="pct"/>
                  <w:vMerge w:val="continue"/>
                  <w:noWrap w:val="0"/>
                  <w:vAlign w:val="center"/>
                </w:tcPr>
                <w:p w14:paraId="613FBBAD">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rPr>
                  </w:pPr>
                </w:p>
              </w:tc>
              <w:tc>
                <w:tcPr>
                  <w:tcW w:w="435" w:type="pct"/>
                  <w:vMerge w:val="continue"/>
                  <w:noWrap w:val="0"/>
                  <w:vAlign w:val="center"/>
                </w:tcPr>
                <w:p w14:paraId="341B5131">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rPr>
                  </w:pPr>
                </w:p>
              </w:tc>
              <w:tc>
                <w:tcPr>
                  <w:tcW w:w="361" w:type="pct"/>
                  <w:noWrap w:val="0"/>
                  <w:vAlign w:val="center"/>
                </w:tcPr>
                <w:p w14:paraId="06FE038C">
                  <w:pPr>
                    <w:keepNext w:val="0"/>
                    <w:keepLines w:val="0"/>
                    <w:pageBreakBefore w:val="0"/>
                    <w:widowControl/>
                    <w:suppressLineNumbers w:val="0"/>
                    <w:wordWrap/>
                    <w:bidi w:val="0"/>
                    <w:spacing w:before="0" w:beforeAutospacing="0" w:after="0" w:afterAutospacing="0" w:line="360" w:lineRule="auto"/>
                    <w:ind w:left="0" w:leftChars="0" w:right="0"/>
                    <w:jc w:val="center"/>
                    <w:textAlignment w:val="center"/>
                    <w:rPr>
                      <w:rFonts w:hint="default"/>
                      <w:color w:val="auto"/>
                      <w:spacing w:val="-10"/>
                      <w:sz w:val="18"/>
                      <w:szCs w:val="18"/>
                      <w:highlight w:val="none"/>
                    </w:rPr>
                  </w:pPr>
                  <w:r>
                    <w:rPr>
                      <w:rFonts w:hint="eastAsia"/>
                      <w:color w:val="auto"/>
                      <w:spacing w:val="-10"/>
                      <w:kern w:val="0"/>
                      <w:sz w:val="18"/>
                      <w:szCs w:val="18"/>
                      <w:highlight w:val="none"/>
                    </w:rPr>
                    <w:t>烟气黑度</w:t>
                  </w:r>
                </w:p>
              </w:tc>
              <w:tc>
                <w:tcPr>
                  <w:tcW w:w="256" w:type="pct"/>
                  <w:noWrap w:val="0"/>
                  <w:vAlign w:val="center"/>
                </w:tcPr>
                <w:p w14:paraId="5044FC19">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rPr>
                  </w:pPr>
                  <w:r>
                    <w:rPr>
                      <w:rFonts w:hint="eastAsia"/>
                      <w:color w:val="auto"/>
                      <w:sz w:val="18"/>
                      <w:szCs w:val="18"/>
                      <w:highlight w:val="none"/>
                    </w:rPr>
                    <w:t>类比法</w:t>
                  </w:r>
                </w:p>
              </w:tc>
              <w:tc>
                <w:tcPr>
                  <w:tcW w:w="384" w:type="pct"/>
                  <w:vMerge w:val="continue"/>
                  <w:noWrap w:val="0"/>
                  <w:vAlign w:val="center"/>
                </w:tcPr>
                <w:p w14:paraId="5538CBBA">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rPr>
                  </w:pPr>
                </w:p>
              </w:tc>
              <w:tc>
                <w:tcPr>
                  <w:tcW w:w="408" w:type="pct"/>
                  <w:noWrap w:val="0"/>
                  <w:vAlign w:val="center"/>
                </w:tcPr>
                <w:p w14:paraId="14AFDF05">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rPr>
                  </w:pPr>
                  <w:r>
                    <w:rPr>
                      <w:rFonts w:hint="default"/>
                      <w:color w:val="auto"/>
                      <w:sz w:val="18"/>
                      <w:szCs w:val="18"/>
                      <w:highlight w:val="none"/>
                    </w:rPr>
                    <w:t>/</w:t>
                  </w:r>
                </w:p>
              </w:tc>
              <w:tc>
                <w:tcPr>
                  <w:tcW w:w="421" w:type="pct"/>
                  <w:noWrap w:val="0"/>
                  <w:vAlign w:val="center"/>
                </w:tcPr>
                <w:p w14:paraId="69361422">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rPr>
                  </w:pPr>
                  <w:r>
                    <w:rPr>
                      <w:rFonts w:hint="default"/>
                      <w:color w:val="auto"/>
                      <w:sz w:val="18"/>
                      <w:szCs w:val="18"/>
                      <w:highlight w:val="none"/>
                    </w:rPr>
                    <w:t>/</w:t>
                  </w:r>
                </w:p>
              </w:tc>
              <w:tc>
                <w:tcPr>
                  <w:tcW w:w="354" w:type="pct"/>
                  <w:noWrap w:val="0"/>
                  <w:vAlign w:val="center"/>
                </w:tcPr>
                <w:p w14:paraId="1C89DF78">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rPr>
                  </w:pPr>
                  <w:r>
                    <w:rPr>
                      <w:rFonts w:hint="default"/>
                      <w:color w:val="auto"/>
                      <w:sz w:val="18"/>
                      <w:szCs w:val="18"/>
                      <w:highlight w:val="none"/>
                    </w:rPr>
                    <w:t>/</w:t>
                  </w:r>
                </w:p>
              </w:tc>
              <w:tc>
                <w:tcPr>
                  <w:tcW w:w="395" w:type="pct"/>
                  <w:noWrap w:val="0"/>
                  <w:vAlign w:val="center"/>
                </w:tcPr>
                <w:p w14:paraId="5C5969EF">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rPr>
                  </w:pPr>
                  <w:r>
                    <w:rPr>
                      <w:rFonts w:hint="default"/>
                      <w:color w:val="auto"/>
                      <w:sz w:val="18"/>
                      <w:szCs w:val="18"/>
                      <w:highlight w:val="none"/>
                    </w:rPr>
                    <w:t>/</w:t>
                  </w:r>
                </w:p>
              </w:tc>
              <w:tc>
                <w:tcPr>
                  <w:tcW w:w="356" w:type="pct"/>
                  <w:vMerge w:val="continue"/>
                  <w:noWrap w:val="0"/>
                  <w:vAlign w:val="center"/>
                </w:tcPr>
                <w:p w14:paraId="45E3651C">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rPr>
                  </w:pPr>
                </w:p>
              </w:tc>
              <w:tc>
                <w:tcPr>
                  <w:tcW w:w="402" w:type="pct"/>
                  <w:noWrap w:val="0"/>
                  <w:vAlign w:val="center"/>
                </w:tcPr>
                <w:p w14:paraId="69883021">
                  <w:pPr>
                    <w:pStyle w:val="109"/>
                    <w:keepNext w:val="0"/>
                    <w:keepLines w:val="0"/>
                    <w:pageBreakBefore w:val="0"/>
                    <w:suppressLineNumbers w:val="0"/>
                    <w:wordWrap/>
                    <w:bidi w:val="0"/>
                    <w:spacing w:before="0" w:beforeAutospacing="0" w:after="0" w:afterAutospacing="0" w:line="360" w:lineRule="auto"/>
                    <w:ind w:left="0" w:leftChars="0" w:right="0"/>
                    <w:rPr>
                      <w:rFonts w:hint="eastAsia"/>
                      <w:color w:val="auto"/>
                      <w:sz w:val="18"/>
                      <w:szCs w:val="18"/>
                      <w:highlight w:val="none"/>
                    </w:rPr>
                  </w:pPr>
                  <w:r>
                    <w:rPr>
                      <w:rFonts w:hint="eastAsia"/>
                      <w:color w:val="auto"/>
                      <w:sz w:val="18"/>
                      <w:szCs w:val="18"/>
                      <w:highlight w:val="none"/>
                    </w:rPr>
                    <w:t>＜1</w:t>
                  </w:r>
                </w:p>
              </w:tc>
              <w:tc>
                <w:tcPr>
                  <w:tcW w:w="426" w:type="pct"/>
                  <w:noWrap w:val="0"/>
                  <w:vAlign w:val="center"/>
                </w:tcPr>
                <w:p w14:paraId="39E1B877">
                  <w:pPr>
                    <w:pStyle w:val="109"/>
                    <w:keepNext w:val="0"/>
                    <w:keepLines w:val="0"/>
                    <w:pageBreakBefore w:val="0"/>
                    <w:suppressLineNumbers w:val="0"/>
                    <w:wordWrap/>
                    <w:bidi w:val="0"/>
                    <w:spacing w:before="0" w:beforeAutospacing="0" w:after="0" w:afterAutospacing="0" w:line="360" w:lineRule="auto"/>
                    <w:ind w:left="0" w:leftChars="0" w:right="0"/>
                    <w:rPr>
                      <w:rFonts w:hint="eastAsia"/>
                      <w:color w:val="auto"/>
                      <w:sz w:val="18"/>
                      <w:szCs w:val="18"/>
                      <w:highlight w:val="none"/>
                    </w:rPr>
                  </w:pPr>
                  <w:r>
                    <w:rPr>
                      <w:rFonts w:hint="default"/>
                      <w:color w:val="auto"/>
                      <w:sz w:val="18"/>
                      <w:szCs w:val="18"/>
                      <w:highlight w:val="none"/>
                    </w:rPr>
                    <w:t>/</w:t>
                  </w:r>
                </w:p>
              </w:tc>
              <w:tc>
                <w:tcPr>
                  <w:tcW w:w="334" w:type="pct"/>
                  <w:vMerge w:val="continue"/>
                  <w:noWrap w:val="0"/>
                  <w:vAlign w:val="center"/>
                </w:tcPr>
                <w:p w14:paraId="7979451B">
                  <w:pPr>
                    <w:keepNext w:val="0"/>
                    <w:keepLines w:val="0"/>
                    <w:pageBreakBefore w:val="0"/>
                    <w:suppressLineNumbers w:val="0"/>
                    <w:wordWrap/>
                    <w:bidi w:val="0"/>
                    <w:spacing w:before="0" w:beforeAutospacing="0" w:after="0" w:afterAutospacing="0" w:line="360" w:lineRule="auto"/>
                    <w:ind w:left="0" w:leftChars="0" w:right="0"/>
                    <w:jc w:val="center"/>
                    <w:textAlignment w:val="center"/>
                    <w:rPr>
                      <w:rFonts w:hint="default"/>
                      <w:color w:val="auto"/>
                      <w:spacing w:val="-10"/>
                      <w:sz w:val="18"/>
                      <w:szCs w:val="18"/>
                      <w:highlight w:val="none"/>
                    </w:rPr>
                  </w:pPr>
                </w:p>
              </w:tc>
            </w:tr>
          </w:tbl>
          <w:p w14:paraId="019077E4">
            <w:pPr>
              <w:pStyle w:val="111"/>
              <w:keepNext w:val="0"/>
              <w:keepLines w:val="0"/>
              <w:pageBreakBefore w:val="0"/>
              <w:suppressLineNumbers w:val="0"/>
              <w:wordWrap/>
              <w:bidi w:val="0"/>
              <w:spacing w:before="0" w:beforeAutospacing="0" w:after="0" w:afterAutospacing="0" w:line="240" w:lineRule="auto"/>
              <w:ind w:left="0" w:leftChars="0" w:right="0"/>
              <w:rPr>
                <w:rFonts w:hint="eastAsia" w:ascii="Times New Roman" w:hAnsi="Times New Roman" w:cs="Times New Roman" w:eastAsiaTheme="minorEastAsia"/>
                <w:b/>
                <w:bCs/>
                <w:color w:val="auto"/>
                <w:kern w:val="2"/>
                <w:sz w:val="21"/>
                <w:szCs w:val="24"/>
                <w:highlight w:val="none"/>
                <w:lang w:val="en-US" w:eastAsia="zh-CN" w:bidi="ar-SA"/>
              </w:rPr>
            </w:pPr>
            <w:r>
              <w:rPr>
                <w:rFonts w:hint="eastAsia" w:ascii="Times New Roman" w:hAnsi="Times New Roman" w:cs="Times New Roman" w:eastAsiaTheme="minorEastAsia"/>
                <w:b/>
                <w:bCs/>
                <w:color w:val="auto"/>
                <w:kern w:val="2"/>
                <w:sz w:val="21"/>
                <w:szCs w:val="24"/>
                <w:highlight w:val="none"/>
                <w:lang w:val="en-US" w:eastAsia="zh-CN" w:bidi="ar-SA"/>
              </w:rPr>
              <w:t>表4-</w:t>
            </w:r>
            <w:r>
              <w:rPr>
                <w:rFonts w:hint="eastAsia" w:ascii="Times New Roman" w:cs="Times New Roman" w:eastAsiaTheme="minorEastAsia"/>
                <w:b/>
                <w:bCs/>
                <w:color w:val="auto"/>
                <w:kern w:val="2"/>
                <w:sz w:val="21"/>
                <w:szCs w:val="24"/>
                <w:highlight w:val="none"/>
                <w:lang w:val="en-US" w:eastAsia="zh-CN" w:bidi="ar-SA"/>
              </w:rPr>
              <w:t>2</w:t>
            </w:r>
            <w:r>
              <w:rPr>
                <w:rFonts w:hint="eastAsia" w:ascii="Times New Roman" w:hAnsi="Times New Roman" w:cs="Times New Roman" w:eastAsiaTheme="minorEastAsia"/>
                <w:b/>
                <w:bCs/>
                <w:color w:val="auto"/>
                <w:kern w:val="2"/>
                <w:sz w:val="21"/>
                <w:szCs w:val="24"/>
                <w:highlight w:val="none"/>
                <w:lang w:val="en-US" w:eastAsia="zh-CN" w:bidi="ar-SA"/>
              </w:rPr>
              <w:t xml:space="preserve">  大气污染物有组织排放量核算表</w:t>
            </w:r>
          </w:p>
          <w:tbl>
            <w:tblPr>
              <w:tblStyle w:val="32"/>
              <w:tblW w:w="500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6"/>
              <w:gridCol w:w="1359"/>
              <w:gridCol w:w="1354"/>
              <w:gridCol w:w="1469"/>
              <w:gridCol w:w="1523"/>
              <w:gridCol w:w="1792"/>
            </w:tblGrid>
            <w:tr w14:paraId="1C36F7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noWrap w:val="0"/>
                  <w:vAlign w:val="center"/>
                </w:tcPr>
                <w:p w14:paraId="7FF33BC8">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Cs w:val="21"/>
                      <w:highlight w:val="none"/>
                    </w:rPr>
                  </w:pPr>
                  <w:r>
                    <w:rPr>
                      <w:rFonts w:hint="default"/>
                      <w:color w:val="auto"/>
                      <w:szCs w:val="21"/>
                      <w:highlight w:val="none"/>
                    </w:rPr>
                    <w:t>序号</w:t>
                  </w:r>
                </w:p>
              </w:tc>
              <w:tc>
                <w:tcPr>
                  <w:tcW w:w="830" w:type="pct"/>
                  <w:noWrap w:val="0"/>
                  <w:vAlign w:val="center"/>
                </w:tcPr>
                <w:p w14:paraId="03240464">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Cs w:val="21"/>
                      <w:highlight w:val="none"/>
                    </w:rPr>
                  </w:pPr>
                  <w:r>
                    <w:rPr>
                      <w:rFonts w:hint="default"/>
                      <w:color w:val="auto"/>
                      <w:szCs w:val="21"/>
                      <w:highlight w:val="none"/>
                    </w:rPr>
                    <w:t>排放口编号</w:t>
                  </w:r>
                </w:p>
              </w:tc>
              <w:tc>
                <w:tcPr>
                  <w:tcW w:w="828" w:type="pct"/>
                  <w:noWrap w:val="0"/>
                  <w:vAlign w:val="center"/>
                </w:tcPr>
                <w:p w14:paraId="246E70F7">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Cs w:val="21"/>
                      <w:highlight w:val="none"/>
                    </w:rPr>
                  </w:pPr>
                  <w:r>
                    <w:rPr>
                      <w:rFonts w:hint="default"/>
                      <w:color w:val="auto"/>
                      <w:szCs w:val="21"/>
                      <w:highlight w:val="none"/>
                    </w:rPr>
                    <w:t>污染物</w:t>
                  </w:r>
                </w:p>
              </w:tc>
              <w:tc>
                <w:tcPr>
                  <w:tcW w:w="899" w:type="pct"/>
                  <w:noWrap w:val="0"/>
                  <w:vAlign w:val="center"/>
                </w:tcPr>
                <w:p w14:paraId="2966090C">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Cs w:val="21"/>
                      <w:highlight w:val="none"/>
                    </w:rPr>
                  </w:pPr>
                  <w:r>
                    <w:rPr>
                      <w:rFonts w:hint="default"/>
                      <w:color w:val="auto"/>
                      <w:szCs w:val="21"/>
                      <w:highlight w:val="none"/>
                    </w:rPr>
                    <w:t>核算排放浓度</w:t>
                  </w:r>
                </w:p>
                <w:p w14:paraId="67ABDE43">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Cs w:val="21"/>
                      <w:highlight w:val="none"/>
                    </w:rPr>
                  </w:pPr>
                  <w:r>
                    <w:rPr>
                      <w:rFonts w:hint="default"/>
                      <w:color w:val="auto"/>
                      <w:szCs w:val="21"/>
                      <w:highlight w:val="none"/>
                    </w:rPr>
                    <w:t>（mg/m</w:t>
                  </w:r>
                  <w:r>
                    <w:rPr>
                      <w:rFonts w:hint="default"/>
                      <w:color w:val="auto"/>
                      <w:szCs w:val="21"/>
                      <w:highlight w:val="none"/>
                      <w:vertAlign w:val="superscript"/>
                    </w:rPr>
                    <w:t>3</w:t>
                  </w:r>
                  <w:r>
                    <w:rPr>
                      <w:rFonts w:hint="default"/>
                      <w:color w:val="auto"/>
                      <w:szCs w:val="21"/>
                      <w:highlight w:val="none"/>
                    </w:rPr>
                    <w:t>）</w:t>
                  </w:r>
                </w:p>
              </w:tc>
              <w:tc>
                <w:tcPr>
                  <w:tcW w:w="932" w:type="pct"/>
                  <w:noWrap w:val="0"/>
                  <w:vAlign w:val="center"/>
                </w:tcPr>
                <w:p w14:paraId="680B04F1">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Cs w:val="21"/>
                      <w:highlight w:val="none"/>
                    </w:rPr>
                  </w:pPr>
                  <w:r>
                    <w:rPr>
                      <w:rFonts w:hint="default"/>
                      <w:color w:val="auto"/>
                      <w:szCs w:val="21"/>
                      <w:highlight w:val="none"/>
                    </w:rPr>
                    <w:t>核算排放速率</w:t>
                  </w:r>
                </w:p>
                <w:p w14:paraId="4947A5A8">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Cs w:val="21"/>
                      <w:highlight w:val="none"/>
                    </w:rPr>
                  </w:pPr>
                  <w:r>
                    <w:rPr>
                      <w:rFonts w:hint="default"/>
                      <w:color w:val="auto"/>
                      <w:szCs w:val="21"/>
                      <w:highlight w:val="none"/>
                    </w:rPr>
                    <w:t>（kg/h）</w:t>
                  </w:r>
                </w:p>
              </w:tc>
              <w:tc>
                <w:tcPr>
                  <w:tcW w:w="1093" w:type="pct"/>
                  <w:noWrap w:val="0"/>
                  <w:vAlign w:val="center"/>
                </w:tcPr>
                <w:p w14:paraId="068052A7">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Cs w:val="21"/>
                      <w:highlight w:val="none"/>
                    </w:rPr>
                  </w:pPr>
                  <w:r>
                    <w:rPr>
                      <w:rFonts w:hint="default"/>
                      <w:color w:val="auto"/>
                      <w:szCs w:val="21"/>
                      <w:highlight w:val="none"/>
                    </w:rPr>
                    <w:t>核算年排放量</w:t>
                  </w:r>
                </w:p>
                <w:p w14:paraId="0E3DBA35">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Cs w:val="21"/>
                      <w:highlight w:val="none"/>
                    </w:rPr>
                  </w:pPr>
                  <w:r>
                    <w:rPr>
                      <w:rFonts w:hint="default"/>
                      <w:color w:val="auto"/>
                      <w:szCs w:val="21"/>
                      <w:highlight w:val="none"/>
                    </w:rPr>
                    <w:t>（t/a）</w:t>
                  </w:r>
                </w:p>
              </w:tc>
            </w:tr>
            <w:tr w14:paraId="659398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6"/>
                  <w:noWrap w:val="0"/>
                  <w:vAlign w:val="center"/>
                </w:tcPr>
                <w:p w14:paraId="0EAC0C86">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Cs w:val="21"/>
                      <w:highlight w:val="none"/>
                    </w:rPr>
                  </w:pPr>
                  <w:r>
                    <w:rPr>
                      <w:rFonts w:hint="eastAsia"/>
                      <w:color w:val="auto"/>
                      <w:szCs w:val="21"/>
                      <w:highlight w:val="none"/>
                    </w:rPr>
                    <w:t>一般排放口</w:t>
                  </w:r>
                </w:p>
              </w:tc>
            </w:tr>
            <w:tr w14:paraId="66689F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noWrap w:val="0"/>
                  <w:vAlign w:val="center"/>
                </w:tcPr>
                <w:p w14:paraId="49FAF206">
                  <w:pPr>
                    <w:pStyle w:val="109"/>
                    <w:keepNext w:val="0"/>
                    <w:keepLines w:val="0"/>
                    <w:pageBreakBefore w:val="0"/>
                    <w:suppressLineNumbers w:val="0"/>
                    <w:wordWrap/>
                    <w:bidi w:val="0"/>
                    <w:spacing w:before="0" w:beforeAutospacing="0" w:after="0" w:afterAutospacing="0" w:line="360" w:lineRule="auto"/>
                    <w:ind w:left="0" w:leftChars="0" w:right="0" w:rightChars="0"/>
                    <w:rPr>
                      <w:rFonts w:hint="eastAsia" w:ascii="Times New Roman" w:hAnsi="Times New Roman" w:eastAsia="宋体" w:cs="Times New Roman"/>
                      <w:color w:val="auto"/>
                      <w:kern w:val="0"/>
                      <w:sz w:val="21"/>
                      <w:szCs w:val="21"/>
                      <w:highlight w:val="none"/>
                      <w:lang w:val="en-US" w:eastAsia="zh-CN" w:bidi="ar-SA"/>
                    </w:rPr>
                  </w:pPr>
                  <w:r>
                    <w:rPr>
                      <w:rFonts w:hint="eastAsia"/>
                      <w:color w:val="auto"/>
                      <w:szCs w:val="21"/>
                      <w:highlight w:val="none"/>
                      <w:lang w:val="en-US" w:eastAsia="zh-CN"/>
                    </w:rPr>
                    <w:t>1</w:t>
                  </w:r>
                </w:p>
              </w:tc>
              <w:tc>
                <w:tcPr>
                  <w:tcW w:w="830" w:type="pct"/>
                  <w:vMerge w:val="restart"/>
                  <w:noWrap w:val="0"/>
                  <w:vAlign w:val="center"/>
                </w:tcPr>
                <w:p w14:paraId="5C5897CD">
                  <w:pPr>
                    <w:pStyle w:val="109"/>
                    <w:keepNext w:val="0"/>
                    <w:keepLines w:val="0"/>
                    <w:pageBreakBefore w:val="0"/>
                    <w:suppressLineNumbers w:val="0"/>
                    <w:wordWrap/>
                    <w:bidi w:val="0"/>
                    <w:spacing w:before="0" w:beforeAutospacing="0" w:after="0" w:afterAutospacing="0" w:line="360" w:lineRule="auto"/>
                    <w:ind w:left="0" w:leftChars="0" w:right="0"/>
                    <w:rPr>
                      <w:rFonts w:hint="default" w:eastAsia="宋体"/>
                      <w:color w:val="auto"/>
                      <w:szCs w:val="21"/>
                      <w:highlight w:val="none"/>
                      <w:lang w:val="en-US" w:eastAsia="zh-CN"/>
                    </w:rPr>
                  </w:pPr>
                  <w:r>
                    <w:rPr>
                      <w:rFonts w:hint="eastAsia"/>
                      <w:color w:val="auto"/>
                      <w:szCs w:val="21"/>
                      <w:highlight w:val="none"/>
                      <w:lang w:val="en-US" w:eastAsia="zh-CN"/>
                    </w:rPr>
                    <w:t>DA001</w:t>
                  </w:r>
                </w:p>
              </w:tc>
              <w:tc>
                <w:tcPr>
                  <w:tcW w:w="828" w:type="pct"/>
                  <w:noWrap w:val="0"/>
                  <w:vAlign w:val="center"/>
                </w:tcPr>
                <w:p w14:paraId="07252437">
                  <w:pPr>
                    <w:pStyle w:val="109"/>
                    <w:keepNext w:val="0"/>
                    <w:keepLines w:val="0"/>
                    <w:pageBreakBefore w:val="0"/>
                    <w:suppressLineNumbers w:val="0"/>
                    <w:wordWrap/>
                    <w:bidi w:val="0"/>
                    <w:spacing w:before="0" w:beforeAutospacing="0" w:after="0" w:afterAutospacing="0" w:line="360" w:lineRule="auto"/>
                    <w:ind w:left="0" w:leftChars="0" w:right="0" w:rightChars="0"/>
                    <w:rPr>
                      <w:rFonts w:hint="eastAsia"/>
                      <w:color w:val="auto"/>
                      <w:szCs w:val="21"/>
                      <w:highlight w:val="none"/>
                      <w:lang w:val="en-US" w:eastAsia="zh-CN"/>
                    </w:rPr>
                  </w:pPr>
                  <w:r>
                    <w:rPr>
                      <w:rFonts w:hint="eastAsia"/>
                      <w:color w:val="auto"/>
                      <w:spacing w:val="-10"/>
                      <w:szCs w:val="21"/>
                      <w:highlight w:val="none"/>
                      <w:lang w:eastAsia="zh-CN"/>
                    </w:rPr>
                    <w:t>颗粒物</w:t>
                  </w:r>
                </w:p>
              </w:tc>
              <w:tc>
                <w:tcPr>
                  <w:tcW w:w="1477" w:type="dxa"/>
                  <w:noWrap w:val="0"/>
                  <w:vAlign w:val="center"/>
                </w:tcPr>
                <w:p w14:paraId="56B5A18E">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0"/>
                      <w:sz w:val="18"/>
                      <w:szCs w:val="18"/>
                      <w:highlight w:val="none"/>
                      <w:lang w:val="en-US" w:eastAsia="zh-CN" w:bidi="ar-SA"/>
                    </w:rPr>
                    <w:t>38</w:t>
                  </w:r>
                </w:p>
              </w:tc>
              <w:tc>
                <w:tcPr>
                  <w:tcW w:w="1530" w:type="dxa"/>
                  <w:noWrap w:val="0"/>
                  <w:vAlign w:val="center"/>
                </w:tcPr>
                <w:p w14:paraId="697FFD0A">
                  <w:pPr>
                    <w:pStyle w:val="109"/>
                    <w:keepNext w:val="0"/>
                    <w:keepLines w:val="0"/>
                    <w:pageBreakBefore w:val="0"/>
                    <w:suppressLineNumbers w:val="0"/>
                    <w:wordWrap/>
                    <w:bidi w:val="0"/>
                    <w:spacing w:before="0" w:beforeAutospacing="0" w:after="0" w:afterAutospacing="0" w:line="360" w:lineRule="auto"/>
                    <w:ind w:left="0" w:leftChars="0" w:right="0" w:rightChars="0"/>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0.22</w:t>
                  </w:r>
                </w:p>
              </w:tc>
              <w:tc>
                <w:tcPr>
                  <w:tcW w:w="1093" w:type="pct"/>
                  <w:noWrap w:val="0"/>
                  <w:vAlign w:val="center"/>
                </w:tcPr>
                <w:p w14:paraId="65A6C83A">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0.066</w:t>
                  </w:r>
                </w:p>
              </w:tc>
            </w:tr>
            <w:tr w14:paraId="42FB31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noWrap w:val="0"/>
                  <w:vAlign w:val="center"/>
                </w:tcPr>
                <w:p w14:paraId="21367C3C">
                  <w:pPr>
                    <w:pStyle w:val="109"/>
                    <w:keepNext w:val="0"/>
                    <w:keepLines w:val="0"/>
                    <w:pageBreakBefore w:val="0"/>
                    <w:suppressLineNumbers w:val="0"/>
                    <w:wordWrap/>
                    <w:bidi w:val="0"/>
                    <w:spacing w:before="0" w:beforeAutospacing="0" w:after="0" w:afterAutospacing="0" w:line="360" w:lineRule="auto"/>
                    <w:ind w:left="0" w:leftChars="0" w:right="0" w:rightChars="0"/>
                    <w:rPr>
                      <w:rFonts w:hint="default" w:ascii="Times New Roman" w:hAnsi="Times New Roman" w:eastAsia="宋体" w:cs="Times New Roman"/>
                      <w:color w:val="auto"/>
                      <w:kern w:val="0"/>
                      <w:sz w:val="21"/>
                      <w:szCs w:val="21"/>
                      <w:highlight w:val="none"/>
                      <w:lang w:val="en-US" w:eastAsia="zh-CN" w:bidi="ar-SA"/>
                    </w:rPr>
                  </w:pPr>
                  <w:r>
                    <w:rPr>
                      <w:rFonts w:hint="eastAsia"/>
                      <w:color w:val="auto"/>
                      <w:szCs w:val="21"/>
                      <w:highlight w:val="none"/>
                    </w:rPr>
                    <w:t>2</w:t>
                  </w:r>
                </w:p>
              </w:tc>
              <w:tc>
                <w:tcPr>
                  <w:tcW w:w="830" w:type="pct"/>
                  <w:vMerge w:val="continue"/>
                  <w:noWrap w:val="0"/>
                  <w:vAlign w:val="center"/>
                </w:tcPr>
                <w:p w14:paraId="00BA5CCA">
                  <w:pPr>
                    <w:pStyle w:val="109"/>
                    <w:keepNext w:val="0"/>
                    <w:keepLines w:val="0"/>
                    <w:pageBreakBefore w:val="0"/>
                    <w:suppressLineNumbers w:val="0"/>
                    <w:wordWrap/>
                    <w:bidi w:val="0"/>
                    <w:spacing w:before="0" w:beforeAutospacing="0" w:after="0" w:afterAutospacing="0" w:line="360" w:lineRule="auto"/>
                    <w:ind w:left="0" w:leftChars="0" w:right="0"/>
                    <w:rPr>
                      <w:rFonts w:hint="default" w:eastAsia="宋体"/>
                      <w:color w:val="auto"/>
                      <w:szCs w:val="21"/>
                      <w:highlight w:val="none"/>
                      <w:lang w:val="en-US" w:eastAsia="zh-CN"/>
                    </w:rPr>
                  </w:pPr>
                </w:p>
              </w:tc>
              <w:tc>
                <w:tcPr>
                  <w:tcW w:w="828" w:type="pct"/>
                  <w:noWrap w:val="0"/>
                  <w:vAlign w:val="center"/>
                </w:tcPr>
                <w:p w14:paraId="5A9021D5">
                  <w:pPr>
                    <w:pStyle w:val="109"/>
                    <w:keepNext w:val="0"/>
                    <w:keepLines w:val="0"/>
                    <w:pageBreakBefore w:val="0"/>
                    <w:suppressLineNumbers w:val="0"/>
                    <w:wordWrap/>
                    <w:bidi w:val="0"/>
                    <w:spacing w:before="0" w:beforeAutospacing="0" w:after="0" w:afterAutospacing="0" w:line="360" w:lineRule="auto"/>
                    <w:ind w:left="0" w:leftChars="0" w:right="0" w:rightChars="0"/>
                    <w:rPr>
                      <w:rFonts w:hint="default" w:eastAsia="宋体"/>
                      <w:color w:val="auto"/>
                      <w:szCs w:val="21"/>
                      <w:highlight w:val="none"/>
                      <w:lang w:val="en-US" w:eastAsia="zh-CN"/>
                    </w:rPr>
                  </w:pPr>
                  <w:r>
                    <w:rPr>
                      <w:rFonts w:hint="default"/>
                      <w:color w:val="auto"/>
                      <w:szCs w:val="21"/>
                      <w:highlight w:val="none"/>
                    </w:rPr>
                    <w:t>SO</w:t>
                  </w:r>
                  <w:r>
                    <w:rPr>
                      <w:rStyle w:val="119"/>
                      <w:color w:val="auto"/>
                      <w:highlight w:val="none"/>
                      <w:vertAlign w:val="subscript"/>
                    </w:rPr>
                    <w:t>2</w:t>
                  </w:r>
                </w:p>
              </w:tc>
              <w:tc>
                <w:tcPr>
                  <w:tcW w:w="1477" w:type="dxa"/>
                  <w:noWrap w:val="0"/>
                  <w:vAlign w:val="center"/>
                </w:tcPr>
                <w:p w14:paraId="6A531F7F">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kern w:val="0"/>
                      <w:sz w:val="18"/>
                      <w:szCs w:val="18"/>
                      <w:highlight w:val="none"/>
                      <w:lang w:val="en-US" w:eastAsia="zh-CN" w:bidi="ar-SA"/>
                    </w:rPr>
                    <w:t>73</w:t>
                  </w:r>
                </w:p>
              </w:tc>
              <w:tc>
                <w:tcPr>
                  <w:tcW w:w="1530" w:type="dxa"/>
                  <w:noWrap w:val="0"/>
                  <w:vAlign w:val="center"/>
                </w:tcPr>
                <w:p w14:paraId="48149C1B">
                  <w:pPr>
                    <w:pStyle w:val="109"/>
                    <w:keepNext w:val="0"/>
                    <w:keepLines w:val="0"/>
                    <w:pageBreakBefore w:val="0"/>
                    <w:suppressLineNumbers w:val="0"/>
                    <w:wordWrap/>
                    <w:bidi w:val="0"/>
                    <w:spacing w:before="0" w:beforeAutospacing="0" w:after="0" w:afterAutospacing="0" w:line="360" w:lineRule="auto"/>
                    <w:ind w:left="0" w:leftChars="0" w:right="0" w:rightChars="0"/>
                    <w:rPr>
                      <w:rFonts w:hint="default" w:ascii="Times New Roman" w:hAnsi="Times New Roman" w:eastAsia="宋体" w:cs="Times New Roman"/>
                      <w:color w:val="auto"/>
                      <w:sz w:val="18"/>
                      <w:szCs w:val="18"/>
                      <w:highlight w:val="none"/>
                      <w:lang w:val="en-US" w:eastAsia="zh-CN"/>
                    </w:rPr>
                  </w:pPr>
                  <w:r>
                    <w:rPr>
                      <w:rFonts w:hint="eastAsia" w:cs="Times New Roman"/>
                      <w:color w:val="auto"/>
                      <w:kern w:val="0"/>
                      <w:sz w:val="18"/>
                      <w:szCs w:val="18"/>
                      <w:highlight w:val="none"/>
                      <w:lang w:val="en-US" w:eastAsia="zh-CN" w:bidi="ar-SA"/>
                    </w:rPr>
                    <w:t>0.42</w:t>
                  </w:r>
                </w:p>
              </w:tc>
              <w:tc>
                <w:tcPr>
                  <w:tcW w:w="1093" w:type="pct"/>
                  <w:noWrap w:val="0"/>
                  <w:vAlign w:val="center"/>
                </w:tcPr>
                <w:p w14:paraId="2D33F7FE">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0.126</w:t>
                  </w:r>
                </w:p>
              </w:tc>
            </w:tr>
            <w:tr w14:paraId="6F58CE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noWrap w:val="0"/>
                  <w:vAlign w:val="center"/>
                </w:tcPr>
                <w:p w14:paraId="6DEB4913">
                  <w:pPr>
                    <w:pStyle w:val="109"/>
                    <w:keepNext w:val="0"/>
                    <w:keepLines w:val="0"/>
                    <w:pageBreakBefore w:val="0"/>
                    <w:suppressLineNumbers w:val="0"/>
                    <w:wordWrap/>
                    <w:bidi w:val="0"/>
                    <w:spacing w:before="0" w:beforeAutospacing="0" w:after="0" w:afterAutospacing="0" w:line="360" w:lineRule="auto"/>
                    <w:ind w:left="0" w:leftChars="0" w:right="0" w:rightChars="0"/>
                    <w:rPr>
                      <w:rFonts w:hint="eastAsia" w:ascii="Times New Roman" w:hAnsi="Times New Roman" w:eastAsia="宋体" w:cs="Times New Roman"/>
                      <w:color w:val="auto"/>
                      <w:kern w:val="0"/>
                      <w:sz w:val="21"/>
                      <w:szCs w:val="21"/>
                      <w:highlight w:val="none"/>
                      <w:lang w:val="en-US" w:eastAsia="zh-CN" w:bidi="ar-SA"/>
                    </w:rPr>
                  </w:pPr>
                  <w:r>
                    <w:rPr>
                      <w:rFonts w:hint="eastAsia"/>
                      <w:color w:val="auto"/>
                      <w:szCs w:val="21"/>
                      <w:highlight w:val="none"/>
                    </w:rPr>
                    <w:t>3</w:t>
                  </w:r>
                </w:p>
              </w:tc>
              <w:tc>
                <w:tcPr>
                  <w:tcW w:w="830" w:type="pct"/>
                  <w:vMerge w:val="continue"/>
                  <w:noWrap w:val="0"/>
                  <w:vAlign w:val="center"/>
                </w:tcPr>
                <w:p w14:paraId="1E77EB60">
                  <w:pPr>
                    <w:pStyle w:val="109"/>
                    <w:keepNext w:val="0"/>
                    <w:keepLines w:val="0"/>
                    <w:pageBreakBefore w:val="0"/>
                    <w:suppressLineNumbers w:val="0"/>
                    <w:wordWrap/>
                    <w:bidi w:val="0"/>
                    <w:spacing w:before="0" w:beforeAutospacing="0" w:after="0" w:afterAutospacing="0" w:line="360" w:lineRule="auto"/>
                    <w:ind w:left="0" w:leftChars="0" w:right="0"/>
                    <w:rPr>
                      <w:rFonts w:hint="default" w:eastAsia="宋体"/>
                      <w:color w:val="auto"/>
                      <w:szCs w:val="21"/>
                      <w:highlight w:val="none"/>
                      <w:lang w:val="en-US" w:eastAsia="zh-CN"/>
                    </w:rPr>
                  </w:pPr>
                </w:p>
              </w:tc>
              <w:tc>
                <w:tcPr>
                  <w:tcW w:w="828" w:type="pct"/>
                  <w:noWrap w:val="0"/>
                  <w:vAlign w:val="center"/>
                </w:tcPr>
                <w:p w14:paraId="67117B65">
                  <w:pPr>
                    <w:pStyle w:val="109"/>
                    <w:keepNext w:val="0"/>
                    <w:keepLines w:val="0"/>
                    <w:pageBreakBefore w:val="0"/>
                    <w:suppressLineNumbers w:val="0"/>
                    <w:wordWrap/>
                    <w:bidi w:val="0"/>
                    <w:spacing w:before="0" w:beforeAutospacing="0" w:after="0" w:afterAutospacing="0" w:line="360" w:lineRule="auto"/>
                    <w:ind w:left="0" w:leftChars="0" w:right="0" w:rightChars="0"/>
                    <w:rPr>
                      <w:rFonts w:hint="eastAsia"/>
                      <w:color w:val="auto"/>
                      <w:szCs w:val="21"/>
                      <w:highlight w:val="none"/>
                      <w:lang w:val="en-US" w:eastAsia="zh-CN"/>
                    </w:rPr>
                  </w:pPr>
                  <w:r>
                    <w:rPr>
                      <w:rFonts w:hint="default"/>
                      <w:color w:val="auto"/>
                      <w:szCs w:val="21"/>
                      <w:highlight w:val="none"/>
                    </w:rPr>
                    <w:t>NO</w:t>
                  </w:r>
                  <w:r>
                    <w:rPr>
                      <w:rStyle w:val="119"/>
                      <w:color w:val="auto"/>
                      <w:highlight w:val="none"/>
                      <w:vertAlign w:val="subscript"/>
                    </w:rPr>
                    <w:t>X</w:t>
                  </w:r>
                </w:p>
              </w:tc>
              <w:tc>
                <w:tcPr>
                  <w:tcW w:w="1477" w:type="dxa"/>
                  <w:noWrap w:val="0"/>
                  <w:vAlign w:val="center"/>
                </w:tcPr>
                <w:p w14:paraId="258F7075">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kern w:val="2"/>
                      <w:sz w:val="18"/>
                      <w:szCs w:val="18"/>
                      <w:highlight w:val="none"/>
                      <w:lang w:val="en-US" w:eastAsia="zh-CN" w:bidi="ar-SA"/>
                    </w:rPr>
                    <w:t>101</w:t>
                  </w:r>
                </w:p>
              </w:tc>
              <w:tc>
                <w:tcPr>
                  <w:tcW w:w="1530" w:type="dxa"/>
                  <w:noWrap w:val="0"/>
                  <w:vAlign w:val="center"/>
                </w:tcPr>
                <w:p w14:paraId="1C71DEDA">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sz w:val="18"/>
                      <w:szCs w:val="18"/>
                      <w:highlight w:val="none"/>
                      <w:lang w:val="en-US" w:eastAsia="zh-CN"/>
                    </w:rPr>
                  </w:pPr>
                  <w:r>
                    <w:rPr>
                      <w:rFonts w:hint="eastAsia"/>
                      <w:color w:val="auto"/>
                      <w:sz w:val="18"/>
                      <w:szCs w:val="18"/>
                      <w:highlight w:val="none"/>
                      <w:lang w:val="en-US" w:eastAsia="zh-CN"/>
                    </w:rPr>
                    <w:t>0.577</w:t>
                  </w:r>
                </w:p>
              </w:tc>
              <w:tc>
                <w:tcPr>
                  <w:tcW w:w="1093" w:type="pct"/>
                  <w:noWrap w:val="0"/>
                  <w:vAlign w:val="center"/>
                </w:tcPr>
                <w:p w14:paraId="406F1DAD">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0.173</w:t>
                  </w:r>
                </w:p>
              </w:tc>
            </w:tr>
            <w:tr w14:paraId="47E729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5" w:type="pct"/>
                  <w:gridSpan w:val="2"/>
                  <w:vMerge w:val="restart"/>
                  <w:noWrap w:val="0"/>
                  <w:vAlign w:val="center"/>
                </w:tcPr>
                <w:p w14:paraId="01C64640">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Cs w:val="21"/>
                      <w:highlight w:val="none"/>
                    </w:rPr>
                  </w:pPr>
                  <w:r>
                    <w:rPr>
                      <w:rFonts w:hint="default"/>
                      <w:color w:val="auto"/>
                      <w:szCs w:val="21"/>
                      <w:highlight w:val="none"/>
                    </w:rPr>
                    <w:t>有组织排放总计</w:t>
                  </w:r>
                </w:p>
              </w:tc>
              <w:tc>
                <w:tcPr>
                  <w:tcW w:w="828" w:type="pct"/>
                  <w:noWrap w:val="0"/>
                  <w:vAlign w:val="center"/>
                </w:tcPr>
                <w:p w14:paraId="36020876">
                  <w:pPr>
                    <w:pStyle w:val="109"/>
                    <w:keepNext w:val="0"/>
                    <w:keepLines w:val="0"/>
                    <w:pageBreakBefore w:val="0"/>
                    <w:suppressLineNumbers w:val="0"/>
                    <w:wordWrap/>
                    <w:bidi w:val="0"/>
                    <w:spacing w:before="0" w:beforeAutospacing="0" w:after="0" w:afterAutospacing="0" w:line="360" w:lineRule="auto"/>
                    <w:ind w:left="0" w:leftChars="0" w:right="0"/>
                    <w:rPr>
                      <w:rFonts w:hint="eastAsia" w:eastAsia="宋体"/>
                      <w:color w:val="auto"/>
                      <w:szCs w:val="21"/>
                      <w:highlight w:val="none"/>
                      <w:lang w:eastAsia="zh-CN"/>
                    </w:rPr>
                  </w:pPr>
                  <w:r>
                    <w:rPr>
                      <w:rFonts w:hint="eastAsia"/>
                      <w:color w:val="auto"/>
                      <w:szCs w:val="21"/>
                      <w:highlight w:val="none"/>
                      <w:lang w:eastAsia="zh-CN"/>
                    </w:rPr>
                    <w:t>颗粒物</w:t>
                  </w:r>
                </w:p>
              </w:tc>
              <w:tc>
                <w:tcPr>
                  <w:tcW w:w="1831" w:type="pct"/>
                  <w:gridSpan w:val="2"/>
                  <w:noWrap w:val="0"/>
                  <w:vAlign w:val="center"/>
                </w:tcPr>
                <w:p w14:paraId="661E9567">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rPr>
                  </w:pPr>
                  <w:r>
                    <w:rPr>
                      <w:rFonts w:hint="eastAsia"/>
                      <w:color w:val="auto"/>
                      <w:sz w:val="18"/>
                      <w:szCs w:val="18"/>
                      <w:highlight w:val="none"/>
                    </w:rPr>
                    <w:t>/</w:t>
                  </w:r>
                </w:p>
              </w:tc>
              <w:tc>
                <w:tcPr>
                  <w:tcW w:w="1795" w:type="dxa"/>
                  <w:noWrap w:val="0"/>
                  <w:vAlign w:val="center"/>
                </w:tcPr>
                <w:p w14:paraId="2B8BF6F3">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0.066</w:t>
                  </w:r>
                </w:p>
              </w:tc>
            </w:tr>
            <w:tr w14:paraId="283E03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5" w:type="pct"/>
                  <w:gridSpan w:val="2"/>
                  <w:vMerge w:val="continue"/>
                  <w:noWrap w:val="0"/>
                  <w:vAlign w:val="center"/>
                </w:tcPr>
                <w:p w14:paraId="067B504E">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Cs w:val="21"/>
                      <w:highlight w:val="none"/>
                    </w:rPr>
                  </w:pPr>
                </w:p>
              </w:tc>
              <w:tc>
                <w:tcPr>
                  <w:tcW w:w="828" w:type="pct"/>
                  <w:noWrap w:val="0"/>
                  <w:vAlign w:val="center"/>
                </w:tcPr>
                <w:p w14:paraId="3A58DB1D">
                  <w:pPr>
                    <w:pStyle w:val="109"/>
                    <w:keepNext w:val="0"/>
                    <w:keepLines w:val="0"/>
                    <w:pageBreakBefore w:val="0"/>
                    <w:suppressLineNumbers w:val="0"/>
                    <w:wordWrap/>
                    <w:bidi w:val="0"/>
                    <w:spacing w:before="0" w:beforeAutospacing="0" w:after="0" w:afterAutospacing="0" w:line="360" w:lineRule="auto"/>
                    <w:ind w:left="0" w:leftChars="0" w:right="0" w:rightChars="0"/>
                    <w:rPr>
                      <w:rFonts w:hint="default" w:ascii="Times New Roman" w:hAnsi="Times New Roman" w:eastAsia="宋体" w:cs="Times New Roman"/>
                      <w:color w:val="auto"/>
                      <w:kern w:val="0"/>
                      <w:sz w:val="21"/>
                      <w:szCs w:val="21"/>
                      <w:highlight w:val="none"/>
                      <w:lang w:val="en-US" w:eastAsia="zh-CN" w:bidi="ar-SA"/>
                    </w:rPr>
                  </w:pPr>
                  <w:r>
                    <w:rPr>
                      <w:rFonts w:hint="default"/>
                      <w:color w:val="auto"/>
                      <w:szCs w:val="21"/>
                      <w:highlight w:val="none"/>
                    </w:rPr>
                    <w:t>SO</w:t>
                  </w:r>
                  <w:r>
                    <w:rPr>
                      <w:rStyle w:val="119"/>
                      <w:color w:val="auto"/>
                      <w:highlight w:val="none"/>
                      <w:vertAlign w:val="subscript"/>
                    </w:rPr>
                    <w:t>2</w:t>
                  </w:r>
                </w:p>
              </w:tc>
              <w:tc>
                <w:tcPr>
                  <w:tcW w:w="1831" w:type="pct"/>
                  <w:gridSpan w:val="2"/>
                  <w:noWrap w:val="0"/>
                  <w:vAlign w:val="center"/>
                </w:tcPr>
                <w:p w14:paraId="1DD55B88">
                  <w:pPr>
                    <w:pStyle w:val="109"/>
                    <w:keepNext w:val="0"/>
                    <w:keepLines w:val="0"/>
                    <w:pageBreakBefore w:val="0"/>
                    <w:suppressLineNumbers w:val="0"/>
                    <w:wordWrap/>
                    <w:bidi w:val="0"/>
                    <w:spacing w:before="0" w:beforeAutospacing="0" w:after="0" w:afterAutospacing="0" w:line="360" w:lineRule="auto"/>
                    <w:ind w:left="0" w:leftChars="0" w:right="0" w:rightChars="0"/>
                    <w:rPr>
                      <w:rFonts w:hint="eastAsia" w:ascii="Times New Roman" w:hAnsi="Times New Roman" w:eastAsia="宋体" w:cs="Times New Roman"/>
                      <w:color w:val="auto"/>
                      <w:kern w:val="0"/>
                      <w:sz w:val="18"/>
                      <w:szCs w:val="18"/>
                      <w:highlight w:val="none"/>
                      <w:lang w:val="en-US" w:eastAsia="zh-CN" w:bidi="ar-SA"/>
                    </w:rPr>
                  </w:pPr>
                  <w:r>
                    <w:rPr>
                      <w:rFonts w:hint="eastAsia"/>
                      <w:color w:val="auto"/>
                      <w:sz w:val="18"/>
                      <w:szCs w:val="18"/>
                      <w:highlight w:val="none"/>
                    </w:rPr>
                    <w:t>/</w:t>
                  </w:r>
                </w:p>
              </w:tc>
              <w:tc>
                <w:tcPr>
                  <w:tcW w:w="1795" w:type="dxa"/>
                  <w:noWrap w:val="0"/>
                  <w:vAlign w:val="center"/>
                </w:tcPr>
                <w:p w14:paraId="76AFD3FB">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0.126</w:t>
                  </w:r>
                </w:p>
              </w:tc>
            </w:tr>
            <w:tr w14:paraId="77CAE0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5" w:type="pct"/>
                  <w:gridSpan w:val="2"/>
                  <w:vMerge w:val="continue"/>
                  <w:noWrap w:val="0"/>
                  <w:vAlign w:val="center"/>
                </w:tcPr>
                <w:p w14:paraId="76FFC43D">
                  <w:pPr>
                    <w:pStyle w:val="109"/>
                    <w:keepNext w:val="0"/>
                    <w:keepLines w:val="0"/>
                    <w:pageBreakBefore w:val="0"/>
                    <w:suppressLineNumbers w:val="0"/>
                    <w:wordWrap/>
                    <w:bidi w:val="0"/>
                    <w:spacing w:before="0" w:beforeAutospacing="0" w:after="0" w:afterAutospacing="0" w:line="360" w:lineRule="auto"/>
                    <w:ind w:left="0" w:leftChars="0" w:right="0"/>
                    <w:rPr>
                      <w:rFonts w:hint="default"/>
                      <w:color w:val="auto"/>
                      <w:szCs w:val="21"/>
                      <w:highlight w:val="none"/>
                    </w:rPr>
                  </w:pPr>
                </w:p>
              </w:tc>
              <w:tc>
                <w:tcPr>
                  <w:tcW w:w="828" w:type="pct"/>
                  <w:noWrap w:val="0"/>
                  <w:vAlign w:val="center"/>
                </w:tcPr>
                <w:p w14:paraId="6AA3CC84">
                  <w:pPr>
                    <w:pStyle w:val="109"/>
                    <w:keepNext w:val="0"/>
                    <w:keepLines w:val="0"/>
                    <w:pageBreakBefore w:val="0"/>
                    <w:suppressLineNumbers w:val="0"/>
                    <w:wordWrap/>
                    <w:bidi w:val="0"/>
                    <w:spacing w:before="0" w:beforeAutospacing="0" w:after="0" w:afterAutospacing="0" w:line="360" w:lineRule="auto"/>
                    <w:ind w:left="0" w:leftChars="0" w:right="0" w:rightChars="0"/>
                    <w:rPr>
                      <w:rFonts w:hint="default" w:ascii="Times New Roman" w:hAnsi="Times New Roman" w:eastAsia="宋体" w:cs="Times New Roman"/>
                      <w:color w:val="auto"/>
                      <w:kern w:val="0"/>
                      <w:sz w:val="21"/>
                      <w:szCs w:val="21"/>
                      <w:highlight w:val="none"/>
                      <w:lang w:val="en-US" w:eastAsia="zh-CN" w:bidi="ar-SA"/>
                    </w:rPr>
                  </w:pPr>
                  <w:r>
                    <w:rPr>
                      <w:rFonts w:hint="default"/>
                      <w:color w:val="auto"/>
                      <w:szCs w:val="21"/>
                      <w:highlight w:val="none"/>
                    </w:rPr>
                    <w:t>NO</w:t>
                  </w:r>
                  <w:r>
                    <w:rPr>
                      <w:rStyle w:val="119"/>
                      <w:color w:val="auto"/>
                      <w:highlight w:val="none"/>
                      <w:vertAlign w:val="subscript"/>
                    </w:rPr>
                    <w:t>X</w:t>
                  </w:r>
                </w:p>
              </w:tc>
              <w:tc>
                <w:tcPr>
                  <w:tcW w:w="1831" w:type="pct"/>
                  <w:gridSpan w:val="2"/>
                  <w:noWrap w:val="0"/>
                  <w:vAlign w:val="center"/>
                </w:tcPr>
                <w:p w14:paraId="243546B2">
                  <w:pPr>
                    <w:pStyle w:val="109"/>
                    <w:keepNext w:val="0"/>
                    <w:keepLines w:val="0"/>
                    <w:pageBreakBefore w:val="0"/>
                    <w:suppressLineNumbers w:val="0"/>
                    <w:wordWrap/>
                    <w:bidi w:val="0"/>
                    <w:spacing w:before="0" w:beforeAutospacing="0" w:after="0" w:afterAutospacing="0" w:line="360" w:lineRule="auto"/>
                    <w:ind w:left="0" w:leftChars="0" w:right="0" w:rightChars="0"/>
                    <w:rPr>
                      <w:rFonts w:hint="eastAsia" w:ascii="Times New Roman" w:hAnsi="Times New Roman" w:eastAsia="宋体" w:cs="Times New Roman"/>
                      <w:color w:val="auto"/>
                      <w:kern w:val="0"/>
                      <w:sz w:val="18"/>
                      <w:szCs w:val="18"/>
                      <w:highlight w:val="none"/>
                      <w:lang w:val="en-US" w:eastAsia="zh-CN" w:bidi="ar-SA"/>
                    </w:rPr>
                  </w:pPr>
                  <w:r>
                    <w:rPr>
                      <w:rFonts w:hint="eastAsia"/>
                      <w:color w:val="auto"/>
                      <w:sz w:val="18"/>
                      <w:szCs w:val="18"/>
                      <w:highlight w:val="none"/>
                    </w:rPr>
                    <w:t>/</w:t>
                  </w:r>
                </w:p>
              </w:tc>
              <w:tc>
                <w:tcPr>
                  <w:tcW w:w="1795" w:type="dxa"/>
                  <w:noWrap w:val="0"/>
                  <w:vAlign w:val="center"/>
                </w:tcPr>
                <w:p w14:paraId="6F971CBF">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0.173</w:t>
                  </w:r>
                </w:p>
              </w:tc>
            </w:tr>
          </w:tbl>
          <w:p w14:paraId="35FF123D">
            <w:pPr>
              <w:pStyle w:val="111"/>
              <w:keepNext w:val="0"/>
              <w:keepLines w:val="0"/>
              <w:pageBreakBefore w:val="0"/>
              <w:suppressLineNumbers w:val="0"/>
              <w:wordWrap/>
              <w:bidi w:val="0"/>
              <w:spacing w:before="0" w:beforeAutospacing="0" w:after="0" w:afterAutospacing="0" w:line="240" w:lineRule="auto"/>
              <w:ind w:left="0" w:leftChars="0" w:right="0"/>
              <w:rPr>
                <w:rFonts w:hint="eastAsia" w:ascii="Times New Roman" w:hAnsi="Times New Roman" w:cs="Times New Roman" w:eastAsiaTheme="minorEastAsia"/>
                <w:b/>
                <w:bCs/>
                <w:color w:val="auto"/>
                <w:kern w:val="2"/>
                <w:sz w:val="21"/>
                <w:szCs w:val="24"/>
                <w:highlight w:val="none"/>
                <w:lang w:val="en-US" w:eastAsia="zh-CN" w:bidi="ar-SA"/>
              </w:rPr>
            </w:pPr>
            <w:r>
              <w:rPr>
                <w:rFonts w:hint="eastAsia" w:ascii="Times New Roman" w:hAnsi="Times New Roman" w:cs="Times New Roman" w:eastAsiaTheme="minorEastAsia"/>
                <w:b/>
                <w:bCs/>
                <w:color w:val="auto"/>
                <w:kern w:val="2"/>
                <w:sz w:val="21"/>
                <w:szCs w:val="24"/>
                <w:highlight w:val="none"/>
                <w:lang w:val="en-US" w:eastAsia="zh-CN" w:bidi="ar-SA"/>
              </w:rPr>
              <w:t>表4-</w:t>
            </w:r>
            <w:r>
              <w:rPr>
                <w:rFonts w:hint="eastAsia" w:ascii="Times New Roman" w:cs="Times New Roman" w:eastAsiaTheme="minorEastAsia"/>
                <w:b/>
                <w:bCs/>
                <w:color w:val="auto"/>
                <w:kern w:val="2"/>
                <w:sz w:val="21"/>
                <w:szCs w:val="24"/>
                <w:highlight w:val="none"/>
                <w:lang w:val="en-US" w:eastAsia="zh-CN" w:bidi="ar-SA"/>
              </w:rPr>
              <w:t>3</w:t>
            </w:r>
            <w:r>
              <w:rPr>
                <w:rFonts w:hint="eastAsia" w:ascii="Times New Roman" w:hAnsi="Times New Roman" w:cs="Times New Roman" w:eastAsiaTheme="minorEastAsia"/>
                <w:b/>
                <w:bCs/>
                <w:color w:val="auto"/>
                <w:kern w:val="2"/>
                <w:sz w:val="21"/>
                <w:szCs w:val="24"/>
                <w:highlight w:val="none"/>
                <w:lang w:val="en-US" w:eastAsia="zh-CN" w:bidi="ar-SA"/>
              </w:rPr>
              <w:t xml:space="preserve">  大气污染物年排放量核算表</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3"/>
              <w:gridCol w:w="2581"/>
              <w:gridCol w:w="4297"/>
            </w:tblGrid>
            <w:tr w14:paraId="68EF71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1" w:type="pct"/>
                  <w:noWrap w:val="0"/>
                  <w:vAlign w:val="center"/>
                </w:tcPr>
                <w:p w14:paraId="0FB9EA9C">
                  <w:pPr>
                    <w:pStyle w:val="109"/>
                    <w:keepNext w:val="0"/>
                    <w:keepLines w:val="0"/>
                    <w:pageBreakBefore w:val="0"/>
                    <w:suppressLineNumbers w:val="0"/>
                    <w:wordWrap/>
                    <w:bidi w:val="0"/>
                    <w:spacing w:before="0" w:beforeAutospacing="0" w:after="0" w:afterAutospacing="0" w:line="240" w:lineRule="auto"/>
                    <w:ind w:left="0" w:leftChars="0" w:right="0"/>
                    <w:jc w:val="center"/>
                    <w:rPr>
                      <w:rFonts w:hint="default"/>
                      <w:color w:val="auto"/>
                      <w:szCs w:val="21"/>
                      <w:highlight w:val="none"/>
                    </w:rPr>
                  </w:pPr>
                  <w:r>
                    <w:rPr>
                      <w:rFonts w:hint="default"/>
                      <w:color w:val="auto"/>
                      <w:szCs w:val="21"/>
                      <w:highlight w:val="none"/>
                    </w:rPr>
                    <w:t>序号</w:t>
                  </w:r>
                </w:p>
              </w:tc>
              <w:tc>
                <w:tcPr>
                  <w:tcW w:w="1579" w:type="pct"/>
                  <w:noWrap w:val="0"/>
                  <w:vAlign w:val="center"/>
                </w:tcPr>
                <w:p w14:paraId="78858506">
                  <w:pPr>
                    <w:pStyle w:val="109"/>
                    <w:keepNext w:val="0"/>
                    <w:keepLines w:val="0"/>
                    <w:pageBreakBefore w:val="0"/>
                    <w:suppressLineNumbers w:val="0"/>
                    <w:wordWrap/>
                    <w:bidi w:val="0"/>
                    <w:spacing w:before="0" w:beforeAutospacing="0" w:after="0" w:afterAutospacing="0" w:line="240" w:lineRule="auto"/>
                    <w:ind w:left="0" w:leftChars="0" w:right="0"/>
                    <w:jc w:val="center"/>
                    <w:rPr>
                      <w:rFonts w:hint="default"/>
                      <w:color w:val="auto"/>
                      <w:szCs w:val="21"/>
                      <w:highlight w:val="none"/>
                    </w:rPr>
                  </w:pPr>
                  <w:r>
                    <w:rPr>
                      <w:rFonts w:hint="default"/>
                      <w:color w:val="auto"/>
                      <w:szCs w:val="21"/>
                      <w:highlight w:val="none"/>
                    </w:rPr>
                    <w:t>污染物</w:t>
                  </w:r>
                </w:p>
              </w:tc>
              <w:tc>
                <w:tcPr>
                  <w:tcW w:w="2628" w:type="pct"/>
                  <w:noWrap w:val="0"/>
                  <w:vAlign w:val="center"/>
                </w:tcPr>
                <w:p w14:paraId="1D53EC39">
                  <w:pPr>
                    <w:pStyle w:val="109"/>
                    <w:keepNext w:val="0"/>
                    <w:keepLines w:val="0"/>
                    <w:pageBreakBefore w:val="0"/>
                    <w:suppressLineNumbers w:val="0"/>
                    <w:wordWrap/>
                    <w:bidi w:val="0"/>
                    <w:spacing w:before="0" w:beforeAutospacing="0" w:after="0" w:afterAutospacing="0" w:line="240" w:lineRule="auto"/>
                    <w:ind w:left="0" w:leftChars="0" w:right="0"/>
                    <w:jc w:val="center"/>
                    <w:rPr>
                      <w:rFonts w:hint="default"/>
                      <w:color w:val="auto"/>
                      <w:szCs w:val="21"/>
                      <w:highlight w:val="none"/>
                    </w:rPr>
                  </w:pPr>
                  <w:r>
                    <w:rPr>
                      <w:rFonts w:hint="default"/>
                      <w:color w:val="auto"/>
                      <w:szCs w:val="21"/>
                      <w:highlight w:val="none"/>
                    </w:rPr>
                    <w:t>核算年排放量（t/a）</w:t>
                  </w:r>
                </w:p>
              </w:tc>
            </w:tr>
            <w:tr w14:paraId="7A80AF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791" w:type="pct"/>
                  <w:noWrap w:val="0"/>
                  <w:vAlign w:val="center"/>
                </w:tcPr>
                <w:p w14:paraId="43518CF9">
                  <w:pPr>
                    <w:pStyle w:val="109"/>
                    <w:keepNext w:val="0"/>
                    <w:keepLines w:val="0"/>
                    <w:pageBreakBefore w:val="0"/>
                    <w:suppressLineNumbers w:val="0"/>
                    <w:wordWrap/>
                    <w:bidi w:val="0"/>
                    <w:spacing w:before="0" w:beforeAutospacing="0" w:after="0" w:afterAutospacing="0" w:line="240" w:lineRule="auto"/>
                    <w:ind w:left="0" w:leftChars="0" w:right="0"/>
                    <w:jc w:val="center"/>
                    <w:rPr>
                      <w:rFonts w:hint="default"/>
                      <w:color w:val="auto"/>
                      <w:szCs w:val="21"/>
                      <w:highlight w:val="none"/>
                    </w:rPr>
                  </w:pPr>
                  <w:r>
                    <w:rPr>
                      <w:rFonts w:hint="default"/>
                      <w:color w:val="auto"/>
                      <w:szCs w:val="21"/>
                      <w:highlight w:val="none"/>
                    </w:rPr>
                    <w:t>1</w:t>
                  </w:r>
                </w:p>
              </w:tc>
              <w:tc>
                <w:tcPr>
                  <w:tcW w:w="1579" w:type="pct"/>
                  <w:noWrap w:val="0"/>
                  <w:vAlign w:val="center"/>
                </w:tcPr>
                <w:p w14:paraId="71BB375A">
                  <w:pPr>
                    <w:pStyle w:val="109"/>
                    <w:keepNext w:val="0"/>
                    <w:keepLines w:val="0"/>
                    <w:pageBreakBefore w:val="0"/>
                    <w:suppressLineNumbers w:val="0"/>
                    <w:wordWrap/>
                    <w:bidi w:val="0"/>
                    <w:spacing w:before="0" w:beforeAutospacing="0" w:after="0" w:afterAutospacing="0" w:line="240" w:lineRule="auto"/>
                    <w:ind w:left="0" w:leftChars="0" w:right="0"/>
                    <w:jc w:val="center"/>
                    <w:rPr>
                      <w:rFonts w:hint="eastAsia" w:eastAsia="宋体"/>
                      <w:color w:val="auto"/>
                      <w:szCs w:val="21"/>
                      <w:highlight w:val="none"/>
                      <w:lang w:eastAsia="zh-CN"/>
                    </w:rPr>
                  </w:pPr>
                  <w:r>
                    <w:rPr>
                      <w:rFonts w:hint="eastAsia"/>
                      <w:color w:val="auto"/>
                      <w:szCs w:val="21"/>
                      <w:highlight w:val="none"/>
                      <w:lang w:eastAsia="zh-CN"/>
                    </w:rPr>
                    <w:t>颗粒物</w:t>
                  </w:r>
                </w:p>
              </w:tc>
              <w:tc>
                <w:tcPr>
                  <w:tcW w:w="4313" w:type="dxa"/>
                  <w:noWrap w:val="0"/>
                  <w:vAlign w:val="center"/>
                </w:tcPr>
                <w:p w14:paraId="1733D70E">
                  <w:pPr>
                    <w:pStyle w:val="109"/>
                    <w:keepNext w:val="0"/>
                    <w:keepLines w:val="0"/>
                    <w:pageBreakBefore w:val="0"/>
                    <w:suppressLineNumbers w:val="0"/>
                    <w:wordWrap/>
                    <w:bidi w:val="0"/>
                    <w:spacing w:before="0" w:beforeAutospacing="0" w:after="0" w:afterAutospacing="0" w:line="240" w:lineRule="auto"/>
                    <w:ind w:left="0" w:leftChars="0" w:right="0" w:rightChars="0"/>
                    <w:jc w:val="center"/>
                    <w:rPr>
                      <w:rFonts w:hint="default"/>
                      <w:color w:val="auto"/>
                      <w:szCs w:val="21"/>
                      <w:highlight w:val="none"/>
                      <w:lang w:val="en-US" w:eastAsia="zh-CN"/>
                    </w:rPr>
                  </w:pPr>
                  <w:r>
                    <w:rPr>
                      <w:rFonts w:hint="eastAsia"/>
                      <w:color w:val="auto"/>
                      <w:szCs w:val="21"/>
                      <w:highlight w:val="none"/>
                      <w:lang w:val="en-US" w:eastAsia="zh-CN"/>
                    </w:rPr>
                    <w:t>0.066</w:t>
                  </w:r>
                </w:p>
              </w:tc>
            </w:tr>
            <w:tr w14:paraId="5ECA1A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1" w:type="pct"/>
                  <w:noWrap w:val="0"/>
                  <w:vAlign w:val="center"/>
                </w:tcPr>
                <w:p w14:paraId="15FE0047">
                  <w:pPr>
                    <w:pStyle w:val="109"/>
                    <w:keepNext w:val="0"/>
                    <w:keepLines w:val="0"/>
                    <w:pageBreakBefore w:val="0"/>
                    <w:suppressLineNumbers w:val="0"/>
                    <w:wordWrap/>
                    <w:bidi w:val="0"/>
                    <w:spacing w:before="0" w:beforeAutospacing="0" w:after="0" w:afterAutospacing="0" w:line="240" w:lineRule="auto"/>
                    <w:ind w:left="0" w:leftChars="0" w:right="0"/>
                    <w:jc w:val="center"/>
                    <w:rPr>
                      <w:rFonts w:hint="default"/>
                      <w:color w:val="auto"/>
                      <w:szCs w:val="21"/>
                      <w:highlight w:val="none"/>
                    </w:rPr>
                  </w:pPr>
                  <w:r>
                    <w:rPr>
                      <w:rFonts w:hint="eastAsia"/>
                      <w:color w:val="auto"/>
                      <w:szCs w:val="21"/>
                      <w:highlight w:val="none"/>
                    </w:rPr>
                    <w:t>2</w:t>
                  </w:r>
                </w:p>
              </w:tc>
              <w:tc>
                <w:tcPr>
                  <w:tcW w:w="1579" w:type="pct"/>
                  <w:noWrap w:val="0"/>
                  <w:vAlign w:val="center"/>
                </w:tcPr>
                <w:p w14:paraId="52E042A5">
                  <w:pPr>
                    <w:pStyle w:val="109"/>
                    <w:keepNext w:val="0"/>
                    <w:keepLines w:val="0"/>
                    <w:pageBreakBefore w:val="0"/>
                    <w:suppressLineNumbers w:val="0"/>
                    <w:wordWrap/>
                    <w:bidi w:val="0"/>
                    <w:spacing w:before="0" w:beforeAutospacing="0" w:after="0" w:afterAutospacing="0" w:line="240" w:lineRule="auto"/>
                    <w:ind w:left="0" w:leftChars="0" w:right="0" w:rightChars="0"/>
                    <w:jc w:val="center"/>
                    <w:rPr>
                      <w:rFonts w:hint="default"/>
                      <w:color w:val="auto"/>
                      <w:szCs w:val="21"/>
                      <w:highlight w:val="none"/>
                    </w:rPr>
                  </w:pPr>
                  <w:r>
                    <w:rPr>
                      <w:rFonts w:hint="default"/>
                      <w:color w:val="auto"/>
                      <w:szCs w:val="21"/>
                      <w:highlight w:val="none"/>
                    </w:rPr>
                    <w:t>SO</w:t>
                  </w:r>
                  <w:r>
                    <w:rPr>
                      <w:rStyle w:val="119"/>
                      <w:color w:val="auto"/>
                      <w:highlight w:val="none"/>
                      <w:vertAlign w:val="subscript"/>
                    </w:rPr>
                    <w:t>2</w:t>
                  </w:r>
                </w:p>
              </w:tc>
              <w:tc>
                <w:tcPr>
                  <w:tcW w:w="4313" w:type="dxa"/>
                  <w:noWrap w:val="0"/>
                  <w:vAlign w:val="center"/>
                </w:tcPr>
                <w:p w14:paraId="4C0B3F01">
                  <w:pPr>
                    <w:pStyle w:val="109"/>
                    <w:keepNext w:val="0"/>
                    <w:keepLines w:val="0"/>
                    <w:pageBreakBefore w:val="0"/>
                    <w:suppressLineNumbers w:val="0"/>
                    <w:wordWrap/>
                    <w:bidi w:val="0"/>
                    <w:spacing w:before="0" w:beforeAutospacing="0" w:after="0" w:afterAutospacing="0" w:line="240" w:lineRule="auto"/>
                    <w:ind w:left="0" w:leftChars="0" w:right="0" w:rightChars="0"/>
                    <w:jc w:val="center"/>
                    <w:rPr>
                      <w:rFonts w:hint="default"/>
                      <w:color w:val="auto"/>
                      <w:szCs w:val="21"/>
                      <w:highlight w:val="none"/>
                      <w:lang w:val="en-US" w:eastAsia="zh-CN"/>
                    </w:rPr>
                  </w:pPr>
                  <w:r>
                    <w:rPr>
                      <w:rFonts w:hint="eastAsia"/>
                      <w:color w:val="auto"/>
                      <w:szCs w:val="21"/>
                      <w:highlight w:val="none"/>
                      <w:lang w:val="en-US" w:eastAsia="zh-CN"/>
                    </w:rPr>
                    <w:t>0.126</w:t>
                  </w:r>
                </w:p>
              </w:tc>
            </w:tr>
            <w:tr w14:paraId="28BDE2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1" w:type="pct"/>
                  <w:noWrap w:val="0"/>
                  <w:vAlign w:val="center"/>
                </w:tcPr>
                <w:p w14:paraId="438781F3">
                  <w:pPr>
                    <w:pStyle w:val="109"/>
                    <w:keepNext w:val="0"/>
                    <w:keepLines w:val="0"/>
                    <w:pageBreakBefore w:val="0"/>
                    <w:suppressLineNumbers w:val="0"/>
                    <w:wordWrap/>
                    <w:bidi w:val="0"/>
                    <w:spacing w:before="0" w:beforeAutospacing="0" w:after="0" w:afterAutospacing="0" w:line="240" w:lineRule="auto"/>
                    <w:ind w:left="0" w:leftChars="0" w:right="0"/>
                    <w:jc w:val="center"/>
                    <w:rPr>
                      <w:rFonts w:hint="default"/>
                      <w:color w:val="auto"/>
                      <w:szCs w:val="21"/>
                      <w:highlight w:val="none"/>
                    </w:rPr>
                  </w:pPr>
                  <w:r>
                    <w:rPr>
                      <w:rFonts w:hint="default"/>
                      <w:color w:val="auto"/>
                      <w:szCs w:val="21"/>
                      <w:highlight w:val="none"/>
                    </w:rPr>
                    <w:t>3</w:t>
                  </w:r>
                </w:p>
              </w:tc>
              <w:tc>
                <w:tcPr>
                  <w:tcW w:w="1579" w:type="pct"/>
                  <w:noWrap w:val="0"/>
                  <w:vAlign w:val="center"/>
                </w:tcPr>
                <w:p w14:paraId="404D6FF6">
                  <w:pPr>
                    <w:pStyle w:val="109"/>
                    <w:keepNext w:val="0"/>
                    <w:keepLines w:val="0"/>
                    <w:pageBreakBefore w:val="0"/>
                    <w:suppressLineNumbers w:val="0"/>
                    <w:wordWrap/>
                    <w:bidi w:val="0"/>
                    <w:spacing w:before="0" w:beforeAutospacing="0" w:after="0" w:afterAutospacing="0" w:line="240" w:lineRule="auto"/>
                    <w:ind w:left="0" w:leftChars="0" w:right="0" w:rightChars="0"/>
                    <w:jc w:val="center"/>
                    <w:rPr>
                      <w:rFonts w:hint="default"/>
                      <w:color w:val="auto"/>
                      <w:szCs w:val="21"/>
                      <w:highlight w:val="none"/>
                    </w:rPr>
                  </w:pPr>
                  <w:r>
                    <w:rPr>
                      <w:rFonts w:hint="default"/>
                      <w:color w:val="auto"/>
                      <w:szCs w:val="21"/>
                      <w:highlight w:val="none"/>
                    </w:rPr>
                    <w:t>NO</w:t>
                  </w:r>
                  <w:r>
                    <w:rPr>
                      <w:rStyle w:val="119"/>
                      <w:color w:val="auto"/>
                      <w:highlight w:val="none"/>
                      <w:vertAlign w:val="subscript"/>
                    </w:rPr>
                    <w:t>X</w:t>
                  </w:r>
                </w:p>
              </w:tc>
              <w:tc>
                <w:tcPr>
                  <w:tcW w:w="4313" w:type="dxa"/>
                  <w:noWrap w:val="0"/>
                  <w:vAlign w:val="center"/>
                </w:tcPr>
                <w:p w14:paraId="6ACFB25C">
                  <w:pPr>
                    <w:pStyle w:val="109"/>
                    <w:keepNext w:val="0"/>
                    <w:keepLines w:val="0"/>
                    <w:pageBreakBefore w:val="0"/>
                    <w:suppressLineNumbers w:val="0"/>
                    <w:wordWrap/>
                    <w:bidi w:val="0"/>
                    <w:spacing w:before="0" w:beforeAutospacing="0" w:after="0" w:afterAutospacing="0" w:line="240" w:lineRule="auto"/>
                    <w:ind w:left="0" w:leftChars="0" w:right="0" w:rightChars="0"/>
                    <w:jc w:val="center"/>
                    <w:rPr>
                      <w:rFonts w:hint="default"/>
                      <w:color w:val="auto"/>
                      <w:szCs w:val="21"/>
                      <w:highlight w:val="none"/>
                      <w:lang w:val="en-US" w:eastAsia="zh-CN"/>
                    </w:rPr>
                  </w:pPr>
                  <w:r>
                    <w:rPr>
                      <w:rFonts w:hint="eastAsia"/>
                      <w:color w:val="auto"/>
                      <w:szCs w:val="21"/>
                      <w:highlight w:val="none"/>
                      <w:lang w:val="en-US" w:eastAsia="zh-CN"/>
                    </w:rPr>
                    <w:t>0.173</w:t>
                  </w:r>
                </w:p>
              </w:tc>
            </w:tr>
          </w:tbl>
          <w:p w14:paraId="4CCF8508">
            <w:pPr>
              <w:pStyle w:val="62"/>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spacing w:before="0" w:beforeAutospacing="0" w:after="0" w:afterAutospacing="0" w:line="360" w:lineRule="auto"/>
              <w:ind w:left="0" w:leftChars="0" w:right="0" w:rightChars="0" w:firstLine="480" w:firstLineChars="200"/>
              <w:jc w:val="both"/>
              <w:textAlignment w:val="baseline"/>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2、非正常工况</w:t>
            </w:r>
          </w:p>
          <w:p w14:paraId="74B739EF">
            <w:pPr>
              <w:pStyle w:val="121"/>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当</w:t>
            </w:r>
            <w:r>
              <w:rPr>
                <w:rFonts w:hint="eastAsia" w:ascii="Times New Roman" w:hAnsi="Times New Roman" w:eastAsia="宋体" w:cs="Times New Roman"/>
                <w:color w:val="auto"/>
                <w:kern w:val="0"/>
                <w:sz w:val="24"/>
                <w:szCs w:val="24"/>
                <w:highlight w:val="none"/>
                <w:lang w:val="en-US" w:eastAsia="zh-CN" w:bidi="ar-SA"/>
              </w:rPr>
              <w:t>4t/h</w:t>
            </w:r>
            <w:r>
              <w:rPr>
                <w:rFonts w:hint="eastAsia" w:ascii="Times New Roman" w:hAnsi="Times New Roman" w:eastAsia="宋体" w:cs="Times New Roman"/>
                <w:b w:val="0"/>
                <w:bCs/>
                <w:color w:val="auto"/>
                <w:sz w:val="24"/>
                <w:szCs w:val="24"/>
                <w:highlight w:val="none"/>
                <w:lang w:val="en-US" w:eastAsia="zh-CN"/>
              </w:rPr>
              <w:t>燃生物质</w:t>
            </w:r>
            <w:r>
              <w:rPr>
                <w:rFonts w:hint="eastAsia" w:ascii="Times New Roman" w:hAnsi="Times New Roman" w:eastAsia="宋体" w:cs="Times New Roman"/>
                <w:color w:val="auto"/>
                <w:kern w:val="0"/>
                <w:sz w:val="24"/>
                <w:szCs w:val="24"/>
                <w:highlight w:val="none"/>
                <w:lang w:val="en-US" w:eastAsia="zh-CN" w:bidi="ar-SA"/>
              </w:rPr>
              <w:t>蒸汽锅炉布袋除尘器</w:t>
            </w:r>
            <w:r>
              <w:rPr>
                <w:rFonts w:hint="default" w:ascii="Times New Roman" w:hAnsi="Times New Roman" w:eastAsia="宋体" w:cs="Times New Roman"/>
                <w:color w:val="auto"/>
                <w:kern w:val="0"/>
                <w:sz w:val="24"/>
                <w:szCs w:val="24"/>
                <w:highlight w:val="none"/>
                <w:lang w:val="en-US" w:eastAsia="zh-CN" w:bidi="ar-SA"/>
              </w:rPr>
              <w:t>出现故障时，去除效率降为</w:t>
            </w:r>
            <w:r>
              <w:rPr>
                <w:rFonts w:hint="eastAsia" w:ascii="Times New Roman" w:hAnsi="Times New Roman" w:eastAsia="宋体" w:cs="Times New Roman"/>
                <w:color w:val="auto"/>
                <w:kern w:val="0"/>
                <w:sz w:val="24"/>
                <w:szCs w:val="24"/>
                <w:highlight w:val="none"/>
                <w:lang w:val="en-US" w:eastAsia="zh-CN" w:bidi="ar-SA"/>
              </w:rPr>
              <w:t>8</w:t>
            </w:r>
            <w:r>
              <w:rPr>
                <w:rFonts w:hint="default" w:ascii="Times New Roman" w:hAnsi="Times New Roman" w:eastAsia="宋体" w:cs="Times New Roman"/>
                <w:color w:val="auto"/>
                <w:kern w:val="0"/>
                <w:sz w:val="24"/>
                <w:szCs w:val="24"/>
                <w:highlight w:val="none"/>
                <w:lang w:val="en-US" w:eastAsia="zh-CN" w:bidi="ar-SA"/>
              </w:rPr>
              <w:t>0%时，颗粒物的排放量为</w:t>
            </w:r>
            <w:r>
              <w:rPr>
                <w:rFonts w:hint="eastAsia" w:ascii="Times New Roman" w:hAnsi="Times New Roman" w:eastAsia="宋体" w:cs="Times New Roman"/>
                <w:color w:val="auto"/>
                <w:kern w:val="0"/>
                <w:sz w:val="24"/>
                <w:szCs w:val="24"/>
                <w:highlight w:val="none"/>
                <w:lang w:val="en-US" w:eastAsia="zh-CN" w:bidi="ar-SA"/>
              </w:rPr>
              <w:t>4.439</w:t>
            </w:r>
            <w:r>
              <w:rPr>
                <w:rFonts w:hint="default" w:ascii="Times New Roman" w:hAnsi="Times New Roman" w:eastAsia="宋体" w:cs="Times New Roman"/>
                <w:color w:val="auto"/>
                <w:kern w:val="0"/>
                <w:sz w:val="24"/>
                <w:szCs w:val="24"/>
                <w:highlight w:val="none"/>
                <w:lang w:val="en-US" w:eastAsia="zh-CN" w:bidi="ar-SA"/>
              </w:rPr>
              <w:t>kg/h</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若发生非正常工况时，企业做停产处理</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非正常工况下废气污染源强核算结果及相关参数</w:t>
            </w:r>
            <w:r>
              <w:rPr>
                <w:rFonts w:hint="eastAsia" w:ascii="Times New Roman" w:hAnsi="Times New Roman" w:eastAsia="宋体" w:cs="Times New Roman"/>
                <w:color w:val="auto"/>
                <w:kern w:val="0"/>
                <w:sz w:val="24"/>
                <w:szCs w:val="24"/>
                <w:highlight w:val="none"/>
                <w:lang w:val="en-US" w:eastAsia="zh-CN" w:bidi="ar-SA"/>
              </w:rPr>
              <w:t>见</w:t>
            </w:r>
            <w:r>
              <w:rPr>
                <w:rFonts w:hint="default" w:ascii="Times New Roman" w:hAnsi="Times New Roman" w:eastAsia="宋体" w:cs="Times New Roman"/>
                <w:color w:val="auto"/>
                <w:kern w:val="0"/>
                <w:sz w:val="24"/>
                <w:szCs w:val="24"/>
                <w:highlight w:val="none"/>
                <w:lang w:val="en-US" w:eastAsia="zh-CN" w:bidi="ar-SA"/>
              </w:rPr>
              <w:t>表</w:t>
            </w:r>
            <w:r>
              <w:rPr>
                <w:rFonts w:hint="eastAsia" w:ascii="Times New Roman" w:hAnsi="Times New Roman" w:eastAsia="宋体" w:cs="Times New Roman"/>
                <w:color w:val="auto"/>
                <w:kern w:val="0"/>
                <w:sz w:val="24"/>
                <w:szCs w:val="24"/>
                <w:highlight w:val="none"/>
                <w:lang w:val="en-US" w:eastAsia="zh-CN" w:bidi="ar-SA"/>
              </w:rPr>
              <w:t>4-4</w:t>
            </w:r>
            <w:r>
              <w:rPr>
                <w:rFonts w:hint="default" w:ascii="Times New Roman" w:hAnsi="Times New Roman" w:eastAsia="宋体" w:cs="Times New Roman"/>
                <w:color w:val="auto"/>
                <w:kern w:val="0"/>
                <w:sz w:val="24"/>
                <w:szCs w:val="24"/>
                <w:highlight w:val="none"/>
                <w:lang w:val="en-US" w:eastAsia="zh-CN" w:bidi="ar-SA"/>
              </w:rPr>
              <w:t>。</w:t>
            </w:r>
          </w:p>
          <w:p w14:paraId="740B7A57">
            <w:pPr>
              <w:pStyle w:val="121"/>
              <w:keepNext w:val="0"/>
              <w:keepLines w:val="0"/>
              <w:pageBreakBefore w:val="0"/>
              <w:suppressLineNumbers w:val="0"/>
              <w:wordWrap/>
              <w:topLinePunct w:val="0"/>
              <w:bidi w:val="0"/>
              <w:adjustRightInd w:val="0"/>
              <w:snapToGrid w:val="0"/>
              <w:spacing w:before="0" w:beforeAutospacing="0" w:after="0" w:afterAutospacing="0" w:line="240" w:lineRule="auto"/>
              <w:ind w:left="0" w:leftChars="0" w:right="0" w:rightChars="0" w:firstLine="422" w:firstLineChars="200"/>
              <w:rPr>
                <w:rFonts w:hint="default" w:ascii="Times New Roman" w:hAnsi="Times New Roman" w:cs="Times New Roman" w:eastAsiaTheme="minorEastAsia"/>
                <w:b/>
                <w:bCs/>
                <w:color w:val="auto"/>
                <w:kern w:val="2"/>
                <w:sz w:val="21"/>
                <w:szCs w:val="24"/>
                <w:highlight w:val="none"/>
                <w:lang w:val="en-US" w:eastAsia="zh-CN" w:bidi="ar-SA"/>
              </w:rPr>
            </w:pPr>
            <w:r>
              <w:rPr>
                <w:rFonts w:hint="default" w:ascii="Times New Roman" w:hAnsi="Times New Roman" w:cs="Times New Roman" w:eastAsiaTheme="minorEastAsia"/>
                <w:b/>
                <w:bCs/>
                <w:color w:val="auto"/>
                <w:kern w:val="2"/>
                <w:sz w:val="21"/>
                <w:szCs w:val="24"/>
                <w:highlight w:val="none"/>
                <w:lang w:val="en-US" w:eastAsia="zh-CN" w:bidi="ar-SA"/>
              </w:rPr>
              <w:t>表4-</w:t>
            </w:r>
            <w:r>
              <w:rPr>
                <w:rFonts w:hint="eastAsia" w:ascii="Times New Roman" w:hAnsi="Times New Roman" w:cs="Times New Roman" w:eastAsiaTheme="minorEastAsia"/>
                <w:b/>
                <w:bCs/>
                <w:color w:val="auto"/>
                <w:kern w:val="2"/>
                <w:sz w:val="21"/>
                <w:szCs w:val="24"/>
                <w:highlight w:val="none"/>
                <w:lang w:val="en-US" w:eastAsia="zh-CN" w:bidi="ar-SA"/>
              </w:rPr>
              <w:t>4</w:t>
            </w:r>
            <w:r>
              <w:rPr>
                <w:rFonts w:hint="default" w:ascii="Times New Roman" w:hAnsi="Times New Roman" w:cs="Times New Roman" w:eastAsiaTheme="minorEastAsia"/>
                <w:b/>
                <w:bCs/>
                <w:color w:val="auto"/>
                <w:kern w:val="2"/>
                <w:sz w:val="21"/>
                <w:szCs w:val="24"/>
                <w:highlight w:val="none"/>
                <w:lang w:val="en-US" w:eastAsia="zh-CN" w:bidi="ar-SA"/>
              </w:rPr>
              <w:t xml:space="preserve">  非正常工况下废气污染源强核算结果及相关参数一览表</w:t>
            </w:r>
          </w:p>
          <w:tbl>
            <w:tblPr>
              <w:tblStyle w:val="32"/>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10"/>
              <w:gridCol w:w="770"/>
              <w:gridCol w:w="1062"/>
              <w:gridCol w:w="884"/>
              <w:gridCol w:w="1224"/>
              <w:gridCol w:w="1016"/>
              <w:gridCol w:w="813"/>
              <w:gridCol w:w="893"/>
              <w:gridCol w:w="1096"/>
            </w:tblGrid>
            <w:tr w14:paraId="384715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251" w:type="pct"/>
                  <w:tcBorders>
                    <w:tl2br w:val="nil"/>
                    <w:tr2bl w:val="nil"/>
                  </w:tcBorders>
                  <w:noWrap/>
                  <w:vAlign w:val="center"/>
                </w:tcPr>
                <w:p w14:paraId="51ED7613">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序号</w:t>
                  </w:r>
                </w:p>
              </w:tc>
              <w:tc>
                <w:tcPr>
                  <w:tcW w:w="471" w:type="pct"/>
                  <w:tcBorders>
                    <w:tl2br w:val="nil"/>
                    <w:tr2bl w:val="nil"/>
                  </w:tcBorders>
                  <w:noWrap/>
                  <w:vAlign w:val="center"/>
                </w:tcPr>
                <w:p w14:paraId="3C47F50D">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污染源</w:t>
                  </w:r>
                </w:p>
              </w:tc>
              <w:tc>
                <w:tcPr>
                  <w:tcW w:w="649" w:type="pct"/>
                  <w:tcBorders>
                    <w:tl2br w:val="nil"/>
                    <w:tr2bl w:val="nil"/>
                  </w:tcBorders>
                  <w:noWrap/>
                  <w:vAlign w:val="center"/>
                </w:tcPr>
                <w:p w14:paraId="1F57D576">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非正常排放原因</w:t>
                  </w:r>
                </w:p>
              </w:tc>
              <w:tc>
                <w:tcPr>
                  <w:tcW w:w="541" w:type="pct"/>
                  <w:tcBorders>
                    <w:tl2br w:val="nil"/>
                    <w:tr2bl w:val="nil"/>
                  </w:tcBorders>
                  <w:noWrap/>
                  <w:vAlign w:val="center"/>
                </w:tcPr>
                <w:p w14:paraId="32546E08">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污染物</w:t>
                  </w:r>
                </w:p>
              </w:tc>
              <w:tc>
                <w:tcPr>
                  <w:tcW w:w="749" w:type="pct"/>
                  <w:tcBorders>
                    <w:tl2br w:val="nil"/>
                    <w:tr2bl w:val="nil"/>
                  </w:tcBorders>
                  <w:noWrap/>
                  <w:vAlign w:val="center"/>
                </w:tcPr>
                <w:p w14:paraId="21F2E434">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非正常排放浓度/（</w:t>
                  </w:r>
                  <w:r>
                    <w:rPr>
                      <w:rFonts w:hint="default" w:ascii="Times New Roman" w:hAnsi="Times New Roman" w:cs="Times New Roman"/>
                      <w:color w:val="auto"/>
                      <w:kern w:val="0"/>
                      <w:sz w:val="21"/>
                      <w:szCs w:val="21"/>
                      <w:highlight w:val="none"/>
                      <w:lang w:val="en-US" w:eastAsia="zh-CN"/>
                    </w:rPr>
                    <w:t>m</w:t>
                  </w:r>
                  <w:r>
                    <w:rPr>
                      <w:rFonts w:hint="default" w:ascii="Times New Roman" w:hAnsi="Times New Roman" w:cs="Times New Roman"/>
                      <w:color w:val="auto"/>
                      <w:kern w:val="0"/>
                      <w:sz w:val="21"/>
                      <w:szCs w:val="21"/>
                      <w:highlight w:val="none"/>
                    </w:rPr>
                    <w:t>g/m</w:t>
                  </w:r>
                  <w:r>
                    <w:rPr>
                      <w:rFonts w:hint="default" w:ascii="Times New Roman" w:hAnsi="Times New Roman" w:cs="Times New Roman"/>
                      <w:color w:val="auto"/>
                      <w:kern w:val="0"/>
                      <w:sz w:val="21"/>
                      <w:szCs w:val="21"/>
                      <w:highlight w:val="none"/>
                      <w:vertAlign w:val="superscript"/>
                    </w:rPr>
                    <w:t>3</w:t>
                  </w:r>
                  <w:r>
                    <w:rPr>
                      <w:rFonts w:hint="default" w:ascii="Times New Roman" w:hAnsi="Times New Roman" w:cs="Times New Roman"/>
                      <w:color w:val="auto"/>
                      <w:kern w:val="0"/>
                      <w:sz w:val="21"/>
                      <w:szCs w:val="21"/>
                      <w:highlight w:val="none"/>
                    </w:rPr>
                    <w:t>）</w:t>
                  </w:r>
                </w:p>
              </w:tc>
              <w:tc>
                <w:tcPr>
                  <w:tcW w:w="622" w:type="pct"/>
                  <w:tcBorders>
                    <w:tl2br w:val="nil"/>
                    <w:tr2bl w:val="nil"/>
                  </w:tcBorders>
                  <w:noWrap/>
                  <w:vAlign w:val="center"/>
                </w:tcPr>
                <w:p w14:paraId="069CDCD8">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非正常排放速率/（kg/h）</w:t>
                  </w:r>
                </w:p>
              </w:tc>
              <w:tc>
                <w:tcPr>
                  <w:tcW w:w="497" w:type="pct"/>
                  <w:tcBorders>
                    <w:tl2br w:val="nil"/>
                    <w:tr2bl w:val="nil"/>
                  </w:tcBorders>
                  <w:noWrap/>
                  <w:vAlign w:val="center"/>
                </w:tcPr>
                <w:p w14:paraId="0B3BC50F">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单次持续时间/h</w:t>
                  </w:r>
                </w:p>
              </w:tc>
              <w:tc>
                <w:tcPr>
                  <w:tcW w:w="546" w:type="pct"/>
                  <w:tcBorders>
                    <w:tl2br w:val="nil"/>
                    <w:tr2bl w:val="nil"/>
                  </w:tcBorders>
                  <w:noWrap/>
                  <w:vAlign w:val="center"/>
                </w:tcPr>
                <w:p w14:paraId="2A06C11B">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年发生频次/次</w:t>
                  </w:r>
                </w:p>
              </w:tc>
              <w:tc>
                <w:tcPr>
                  <w:tcW w:w="670" w:type="pct"/>
                  <w:tcBorders>
                    <w:tl2br w:val="nil"/>
                    <w:tr2bl w:val="nil"/>
                  </w:tcBorders>
                  <w:noWrap/>
                  <w:vAlign w:val="center"/>
                </w:tcPr>
                <w:p w14:paraId="23240D53">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应对</w:t>
                  </w:r>
                </w:p>
                <w:p w14:paraId="2EF1938E">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措施</w:t>
                  </w:r>
                </w:p>
              </w:tc>
            </w:tr>
            <w:tr w14:paraId="37B11A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251" w:type="pct"/>
                  <w:tcBorders>
                    <w:tl2br w:val="nil"/>
                    <w:tr2bl w:val="nil"/>
                  </w:tcBorders>
                  <w:noWrap/>
                  <w:vAlign w:val="center"/>
                </w:tcPr>
                <w:p w14:paraId="6A9ABAF4">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1</w:t>
                  </w:r>
                </w:p>
              </w:tc>
              <w:tc>
                <w:tcPr>
                  <w:tcW w:w="471" w:type="pct"/>
                  <w:tcBorders>
                    <w:tl2br w:val="nil"/>
                    <w:tr2bl w:val="nil"/>
                  </w:tcBorders>
                  <w:noWrap/>
                  <w:vAlign w:val="center"/>
                </w:tcPr>
                <w:p w14:paraId="11D868B5">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eastAsia"/>
                      <w:smallCaps w:val="0"/>
                      <w:color w:val="auto"/>
                      <w:sz w:val="21"/>
                      <w:highlight w:val="none"/>
                      <w:lang w:eastAsia="zh-CN"/>
                    </w:rPr>
                  </w:pPr>
                  <w:r>
                    <w:rPr>
                      <w:rFonts w:hint="eastAsia"/>
                      <w:smallCaps w:val="0"/>
                      <w:color w:val="auto"/>
                      <w:sz w:val="21"/>
                      <w:highlight w:val="none"/>
                      <w:lang w:val="en-US" w:eastAsia="zh-CN"/>
                    </w:rPr>
                    <w:t>4t/h</w:t>
                  </w:r>
                  <w:r>
                    <w:rPr>
                      <w:rFonts w:hint="eastAsia"/>
                      <w:smallCaps w:val="0"/>
                      <w:color w:val="auto"/>
                      <w:sz w:val="21"/>
                      <w:highlight w:val="none"/>
                      <w:lang w:eastAsia="zh-CN"/>
                    </w:rPr>
                    <w:t>蒸汽锅炉</w:t>
                  </w:r>
                </w:p>
              </w:tc>
              <w:tc>
                <w:tcPr>
                  <w:tcW w:w="649" w:type="pct"/>
                  <w:tcBorders>
                    <w:tl2br w:val="nil"/>
                    <w:tr2bl w:val="nil"/>
                  </w:tcBorders>
                  <w:noWrap/>
                  <w:vAlign w:val="center"/>
                </w:tcPr>
                <w:p w14:paraId="0083CD42">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布袋除尘器布袋破损</w:t>
                  </w:r>
                </w:p>
              </w:tc>
              <w:tc>
                <w:tcPr>
                  <w:tcW w:w="541" w:type="pct"/>
                  <w:tcBorders>
                    <w:tl2br w:val="nil"/>
                    <w:tr2bl w:val="nil"/>
                  </w:tcBorders>
                  <w:noWrap/>
                  <w:vAlign w:val="center"/>
                </w:tcPr>
                <w:p w14:paraId="4D2AD266">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default"/>
                      <w:smallCaps w:val="0"/>
                      <w:color w:val="auto"/>
                      <w:sz w:val="21"/>
                      <w:highlight w:val="none"/>
                    </w:rPr>
                  </w:pPr>
                  <w:r>
                    <w:rPr>
                      <w:rFonts w:hint="default"/>
                      <w:smallCaps w:val="0"/>
                      <w:color w:val="auto"/>
                      <w:sz w:val="21"/>
                      <w:highlight w:val="none"/>
                    </w:rPr>
                    <w:t>颗粒物</w:t>
                  </w:r>
                </w:p>
              </w:tc>
              <w:tc>
                <w:tcPr>
                  <w:tcW w:w="749" w:type="pct"/>
                  <w:tcBorders>
                    <w:tl2br w:val="nil"/>
                    <w:tr2bl w:val="nil"/>
                  </w:tcBorders>
                  <w:noWrap/>
                  <w:vAlign w:val="center"/>
                </w:tcPr>
                <w:p w14:paraId="00DEFE4D">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777</w:t>
                  </w:r>
                </w:p>
              </w:tc>
              <w:tc>
                <w:tcPr>
                  <w:tcW w:w="622" w:type="pct"/>
                  <w:tcBorders>
                    <w:tl2br w:val="nil"/>
                    <w:tr2bl w:val="nil"/>
                  </w:tcBorders>
                  <w:noWrap/>
                  <w:vAlign w:val="center"/>
                </w:tcPr>
                <w:p w14:paraId="137A1CFF">
                  <w:pPr>
                    <w:pStyle w:val="122"/>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4.439</w:t>
                  </w:r>
                </w:p>
              </w:tc>
              <w:tc>
                <w:tcPr>
                  <w:tcW w:w="497" w:type="pct"/>
                  <w:tcBorders>
                    <w:tl2br w:val="nil"/>
                    <w:tr2bl w:val="nil"/>
                  </w:tcBorders>
                  <w:noWrap/>
                  <w:vAlign w:val="center"/>
                </w:tcPr>
                <w:p w14:paraId="17B1454A">
                  <w:pPr>
                    <w:pStyle w:val="122"/>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1h</w:t>
                  </w:r>
                </w:p>
              </w:tc>
              <w:tc>
                <w:tcPr>
                  <w:tcW w:w="546" w:type="pct"/>
                  <w:tcBorders>
                    <w:tl2br w:val="nil"/>
                    <w:tr2bl w:val="nil"/>
                  </w:tcBorders>
                  <w:noWrap/>
                  <w:vAlign w:val="center"/>
                </w:tcPr>
                <w:p w14:paraId="355B6DD8">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default"/>
                      <w:smallCaps w:val="0"/>
                      <w:color w:val="auto"/>
                      <w:sz w:val="21"/>
                      <w:highlight w:val="none"/>
                    </w:rPr>
                  </w:pPr>
                  <w:r>
                    <w:rPr>
                      <w:rFonts w:hint="default"/>
                      <w:smallCaps w:val="0"/>
                      <w:color w:val="auto"/>
                      <w:sz w:val="21"/>
                      <w:highlight w:val="none"/>
                    </w:rPr>
                    <w:t>1</w:t>
                  </w:r>
                  <w:r>
                    <w:rPr>
                      <w:rFonts w:hint="eastAsia"/>
                      <w:smallCaps w:val="0"/>
                      <w:color w:val="auto"/>
                      <w:sz w:val="21"/>
                      <w:highlight w:val="none"/>
                      <w:lang w:eastAsia="zh-CN"/>
                    </w:rPr>
                    <w:t>次</w:t>
                  </w:r>
                </w:p>
              </w:tc>
              <w:tc>
                <w:tcPr>
                  <w:tcW w:w="670" w:type="pct"/>
                  <w:tcBorders>
                    <w:tl2br w:val="nil"/>
                    <w:tr2bl w:val="nil"/>
                  </w:tcBorders>
                  <w:noWrap/>
                  <w:vAlign w:val="center"/>
                </w:tcPr>
                <w:p w14:paraId="7E6650FD">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停止生产及时检修</w:t>
                  </w:r>
                </w:p>
              </w:tc>
            </w:tr>
          </w:tbl>
          <w:p w14:paraId="54FC1DE6">
            <w:pPr>
              <w:keepNext w:val="0"/>
              <w:keepLines w:val="0"/>
              <w:pageBreakBefore w:val="0"/>
              <w:numPr>
                <w:ilvl w:val="0"/>
                <w:numId w:val="0"/>
              </w:numPr>
              <w:suppressLineNumbers w:val="0"/>
              <w:tabs>
                <w:tab w:val="left" w:pos="1291"/>
              </w:tabs>
              <w:wordWrap/>
              <w:topLinePunct w:val="0"/>
              <w:bidi w:val="0"/>
              <w:spacing w:before="0" w:beforeAutospacing="0" w:after="0" w:afterAutospacing="0" w:line="360" w:lineRule="auto"/>
              <w:ind w:left="0" w:leftChars="0" w:right="0" w:rightChars="0" w:firstLine="480" w:firstLineChars="200"/>
              <w:jc w:val="left"/>
              <w:rPr>
                <w:rFonts w:hint="eastAsia" w:ascii="Times New Roman" w:hAnsi="Times New Roman" w:eastAsia="宋体" w:cs="Times New Roman"/>
                <w:bCs/>
                <w:color w:val="auto"/>
                <w:sz w:val="24"/>
                <w:highlight w:val="none"/>
                <w:lang w:eastAsia="zh-CN"/>
              </w:rPr>
            </w:pPr>
            <w:r>
              <w:rPr>
                <w:rFonts w:hint="eastAsia"/>
                <w:bCs/>
                <w:color w:val="auto"/>
                <w:sz w:val="24"/>
                <w:highlight w:val="none"/>
                <w:lang w:val="en-US" w:eastAsia="zh-CN"/>
              </w:rPr>
              <w:t>3、</w:t>
            </w:r>
            <w:r>
              <w:rPr>
                <w:rFonts w:hint="eastAsia"/>
                <w:bCs/>
                <w:color w:val="auto"/>
                <w:sz w:val="24"/>
                <w:highlight w:val="none"/>
                <w:lang w:eastAsia="zh-CN"/>
              </w:rPr>
              <w:t>废气</w:t>
            </w:r>
            <w:r>
              <w:rPr>
                <w:rFonts w:hint="default" w:ascii="Times New Roman" w:hAnsi="Times New Roman" w:eastAsia="宋体" w:cs="Times New Roman"/>
                <w:bCs/>
                <w:color w:val="auto"/>
                <w:sz w:val="24"/>
                <w:highlight w:val="none"/>
                <w:lang w:eastAsia="zh-CN"/>
              </w:rPr>
              <w:t>治理措施及利用可行性分析</w:t>
            </w:r>
          </w:p>
          <w:p w14:paraId="4E085835">
            <w:pPr>
              <w:keepNext w:val="0"/>
              <w:keepLines w:val="0"/>
              <w:pageBreakBefore w:val="0"/>
              <w:numPr>
                <w:ilvl w:val="0"/>
                <w:numId w:val="0"/>
              </w:numPr>
              <w:suppressLineNumbers w:val="0"/>
              <w:tabs>
                <w:tab w:val="left" w:pos="1291"/>
              </w:tabs>
              <w:wordWrap/>
              <w:topLinePunct w:val="0"/>
              <w:bidi w:val="0"/>
              <w:spacing w:before="0" w:beforeAutospacing="0" w:after="0" w:afterAutospacing="0" w:line="360" w:lineRule="auto"/>
              <w:ind w:left="0" w:leftChars="0" w:right="0" w:rightChars="0" w:firstLine="480" w:firstLineChars="200"/>
              <w:jc w:val="left"/>
              <w:rPr>
                <w:rFonts w:hint="eastAsia"/>
                <w:bCs/>
                <w:color w:val="auto"/>
                <w:sz w:val="24"/>
                <w:highlight w:val="none"/>
                <w:lang w:eastAsia="zh-CN"/>
              </w:rPr>
            </w:pPr>
            <w:r>
              <w:rPr>
                <w:rFonts w:hint="eastAsia"/>
                <w:bCs/>
                <w:color w:val="auto"/>
                <w:sz w:val="24"/>
                <w:highlight w:val="none"/>
                <w:lang w:val="en-US" w:eastAsia="zh-CN"/>
              </w:rPr>
              <w:t>（1）</w:t>
            </w:r>
            <w:r>
              <w:rPr>
                <w:rFonts w:hint="eastAsia"/>
                <w:bCs/>
                <w:color w:val="auto"/>
                <w:sz w:val="24"/>
                <w:highlight w:val="none"/>
                <w:lang w:eastAsia="zh-CN"/>
              </w:rPr>
              <w:t>环保措施可行性分析</w:t>
            </w:r>
          </w:p>
          <w:p w14:paraId="67007297">
            <w:pPr>
              <w:keepNext w:val="0"/>
              <w:keepLines w:val="0"/>
              <w:pageBreakBefore w:val="0"/>
              <w:numPr>
                <w:ilvl w:val="0"/>
                <w:numId w:val="0"/>
              </w:numPr>
              <w:suppressLineNumbers w:val="0"/>
              <w:tabs>
                <w:tab w:val="left" w:pos="1291"/>
              </w:tabs>
              <w:wordWrap/>
              <w:topLinePunct w:val="0"/>
              <w:bidi w:val="0"/>
              <w:spacing w:before="0" w:beforeAutospacing="0" w:after="0" w:afterAutospacing="0" w:line="360" w:lineRule="auto"/>
              <w:ind w:left="0" w:leftChars="0" w:right="0" w:rightChars="0" w:firstLine="480" w:firstLineChars="200"/>
              <w:jc w:val="left"/>
              <w:rPr>
                <w:rFonts w:hint="eastAsia" w:ascii="Times New Roman" w:hAnsi="Times New Roman" w:eastAsia="宋体" w:cs="Times New Roman"/>
                <w:color w:val="auto"/>
                <w:kern w:val="0"/>
                <w:sz w:val="24"/>
                <w:szCs w:val="24"/>
                <w:highlight w:val="none"/>
                <w:lang w:val="en-US" w:eastAsia="zh-CN" w:bidi="ar-SA"/>
              </w:rPr>
            </w:pPr>
            <w:r>
              <w:rPr>
                <w:rFonts w:hint="eastAsia"/>
                <w:bCs/>
                <w:color w:val="auto"/>
                <w:sz w:val="24"/>
                <w:highlight w:val="none"/>
                <w:lang w:eastAsia="zh-CN"/>
              </w:rPr>
              <w:t>本项目</w:t>
            </w:r>
            <w:r>
              <w:rPr>
                <w:rFonts w:hint="eastAsia"/>
                <w:bCs/>
                <w:color w:val="auto"/>
                <w:sz w:val="24"/>
                <w:highlight w:val="none"/>
                <w:lang w:val="en-US" w:eastAsia="zh-CN"/>
              </w:rPr>
              <w:t>4t/h燃生物质</w:t>
            </w:r>
            <w:r>
              <w:rPr>
                <w:rFonts w:hint="eastAsia"/>
                <w:bCs/>
                <w:color w:val="auto"/>
                <w:sz w:val="24"/>
                <w:highlight w:val="none"/>
                <w:lang w:eastAsia="zh-CN"/>
              </w:rPr>
              <w:t>蒸汽锅炉会产生</w:t>
            </w:r>
            <w:r>
              <w:rPr>
                <w:rFonts w:hint="eastAsia"/>
                <w:bCs/>
                <w:color w:val="auto"/>
                <w:sz w:val="24"/>
                <w:highlight w:val="none"/>
                <w:lang w:val="en-US" w:eastAsia="zh-CN"/>
              </w:rPr>
              <w:t>锅炉烟气</w:t>
            </w:r>
            <w:r>
              <w:rPr>
                <w:rFonts w:hint="eastAsia"/>
                <w:bCs/>
                <w:color w:val="auto"/>
                <w:sz w:val="24"/>
                <w:highlight w:val="none"/>
                <w:lang w:eastAsia="zh-CN"/>
              </w:rPr>
              <w:t>，</w:t>
            </w:r>
            <w:r>
              <w:rPr>
                <w:rFonts w:hint="eastAsia"/>
                <w:bCs/>
                <w:color w:val="auto"/>
                <w:sz w:val="24"/>
                <w:highlight w:val="none"/>
                <w:lang w:val="en-US" w:eastAsia="zh-CN"/>
              </w:rPr>
              <w:t>经旋风除尘+</w:t>
            </w:r>
            <w:r>
              <w:rPr>
                <w:rFonts w:hint="eastAsia"/>
                <w:bCs/>
                <w:color w:val="auto"/>
                <w:sz w:val="24"/>
                <w:highlight w:val="none"/>
                <w:lang w:eastAsia="zh-CN"/>
              </w:rPr>
              <w:t>布袋除尘器处理后通过</w:t>
            </w:r>
            <w:r>
              <w:rPr>
                <w:rFonts w:hint="eastAsia"/>
                <w:bCs/>
                <w:color w:val="auto"/>
                <w:sz w:val="24"/>
                <w:highlight w:val="none"/>
                <w:lang w:val="en-US" w:eastAsia="zh-CN"/>
              </w:rPr>
              <w:t>35m高烟囱</w:t>
            </w:r>
            <w:r>
              <w:rPr>
                <w:rFonts w:hint="eastAsia" w:cs="Times New Roman"/>
                <w:color w:val="auto"/>
                <w:kern w:val="0"/>
                <w:sz w:val="24"/>
                <w:szCs w:val="24"/>
                <w:highlight w:val="none"/>
                <w:lang w:val="en-US" w:eastAsia="zh-CN" w:bidi="ar-SA"/>
              </w:rPr>
              <w:t>（DA001）</w:t>
            </w:r>
            <w:r>
              <w:rPr>
                <w:rFonts w:hint="eastAsia"/>
                <w:bCs/>
                <w:color w:val="auto"/>
                <w:sz w:val="24"/>
                <w:highlight w:val="none"/>
                <w:lang w:val="en-US" w:eastAsia="zh-CN"/>
              </w:rPr>
              <w:t>排放</w:t>
            </w:r>
            <w:r>
              <w:rPr>
                <w:rFonts w:hint="eastAsia"/>
                <w:bCs/>
                <w:color w:val="auto"/>
                <w:sz w:val="24"/>
                <w:highlight w:val="none"/>
                <w:lang w:eastAsia="zh-CN"/>
              </w:rPr>
              <w:t>。根</w:t>
            </w:r>
            <w:r>
              <w:rPr>
                <w:rFonts w:hint="eastAsia" w:ascii="Times New Roman" w:hAnsi="Times New Roman" w:eastAsia="宋体" w:cs="Times New Roman"/>
                <w:bCs/>
                <w:color w:val="auto"/>
                <w:sz w:val="24"/>
                <w:highlight w:val="none"/>
                <w:lang w:eastAsia="zh-CN"/>
              </w:rPr>
              <w:t>据《排污许可证申请与核发技术规范 锅炉》（HJ953—2018）中对可行性技术的要求</w:t>
            </w:r>
            <w:r>
              <w:rPr>
                <w:rFonts w:hint="eastAsia"/>
                <w:bCs/>
                <w:color w:val="auto"/>
                <w:sz w:val="24"/>
                <w:highlight w:val="none"/>
                <w:lang w:eastAsia="zh-CN"/>
              </w:rPr>
              <w:t>，本项目采取</w:t>
            </w:r>
            <w:r>
              <w:rPr>
                <w:rFonts w:hint="eastAsia"/>
                <w:bCs/>
                <w:color w:val="auto"/>
                <w:sz w:val="24"/>
                <w:highlight w:val="none"/>
                <w:lang w:val="en-US" w:eastAsia="zh-CN"/>
              </w:rPr>
              <w:t>旋风除尘+</w:t>
            </w:r>
            <w:r>
              <w:rPr>
                <w:rFonts w:hint="eastAsia"/>
                <w:bCs/>
                <w:color w:val="auto"/>
                <w:sz w:val="24"/>
                <w:highlight w:val="none"/>
                <w:lang w:eastAsia="zh-CN"/>
              </w:rPr>
              <w:t>布袋除尘器处理是可行的。</w:t>
            </w:r>
          </w:p>
          <w:p w14:paraId="1196FD3E">
            <w:pPr>
              <w:keepNext w:val="0"/>
              <w:keepLines w:val="0"/>
              <w:pageBreakBefore w:val="0"/>
              <w:numPr>
                <w:ilvl w:val="0"/>
                <w:numId w:val="0"/>
              </w:numPr>
              <w:suppressLineNumbers w:val="0"/>
              <w:tabs>
                <w:tab w:val="left" w:pos="1291"/>
              </w:tabs>
              <w:wordWrap/>
              <w:topLinePunct w:val="0"/>
              <w:bidi w:val="0"/>
              <w:spacing w:before="0" w:beforeAutospacing="0" w:after="0" w:afterAutospacing="0" w:line="360" w:lineRule="auto"/>
              <w:ind w:left="0" w:leftChars="0" w:right="0" w:rightChars="0" w:firstLine="480" w:firstLineChars="200"/>
              <w:jc w:val="left"/>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（2）排气筒高度设置合理性分析</w:t>
            </w:r>
          </w:p>
          <w:p w14:paraId="3C0F301C">
            <w:pPr>
              <w:keepNext w:val="0"/>
              <w:keepLines w:val="0"/>
              <w:pageBreakBefore w:val="0"/>
              <w:suppressLineNumbers w:val="0"/>
              <w:kinsoku w:val="0"/>
              <w:wordWrap/>
              <w:overflowPunct w:val="0"/>
              <w:topLinePunct w:val="0"/>
              <w:autoSpaceDE w:val="0"/>
              <w:autoSpaceDN w:val="0"/>
              <w:bidi w:val="0"/>
              <w:spacing w:before="0" w:beforeAutospacing="0" w:after="0" w:afterAutospacing="0" w:line="360" w:lineRule="auto"/>
              <w:ind w:left="0" w:leftChars="0" w:right="0" w:rightChars="0" w:firstLine="480" w:firstLineChars="200"/>
              <w:rPr>
                <w:rFonts w:hint="default"/>
                <w:color w:val="auto"/>
                <w:lang w:val="en-US" w:eastAsia="zh-CN"/>
              </w:rPr>
            </w:pPr>
            <w:r>
              <w:rPr>
                <w:rFonts w:hint="eastAsia" w:cs="Times New Roman"/>
                <w:color w:val="auto"/>
                <w:sz w:val="24"/>
                <w:szCs w:val="24"/>
                <w:highlight w:val="none"/>
                <w:lang w:val="en-US" w:eastAsia="zh-CN"/>
              </w:rPr>
              <w:t>本项目一台</w:t>
            </w:r>
            <w:r>
              <w:rPr>
                <w:rFonts w:hint="eastAsia"/>
                <w:bCs/>
                <w:color w:val="auto"/>
                <w:sz w:val="24"/>
                <w:highlight w:val="none"/>
                <w:lang w:val="en-US" w:eastAsia="zh-CN"/>
              </w:rPr>
              <w:t>4t/h燃生物质</w:t>
            </w:r>
            <w:r>
              <w:rPr>
                <w:rFonts w:hint="eastAsia"/>
                <w:bCs/>
                <w:color w:val="auto"/>
                <w:sz w:val="24"/>
                <w:highlight w:val="none"/>
                <w:lang w:eastAsia="zh-CN"/>
              </w:rPr>
              <w:t>蒸汽锅炉</w:t>
            </w:r>
            <w:r>
              <w:rPr>
                <w:rFonts w:hint="eastAsia" w:cs="Times New Roman"/>
                <w:color w:val="auto"/>
                <w:sz w:val="24"/>
                <w:szCs w:val="24"/>
                <w:highlight w:val="none"/>
                <w:lang w:val="en-US" w:eastAsia="zh-CN"/>
              </w:rPr>
              <w:t>，</w:t>
            </w:r>
            <w:r>
              <w:rPr>
                <w:rFonts w:hint="eastAsia"/>
                <w:color w:val="auto"/>
                <w:sz w:val="24"/>
                <w:szCs w:val="24"/>
                <w:highlight w:val="none"/>
                <w:lang w:val="en-US" w:eastAsia="zh-CN"/>
              </w:rPr>
              <w:t>根据</w:t>
            </w:r>
            <w:r>
              <w:rPr>
                <w:rFonts w:hint="eastAsia" w:ascii="Times New Roman" w:hAnsi="Times New Roman" w:eastAsia="宋体" w:cs="Times New Roman"/>
                <w:color w:val="auto"/>
                <w:sz w:val="24"/>
                <w:szCs w:val="24"/>
                <w:highlight w:val="none"/>
                <w:lang w:val="en-US" w:eastAsia="zh-CN"/>
              </w:rPr>
              <w:t>《锅炉大气污染物排放标准》（GB13271-2014）</w:t>
            </w:r>
            <w:r>
              <w:rPr>
                <w:rFonts w:hint="eastAsia" w:cs="Times New Roman"/>
                <w:color w:val="auto"/>
                <w:sz w:val="24"/>
                <w:szCs w:val="24"/>
                <w:highlight w:val="none"/>
                <w:lang w:val="en-US" w:eastAsia="zh-CN"/>
              </w:rPr>
              <w:t>表4中锅炉房最低允许高度，烟囱最低允许高度为35m，</w:t>
            </w:r>
            <w:r>
              <w:rPr>
                <w:rFonts w:hint="eastAsia" w:ascii="Times New Roman" w:hAnsi="Times New Roman" w:eastAsia="宋体" w:cs="Times New Roman"/>
                <w:color w:val="auto"/>
                <w:sz w:val="24"/>
                <w:szCs w:val="24"/>
                <w:highlight w:val="none"/>
                <w:lang w:val="en-US" w:eastAsia="zh-CN"/>
              </w:rPr>
              <w:t>“4.5 新建锅炉房的烟囱周围半径200m距离内有建筑物时，其烟囱应高出最高建筑物3m以上”，</w:t>
            </w:r>
            <w:r>
              <w:rPr>
                <w:rFonts w:hint="eastAsia" w:cs="Times New Roman"/>
                <w:color w:val="auto"/>
                <w:sz w:val="24"/>
                <w:szCs w:val="24"/>
                <w:highlight w:val="none"/>
                <w:lang w:val="en-US" w:eastAsia="zh-CN"/>
              </w:rPr>
              <w:t>项目周围半径200m范围内最高建筑物8.5m，</w:t>
            </w:r>
            <w:r>
              <w:rPr>
                <w:rFonts w:hint="eastAsia" w:ascii="Times New Roman" w:hAnsi="Times New Roman" w:eastAsia="宋体" w:cs="Times New Roman"/>
                <w:color w:val="auto"/>
                <w:sz w:val="24"/>
                <w:szCs w:val="24"/>
                <w:highlight w:val="none"/>
                <w:lang w:val="en-US" w:eastAsia="zh-CN"/>
              </w:rPr>
              <w:t>本项目锅炉房烟囱</w:t>
            </w:r>
            <w:r>
              <w:rPr>
                <w:rFonts w:hint="eastAsia" w:cs="Times New Roman"/>
                <w:color w:val="auto"/>
                <w:kern w:val="0"/>
                <w:sz w:val="24"/>
                <w:szCs w:val="24"/>
                <w:highlight w:val="none"/>
                <w:lang w:val="en-US" w:eastAsia="zh-CN" w:bidi="ar-SA"/>
              </w:rPr>
              <w:t>（DA001）</w:t>
            </w:r>
            <w:r>
              <w:rPr>
                <w:rFonts w:hint="eastAsia" w:ascii="Times New Roman" w:hAnsi="Times New Roman" w:eastAsia="宋体" w:cs="Times New Roman"/>
                <w:color w:val="auto"/>
                <w:sz w:val="24"/>
                <w:szCs w:val="24"/>
                <w:highlight w:val="none"/>
                <w:lang w:val="en-US" w:eastAsia="zh-CN"/>
              </w:rPr>
              <w:t>高</w:t>
            </w:r>
            <w:r>
              <w:rPr>
                <w:rFonts w:hint="eastAsia" w:cs="Times New Roman"/>
                <w:color w:val="auto"/>
                <w:sz w:val="24"/>
                <w:szCs w:val="24"/>
                <w:highlight w:val="none"/>
                <w:lang w:val="en-US" w:eastAsia="zh-CN"/>
              </w:rPr>
              <w:t>35</w:t>
            </w:r>
            <w:r>
              <w:rPr>
                <w:rFonts w:hint="eastAsia" w:ascii="Times New Roman" w:hAnsi="Times New Roman" w:eastAsia="宋体" w:cs="Times New Roman"/>
                <w:color w:val="auto"/>
                <w:sz w:val="24"/>
                <w:szCs w:val="24"/>
                <w:highlight w:val="none"/>
                <w:lang w:val="en-US" w:eastAsia="zh-CN"/>
              </w:rPr>
              <w:t>m符合《锅炉大气污染物排放标准》（GB13271-2014）</w:t>
            </w:r>
            <w:r>
              <w:rPr>
                <w:rFonts w:hint="eastAsia"/>
                <w:color w:val="auto"/>
                <w:sz w:val="24"/>
                <w:szCs w:val="24"/>
                <w:highlight w:val="none"/>
                <w:lang w:val="en-US" w:eastAsia="zh-CN"/>
              </w:rPr>
              <w:t>最低允许高度的要求。</w:t>
            </w:r>
          </w:p>
          <w:p w14:paraId="3E486A7A">
            <w:pPr>
              <w:keepNext w:val="0"/>
              <w:keepLines w:val="0"/>
              <w:pageBreakBefore w:val="0"/>
              <w:numPr>
                <w:ilvl w:val="0"/>
                <w:numId w:val="0"/>
              </w:numPr>
              <w:suppressLineNumbers w:val="0"/>
              <w:tabs>
                <w:tab w:val="left" w:pos="1291"/>
              </w:tabs>
              <w:wordWrap/>
              <w:topLinePunct w:val="0"/>
              <w:bidi w:val="0"/>
              <w:spacing w:before="0" w:beforeAutospacing="0" w:after="0" w:afterAutospacing="0" w:line="360" w:lineRule="auto"/>
              <w:ind w:left="0" w:leftChars="0" w:right="0" w:rightChars="0" w:firstLine="480" w:firstLineChars="200"/>
              <w:jc w:val="left"/>
              <w:rPr>
                <w:rFonts w:hint="default" w:ascii="Times New Roman" w:hAnsi="Times New Roman" w:cs="Times New Roman" w:eastAsiaTheme="minorEastAsia"/>
                <w:color w:val="auto"/>
                <w:sz w:val="24"/>
                <w:szCs w:val="28"/>
                <w:highlight w:val="none"/>
              </w:rPr>
            </w:pPr>
            <w:r>
              <w:rPr>
                <w:rFonts w:hint="eastAsia" w:cs="Times New Roman" w:eastAsiaTheme="minorEastAsia"/>
                <w:color w:val="auto"/>
                <w:sz w:val="24"/>
                <w:szCs w:val="28"/>
                <w:highlight w:val="none"/>
                <w:lang w:val="en-US" w:eastAsia="zh-CN"/>
              </w:rPr>
              <w:t>（3）</w:t>
            </w:r>
            <w:r>
              <w:rPr>
                <w:rFonts w:hint="default" w:ascii="Times New Roman" w:hAnsi="Times New Roman" w:cs="Times New Roman" w:eastAsiaTheme="minorEastAsia"/>
                <w:color w:val="auto"/>
                <w:sz w:val="24"/>
                <w:szCs w:val="28"/>
                <w:highlight w:val="none"/>
              </w:rPr>
              <w:t>排放口基本情况</w:t>
            </w:r>
          </w:p>
          <w:p w14:paraId="7FDD51B7">
            <w:pPr>
              <w:pStyle w:val="62"/>
              <w:keepNext w:val="0"/>
              <w:keepLines w:val="0"/>
              <w:pageBreakBefore w:val="0"/>
              <w:numPr>
                <w:ilvl w:val="0"/>
                <w:numId w:val="0"/>
              </w:numPr>
              <w:suppressLineNumbers w:val="0"/>
              <w:wordWrap/>
              <w:topLinePunct w:val="0"/>
              <w:bidi w:val="0"/>
              <w:spacing w:before="0" w:beforeAutospacing="0" w:after="0" w:afterAutospacing="0" w:line="360" w:lineRule="auto"/>
              <w:ind w:left="0" w:leftChars="0" w:right="0" w:rightChars="0" w:firstLine="480" w:firstLineChars="200"/>
              <w:jc w:val="left"/>
              <w:rPr>
                <w:rFonts w:hint="default" w:ascii="Times New Roman" w:hAnsi="Times New Roman" w:cs="Times New Roman" w:eastAsiaTheme="minorEastAsia"/>
                <w:b/>
                <w:bCs/>
                <w:color w:val="auto"/>
                <w:kern w:val="2"/>
                <w:sz w:val="21"/>
                <w:szCs w:val="24"/>
                <w:highlight w:val="none"/>
                <w:lang w:val="en-US" w:eastAsia="zh-CN" w:bidi="ar-SA"/>
              </w:rPr>
            </w:pPr>
            <w:r>
              <w:rPr>
                <w:rFonts w:hint="default" w:ascii="Times New Roman" w:hAnsi="Times New Roman" w:cs="Times New Roman" w:eastAsiaTheme="minorEastAsia"/>
                <w:color w:val="auto"/>
                <w:highlight w:val="none"/>
                <w:lang w:val="en-US" w:eastAsia="zh-CN"/>
              </w:rPr>
              <w:t>废气产排污节点、污染物及污染治理设施信息</w:t>
            </w:r>
            <w:r>
              <w:rPr>
                <w:rFonts w:hint="eastAsia" w:ascii="Times New Roman" w:hAnsi="Times New Roman" w:cs="Times New Roman" w:eastAsiaTheme="minorEastAsia"/>
                <w:color w:val="auto"/>
                <w:highlight w:val="none"/>
                <w:lang w:val="en-US" w:eastAsia="zh-CN"/>
              </w:rPr>
              <w:t>，</w:t>
            </w:r>
            <w:r>
              <w:rPr>
                <w:rFonts w:hint="default" w:ascii="Times New Roman" w:hAnsi="Times New Roman" w:cs="Times New Roman" w:eastAsiaTheme="minorEastAsia"/>
                <w:color w:val="auto"/>
                <w:highlight w:val="none"/>
                <w:lang w:eastAsia="zh-CN"/>
              </w:rPr>
              <w:t>大气排放口基本情况</w:t>
            </w:r>
            <w:r>
              <w:rPr>
                <w:rFonts w:hint="eastAsia" w:ascii="Times New Roman" w:hAnsi="Times New Roman" w:cs="Times New Roman" w:eastAsiaTheme="minorEastAsia"/>
                <w:color w:val="auto"/>
                <w:highlight w:val="none"/>
                <w:lang w:eastAsia="zh-CN"/>
              </w:rPr>
              <w:t>见表</w:t>
            </w:r>
            <w:r>
              <w:rPr>
                <w:rFonts w:hint="eastAsia" w:ascii="Times New Roman" w:hAnsi="Times New Roman" w:cs="Times New Roman" w:eastAsiaTheme="minorEastAsia"/>
                <w:color w:val="auto"/>
                <w:highlight w:val="none"/>
                <w:lang w:val="en-US" w:eastAsia="zh-CN"/>
              </w:rPr>
              <w:t>4-5</w:t>
            </w:r>
            <w:r>
              <w:rPr>
                <w:rFonts w:hint="default" w:ascii="Times New Roman" w:hAnsi="Times New Roman" w:cs="Times New Roman" w:eastAsiaTheme="minorEastAsia"/>
                <w:color w:val="auto"/>
                <w:highlight w:val="none"/>
                <w:lang w:eastAsia="zh-CN"/>
              </w:rPr>
              <w:t>。</w:t>
            </w:r>
          </w:p>
          <w:p w14:paraId="2EEA25B3">
            <w:pPr>
              <w:keepNext w:val="0"/>
              <w:keepLines w:val="0"/>
              <w:pageBreakBefore w:val="0"/>
              <w:suppressLineNumbers w:val="0"/>
              <w:kinsoku w:val="0"/>
              <w:wordWrap/>
              <w:overflowPunct w:val="0"/>
              <w:topLinePunct w:val="0"/>
              <w:autoSpaceDE w:val="0"/>
              <w:autoSpaceDN w:val="0"/>
              <w:bidi w:val="0"/>
              <w:snapToGrid w:val="0"/>
              <w:spacing w:before="0" w:beforeAutospacing="0" w:after="0" w:afterAutospacing="0" w:line="240" w:lineRule="auto"/>
              <w:ind w:left="0" w:leftChars="0" w:right="0" w:rightChars="0" w:firstLine="422" w:firstLineChars="200"/>
              <w:jc w:val="center"/>
              <w:rPr>
                <w:rFonts w:hint="default" w:ascii="Times New Roman" w:hAnsi="Times New Roman" w:cs="Times New Roman" w:eastAsiaTheme="minorEastAsia"/>
                <w:b/>
                <w:bCs/>
                <w:color w:val="auto"/>
                <w:kern w:val="2"/>
                <w:sz w:val="21"/>
                <w:szCs w:val="24"/>
                <w:highlight w:val="none"/>
                <w:lang w:val="en-US" w:eastAsia="zh-CN" w:bidi="ar-SA"/>
              </w:rPr>
            </w:pPr>
          </w:p>
          <w:p w14:paraId="19E85148">
            <w:pPr>
              <w:keepNext w:val="0"/>
              <w:keepLines w:val="0"/>
              <w:pageBreakBefore w:val="0"/>
              <w:suppressLineNumbers w:val="0"/>
              <w:kinsoku w:val="0"/>
              <w:wordWrap/>
              <w:overflowPunct w:val="0"/>
              <w:topLinePunct w:val="0"/>
              <w:autoSpaceDE w:val="0"/>
              <w:autoSpaceDN w:val="0"/>
              <w:bidi w:val="0"/>
              <w:snapToGrid w:val="0"/>
              <w:spacing w:before="0" w:beforeAutospacing="0" w:after="0" w:afterAutospacing="0" w:line="240" w:lineRule="auto"/>
              <w:ind w:left="0" w:leftChars="0" w:right="0" w:rightChars="0" w:firstLine="422" w:firstLineChars="200"/>
              <w:jc w:val="center"/>
              <w:rPr>
                <w:rFonts w:hint="default" w:ascii="Times New Roman" w:hAnsi="Times New Roman" w:cs="Times New Roman" w:eastAsiaTheme="minorEastAsia"/>
                <w:b/>
                <w:bCs/>
                <w:color w:val="auto"/>
                <w:kern w:val="2"/>
                <w:sz w:val="21"/>
                <w:szCs w:val="24"/>
                <w:highlight w:val="none"/>
                <w:lang w:val="en-US" w:eastAsia="zh-CN" w:bidi="ar-SA"/>
              </w:rPr>
            </w:pPr>
          </w:p>
          <w:p w14:paraId="75FA4E35">
            <w:pPr>
              <w:keepNext w:val="0"/>
              <w:keepLines w:val="0"/>
              <w:pageBreakBefore w:val="0"/>
              <w:suppressLineNumbers w:val="0"/>
              <w:kinsoku w:val="0"/>
              <w:wordWrap/>
              <w:overflowPunct w:val="0"/>
              <w:topLinePunct w:val="0"/>
              <w:autoSpaceDE w:val="0"/>
              <w:autoSpaceDN w:val="0"/>
              <w:bidi w:val="0"/>
              <w:snapToGrid w:val="0"/>
              <w:spacing w:before="0" w:beforeAutospacing="0" w:after="0" w:afterAutospacing="0" w:line="240" w:lineRule="auto"/>
              <w:ind w:left="0" w:leftChars="0" w:right="0" w:rightChars="0" w:firstLine="422" w:firstLineChars="200"/>
              <w:jc w:val="center"/>
              <w:rPr>
                <w:rFonts w:hint="default" w:ascii="Times New Roman" w:hAnsi="Times New Roman" w:cs="Times New Roman" w:eastAsiaTheme="minorEastAsia"/>
                <w:b/>
                <w:bCs/>
                <w:color w:val="auto"/>
                <w:kern w:val="2"/>
                <w:sz w:val="21"/>
                <w:szCs w:val="24"/>
                <w:highlight w:val="none"/>
                <w:lang w:val="en-US" w:eastAsia="zh-CN" w:bidi="ar-SA"/>
              </w:rPr>
            </w:pPr>
          </w:p>
          <w:p w14:paraId="24DA3BEC">
            <w:pPr>
              <w:keepNext w:val="0"/>
              <w:keepLines w:val="0"/>
              <w:pageBreakBefore w:val="0"/>
              <w:suppressLineNumbers w:val="0"/>
              <w:kinsoku w:val="0"/>
              <w:wordWrap/>
              <w:overflowPunct w:val="0"/>
              <w:topLinePunct w:val="0"/>
              <w:autoSpaceDE w:val="0"/>
              <w:autoSpaceDN w:val="0"/>
              <w:bidi w:val="0"/>
              <w:snapToGrid w:val="0"/>
              <w:spacing w:before="0" w:beforeAutospacing="0" w:after="0" w:afterAutospacing="0" w:line="240" w:lineRule="auto"/>
              <w:ind w:left="0" w:leftChars="0" w:right="0" w:rightChars="0" w:firstLine="422" w:firstLineChars="200"/>
              <w:jc w:val="center"/>
              <w:rPr>
                <w:rFonts w:hint="default" w:ascii="Times New Roman" w:hAnsi="Times New Roman" w:cs="Times New Roman" w:eastAsiaTheme="minorEastAsia"/>
                <w:b/>
                <w:bCs/>
                <w:color w:val="auto"/>
                <w:kern w:val="2"/>
                <w:sz w:val="21"/>
                <w:szCs w:val="24"/>
                <w:highlight w:val="none"/>
                <w:lang w:val="en-US" w:eastAsia="zh-CN" w:bidi="ar-SA"/>
              </w:rPr>
            </w:pPr>
            <w:r>
              <w:rPr>
                <w:rFonts w:hint="default" w:ascii="Times New Roman" w:hAnsi="Times New Roman" w:cs="Times New Roman" w:eastAsiaTheme="minorEastAsia"/>
                <w:b/>
                <w:bCs/>
                <w:color w:val="auto"/>
                <w:kern w:val="2"/>
                <w:sz w:val="21"/>
                <w:szCs w:val="24"/>
                <w:highlight w:val="none"/>
                <w:lang w:val="en-US" w:eastAsia="zh-CN" w:bidi="ar-SA"/>
              </w:rPr>
              <w:t>表4-</w:t>
            </w:r>
            <w:r>
              <w:rPr>
                <w:rFonts w:hint="eastAsia" w:cs="Times New Roman" w:eastAsiaTheme="minorEastAsia"/>
                <w:b/>
                <w:bCs/>
                <w:color w:val="auto"/>
                <w:kern w:val="2"/>
                <w:sz w:val="21"/>
                <w:szCs w:val="24"/>
                <w:highlight w:val="none"/>
                <w:lang w:val="en-US" w:eastAsia="zh-CN" w:bidi="ar-SA"/>
              </w:rPr>
              <w:t xml:space="preserve">5  </w:t>
            </w:r>
            <w:r>
              <w:rPr>
                <w:rFonts w:hint="default" w:ascii="Times New Roman" w:hAnsi="Times New Roman" w:cs="Times New Roman" w:eastAsiaTheme="minorEastAsia"/>
                <w:b/>
                <w:bCs/>
                <w:color w:val="auto"/>
                <w:kern w:val="2"/>
                <w:sz w:val="21"/>
                <w:szCs w:val="24"/>
                <w:highlight w:val="none"/>
                <w:lang w:val="en-US" w:eastAsia="zh-CN" w:bidi="ar-SA"/>
              </w:rPr>
              <w:t>大气排放口基本情况表</w:t>
            </w:r>
          </w:p>
          <w:tbl>
            <w:tblPr>
              <w:tblStyle w:val="3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406"/>
              <w:gridCol w:w="643"/>
              <w:gridCol w:w="644"/>
              <w:gridCol w:w="852"/>
              <w:gridCol w:w="1336"/>
              <w:gridCol w:w="1392"/>
              <w:gridCol w:w="786"/>
              <w:gridCol w:w="834"/>
              <w:gridCol w:w="783"/>
              <w:gridCol w:w="495"/>
            </w:tblGrid>
            <w:tr w14:paraId="24E9E8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29" w:hRule="atLeast"/>
                <w:tblHeader/>
                <w:jc w:val="center"/>
              </w:trPr>
              <w:tc>
                <w:tcPr>
                  <w:tcW w:w="248" w:type="pct"/>
                  <w:vMerge w:val="restart"/>
                  <w:noWrap/>
                  <w:vAlign w:val="center"/>
                </w:tcPr>
                <w:p w14:paraId="479AED7D">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序号</w:t>
                  </w:r>
                </w:p>
              </w:tc>
              <w:tc>
                <w:tcPr>
                  <w:tcW w:w="393" w:type="pct"/>
                  <w:vMerge w:val="restart"/>
                  <w:noWrap/>
                  <w:vAlign w:val="center"/>
                </w:tcPr>
                <w:p w14:paraId="116BF219">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排放口编号</w:t>
                  </w:r>
                </w:p>
              </w:tc>
              <w:tc>
                <w:tcPr>
                  <w:tcW w:w="394" w:type="pct"/>
                  <w:vMerge w:val="restart"/>
                  <w:noWrap/>
                  <w:vAlign w:val="center"/>
                </w:tcPr>
                <w:p w14:paraId="5DE0878C">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排放口名称</w:t>
                  </w:r>
                </w:p>
              </w:tc>
              <w:tc>
                <w:tcPr>
                  <w:tcW w:w="521" w:type="pct"/>
                  <w:vMerge w:val="restart"/>
                  <w:noWrap/>
                  <w:vAlign w:val="center"/>
                </w:tcPr>
                <w:p w14:paraId="57E16A16">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污染物种类</w:t>
                  </w:r>
                </w:p>
              </w:tc>
              <w:tc>
                <w:tcPr>
                  <w:tcW w:w="1668" w:type="pct"/>
                  <w:gridSpan w:val="2"/>
                  <w:noWrap/>
                  <w:vAlign w:val="center"/>
                </w:tcPr>
                <w:p w14:paraId="756DBDF8">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排放口地理坐标（1）</w:t>
                  </w:r>
                </w:p>
              </w:tc>
              <w:tc>
                <w:tcPr>
                  <w:tcW w:w="481" w:type="pct"/>
                  <w:vMerge w:val="restart"/>
                  <w:noWrap/>
                  <w:vAlign w:val="center"/>
                </w:tcPr>
                <w:p w14:paraId="1E097607">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排气筒高度</w:t>
                  </w:r>
                </w:p>
                <w:p w14:paraId="707E8988">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（m）</w:t>
                  </w:r>
                </w:p>
              </w:tc>
              <w:tc>
                <w:tcPr>
                  <w:tcW w:w="510" w:type="pct"/>
                  <w:vMerge w:val="restart"/>
                  <w:noWrap/>
                  <w:vAlign w:val="center"/>
                </w:tcPr>
                <w:p w14:paraId="1F3F83CA">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排气筒出口内径</w:t>
                  </w:r>
                </w:p>
                <w:p w14:paraId="52B5FA93">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（m）</w:t>
                  </w:r>
                </w:p>
              </w:tc>
              <w:tc>
                <w:tcPr>
                  <w:tcW w:w="479" w:type="pct"/>
                  <w:vMerge w:val="restart"/>
                  <w:noWrap/>
                  <w:vAlign w:val="center"/>
                </w:tcPr>
                <w:p w14:paraId="12381A89">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排气温度（℃）</w:t>
                  </w:r>
                </w:p>
              </w:tc>
              <w:tc>
                <w:tcPr>
                  <w:tcW w:w="303" w:type="pct"/>
                  <w:vMerge w:val="restart"/>
                  <w:noWrap/>
                  <w:vAlign w:val="center"/>
                </w:tcPr>
                <w:p w14:paraId="4B696A04">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其他信息</w:t>
                  </w:r>
                </w:p>
              </w:tc>
            </w:tr>
            <w:tr w14:paraId="17022A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4" w:hRule="atLeast"/>
                <w:tblHeader/>
                <w:jc w:val="center"/>
              </w:trPr>
              <w:tc>
                <w:tcPr>
                  <w:tcW w:w="248" w:type="pct"/>
                  <w:vMerge w:val="continue"/>
                  <w:noWrap/>
                  <w:vAlign w:val="center"/>
                </w:tcPr>
                <w:p w14:paraId="1394320F">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393" w:type="pct"/>
                  <w:vMerge w:val="continue"/>
                  <w:noWrap/>
                  <w:vAlign w:val="center"/>
                </w:tcPr>
                <w:p w14:paraId="1C98290B">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394" w:type="pct"/>
                  <w:vMerge w:val="continue"/>
                  <w:noWrap/>
                  <w:vAlign w:val="center"/>
                </w:tcPr>
                <w:p w14:paraId="0F3876C0">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521" w:type="pct"/>
                  <w:vMerge w:val="continue"/>
                  <w:noWrap/>
                  <w:vAlign w:val="center"/>
                </w:tcPr>
                <w:p w14:paraId="001A59AA">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817" w:type="pct"/>
                  <w:noWrap/>
                  <w:vAlign w:val="center"/>
                </w:tcPr>
                <w:p w14:paraId="5BD476D3">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经度</w:t>
                  </w:r>
                </w:p>
              </w:tc>
              <w:tc>
                <w:tcPr>
                  <w:tcW w:w="850" w:type="pct"/>
                  <w:noWrap/>
                  <w:vAlign w:val="center"/>
                </w:tcPr>
                <w:p w14:paraId="7F9106E6">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纬度</w:t>
                  </w:r>
                </w:p>
              </w:tc>
              <w:tc>
                <w:tcPr>
                  <w:tcW w:w="481" w:type="pct"/>
                  <w:vMerge w:val="continue"/>
                  <w:noWrap/>
                  <w:vAlign w:val="center"/>
                </w:tcPr>
                <w:p w14:paraId="0153AD66">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510" w:type="pct"/>
                  <w:vMerge w:val="continue"/>
                  <w:noWrap/>
                  <w:vAlign w:val="center"/>
                </w:tcPr>
                <w:p w14:paraId="5D4480A7">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479" w:type="pct"/>
                  <w:vMerge w:val="continue"/>
                  <w:noWrap/>
                  <w:vAlign w:val="center"/>
                </w:tcPr>
                <w:p w14:paraId="791A41AD">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303" w:type="pct"/>
                  <w:vMerge w:val="continue"/>
                  <w:noWrap/>
                  <w:vAlign w:val="center"/>
                </w:tcPr>
                <w:p w14:paraId="5B0F20D7">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r>
            <w:tr w14:paraId="3C99AC9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4" w:hRule="atLeast"/>
                <w:tblHeader/>
                <w:jc w:val="center"/>
              </w:trPr>
              <w:tc>
                <w:tcPr>
                  <w:tcW w:w="248" w:type="pct"/>
                  <w:noWrap/>
                  <w:vAlign w:val="center"/>
                </w:tcPr>
                <w:p w14:paraId="0D5A9D52">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w:t>
                  </w:r>
                </w:p>
              </w:tc>
              <w:tc>
                <w:tcPr>
                  <w:tcW w:w="393" w:type="pct"/>
                  <w:noWrap/>
                  <w:vAlign w:val="center"/>
                </w:tcPr>
                <w:p w14:paraId="47FC9B75">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rPr>
                    <w:t>DA00</w:t>
                  </w:r>
                  <w:r>
                    <w:rPr>
                      <w:rFonts w:hint="eastAsia" w:ascii="Times New Roman" w:hAnsi="Times New Roman" w:cs="Times New Roman" w:eastAsiaTheme="minorEastAsia"/>
                      <w:color w:val="auto"/>
                      <w:sz w:val="21"/>
                      <w:szCs w:val="21"/>
                      <w:highlight w:val="none"/>
                      <w:lang w:val="en-US" w:eastAsia="zh-CN"/>
                    </w:rPr>
                    <w:t>1</w:t>
                  </w:r>
                </w:p>
              </w:tc>
              <w:tc>
                <w:tcPr>
                  <w:tcW w:w="394" w:type="pct"/>
                  <w:noWrap/>
                  <w:vAlign w:val="center"/>
                </w:tcPr>
                <w:p w14:paraId="5FB34D50">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sz w:val="21"/>
                      <w:szCs w:val="21"/>
                      <w:highlight w:val="none"/>
                      <w:lang w:val="en-US" w:eastAsia="zh-CN"/>
                    </w:rPr>
                    <w:t>烟囱</w:t>
                  </w:r>
                </w:p>
              </w:tc>
              <w:tc>
                <w:tcPr>
                  <w:tcW w:w="521" w:type="pct"/>
                  <w:noWrap/>
                  <w:vAlign w:val="center"/>
                </w:tcPr>
                <w:p w14:paraId="7BF84EAE">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rPr>
                    <w:t>颗粒物</w:t>
                  </w:r>
                  <w:r>
                    <w:rPr>
                      <w:rFonts w:hint="default"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lang w:val="en-US" w:eastAsia="zh-CN"/>
                    </w:rPr>
                    <w:t>SO</w:t>
                  </w:r>
                  <w:r>
                    <w:rPr>
                      <w:rFonts w:hint="default" w:ascii="Times New Roman" w:hAnsi="Times New Roman" w:cs="Times New Roman" w:eastAsiaTheme="minorEastAsia"/>
                      <w:color w:val="auto"/>
                      <w:sz w:val="21"/>
                      <w:szCs w:val="21"/>
                      <w:highlight w:val="none"/>
                      <w:vertAlign w:val="subscript"/>
                      <w:lang w:val="en-US" w:eastAsia="zh-CN"/>
                    </w:rPr>
                    <w:t>2</w:t>
                  </w:r>
                  <w:r>
                    <w:rPr>
                      <w:rFonts w:hint="default"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lang w:val="en-US" w:eastAsia="zh-CN"/>
                    </w:rPr>
                    <w:t>NO</w:t>
                  </w:r>
                  <w:r>
                    <w:rPr>
                      <w:rFonts w:hint="eastAsia" w:ascii="Times New Roman" w:hAnsi="Times New Roman" w:cs="Times New Roman" w:eastAsiaTheme="minorEastAsia"/>
                      <w:color w:val="auto"/>
                      <w:sz w:val="21"/>
                      <w:szCs w:val="21"/>
                      <w:highlight w:val="none"/>
                      <w:lang w:val="en-US" w:eastAsia="zh-CN"/>
                    </w:rPr>
                    <w:t>x、烟气黑度</w:t>
                  </w:r>
                </w:p>
              </w:tc>
              <w:tc>
                <w:tcPr>
                  <w:tcW w:w="817" w:type="pct"/>
                  <w:noWrap/>
                  <w:vAlign w:val="center"/>
                </w:tcPr>
                <w:p w14:paraId="5662ED24">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131.17256982</w:t>
                  </w:r>
                </w:p>
              </w:tc>
              <w:tc>
                <w:tcPr>
                  <w:tcW w:w="850" w:type="pct"/>
                  <w:noWrap/>
                  <w:vAlign w:val="center"/>
                </w:tcPr>
                <w:p w14:paraId="49AB9F47">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46.68976224</w:t>
                  </w:r>
                </w:p>
              </w:tc>
              <w:tc>
                <w:tcPr>
                  <w:tcW w:w="481" w:type="pct"/>
                  <w:noWrap/>
                  <w:vAlign w:val="center"/>
                </w:tcPr>
                <w:p w14:paraId="41D70BCE">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35</w:t>
                  </w:r>
                </w:p>
              </w:tc>
              <w:tc>
                <w:tcPr>
                  <w:tcW w:w="510" w:type="pct"/>
                  <w:noWrap/>
                  <w:vAlign w:val="center"/>
                </w:tcPr>
                <w:p w14:paraId="2AF241AB">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sz w:val="21"/>
                      <w:szCs w:val="21"/>
                      <w:highlight w:val="none"/>
                      <w:lang w:val="en-US" w:eastAsia="zh-CN"/>
                    </w:rPr>
                    <w:t>0.5</w:t>
                  </w:r>
                </w:p>
              </w:tc>
              <w:tc>
                <w:tcPr>
                  <w:tcW w:w="479" w:type="pct"/>
                  <w:noWrap/>
                  <w:vAlign w:val="center"/>
                </w:tcPr>
                <w:p w14:paraId="30EBA3BC">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sz w:val="21"/>
                      <w:szCs w:val="21"/>
                      <w:highlight w:val="none"/>
                      <w:lang w:val="en-US" w:eastAsia="zh-CN"/>
                    </w:rPr>
                    <w:t>100</w:t>
                  </w:r>
                </w:p>
              </w:tc>
              <w:tc>
                <w:tcPr>
                  <w:tcW w:w="303" w:type="pct"/>
                  <w:noWrap/>
                  <w:vAlign w:val="center"/>
                </w:tcPr>
                <w:p w14:paraId="160A1859">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w:t>
                  </w:r>
                </w:p>
              </w:tc>
            </w:tr>
          </w:tbl>
          <w:p w14:paraId="1D38778C">
            <w:pPr>
              <w:pStyle w:val="30"/>
              <w:keepNext w:val="0"/>
              <w:keepLines w:val="0"/>
              <w:pageBreakBefore w:val="0"/>
              <w:widowControl w:val="0"/>
              <w:suppressLineNumbers w:val="0"/>
              <w:wordWrap/>
              <w:bidi w:val="0"/>
              <w:snapToGrid/>
              <w:spacing w:before="0" w:beforeAutospacing="0" w:after="0" w:afterAutospacing="0" w:line="360" w:lineRule="auto"/>
              <w:ind w:left="0" w:leftChars="0" w:right="0" w:firstLine="480" w:firstLineChars="200"/>
              <w:rPr>
                <w:rFonts w:hint="default"/>
                <w:bCs/>
                <w:color w:val="auto"/>
                <w:sz w:val="24"/>
                <w:highlight w:val="none"/>
              </w:rPr>
            </w:pPr>
            <w:r>
              <w:rPr>
                <w:rFonts w:hint="eastAsia"/>
                <w:bCs/>
                <w:color w:val="auto"/>
                <w:sz w:val="24"/>
                <w:highlight w:val="none"/>
                <w:lang w:val="en-US" w:eastAsia="zh-CN"/>
              </w:rPr>
              <w:t>4、</w:t>
            </w:r>
            <w:r>
              <w:rPr>
                <w:rFonts w:hint="default"/>
                <w:bCs/>
                <w:color w:val="auto"/>
                <w:sz w:val="24"/>
                <w:highlight w:val="none"/>
              </w:rPr>
              <w:t>大气监测计划</w:t>
            </w:r>
          </w:p>
          <w:p w14:paraId="067CED87">
            <w:pPr>
              <w:pStyle w:val="124"/>
              <w:keepNext w:val="0"/>
              <w:keepLines w:val="0"/>
              <w:pageBreakBefore w:val="0"/>
              <w:suppressLineNumbers w:val="0"/>
              <w:wordWrap/>
              <w:bidi w:val="0"/>
              <w:spacing w:before="0" w:beforeAutospacing="0" w:after="0" w:afterAutospacing="0" w:line="360" w:lineRule="auto"/>
              <w:ind w:left="0" w:leftChars="0" w:right="0" w:firstLine="48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本项目运行期污染源监测计划按照《排污单位自行监测技术指南 总则》（HJ 819-2017）、</w:t>
            </w:r>
            <w:r>
              <w:rPr>
                <w:rFonts w:hint="eastAsia" w:ascii="Times New Roman" w:hAnsi="Times New Roman" w:cs="Times New Roman"/>
                <w:color w:val="auto"/>
                <w:kern w:val="2"/>
                <w:sz w:val="24"/>
                <w:szCs w:val="24"/>
                <w:highlight w:val="none"/>
                <w:lang w:val="en-US" w:eastAsia="zh-CN" w:bidi="ar-SA"/>
              </w:rPr>
              <w:t>《排污单位自行监测技术指南 火力发电及锅炉》（HJ 820-2017）、</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排污单位自行监测技术指南 农副食品加工业</w:t>
            </w:r>
            <w:r>
              <w:rPr>
                <w:rFonts w:hint="eastAsia" w:ascii="Times New Roman" w:hAnsi="Times New Roman" w:eastAsia="宋体" w:cs="Times New Roman"/>
                <w:color w:val="auto"/>
                <w:kern w:val="2"/>
                <w:sz w:val="24"/>
                <w:szCs w:val="24"/>
                <w:highlight w:val="none"/>
                <w:lang w:val="en-US" w:eastAsia="zh-CN" w:bidi="ar-SA"/>
              </w:rPr>
              <w:t>》（HJ 986-2018）</w:t>
            </w:r>
            <w:r>
              <w:rPr>
                <w:rFonts w:hint="default" w:ascii="Times New Roman" w:hAnsi="Times New Roman" w:eastAsia="宋体" w:cs="Times New Roman"/>
                <w:color w:val="auto"/>
                <w:kern w:val="2"/>
                <w:sz w:val="24"/>
                <w:szCs w:val="24"/>
                <w:highlight w:val="none"/>
                <w:lang w:val="en-US" w:eastAsia="zh-CN" w:bidi="ar-SA"/>
              </w:rPr>
              <w:t>中的监测要求制定，具体监测计划见下表</w:t>
            </w:r>
            <w:r>
              <w:rPr>
                <w:rFonts w:hint="eastAsia" w:ascii="Times New Roman" w:hAnsi="Times New Roman" w:cs="Times New Roman"/>
                <w:color w:val="auto"/>
                <w:kern w:val="2"/>
                <w:sz w:val="24"/>
                <w:szCs w:val="24"/>
                <w:highlight w:val="none"/>
                <w:lang w:val="en-US" w:eastAsia="zh-CN" w:bidi="ar-SA"/>
              </w:rPr>
              <w:t>4-6</w:t>
            </w:r>
            <w:r>
              <w:rPr>
                <w:rFonts w:hint="default" w:ascii="Times New Roman" w:hAnsi="Times New Roman" w:eastAsia="宋体" w:cs="Times New Roman"/>
                <w:color w:val="auto"/>
                <w:kern w:val="2"/>
                <w:sz w:val="24"/>
                <w:szCs w:val="24"/>
                <w:highlight w:val="none"/>
                <w:lang w:val="en-US" w:eastAsia="zh-CN" w:bidi="ar-SA"/>
              </w:rPr>
              <w:t>。若企业不具备监测条件进行上述污染源及环境质量监测，可委托有资质的环境监测单位进行监测。</w:t>
            </w:r>
          </w:p>
          <w:p w14:paraId="5BD35015">
            <w:pPr>
              <w:keepNext w:val="0"/>
              <w:keepLines w:val="0"/>
              <w:pageBreakBefore w:val="0"/>
              <w:suppressLineNumbers w:val="0"/>
              <w:wordWrap/>
              <w:bidi w:val="0"/>
              <w:spacing w:before="0" w:beforeAutospacing="0" w:after="0" w:afterAutospacing="0" w:line="240" w:lineRule="auto"/>
              <w:ind w:left="0" w:leftChars="0" w:right="0"/>
              <w:jc w:val="center"/>
              <w:rPr>
                <w:rFonts w:hint="default" w:ascii="Times New Roman" w:hAnsi="Times New Roman" w:eastAsia="宋体" w:cs="Times New Roman"/>
                <w:b/>
                <w:bCs/>
                <w:iCs/>
                <w:color w:val="auto"/>
                <w:kern w:val="0"/>
                <w:sz w:val="21"/>
                <w:szCs w:val="21"/>
                <w:highlight w:val="none"/>
                <w:lang w:val="en-US" w:eastAsia="zh-CN" w:bidi="ar-SA"/>
              </w:rPr>
            </w:pPr>
            <w:r>
              <w:rPr>
                <w:rFonts w:hint="default" w:ascii="Times New Roman" w:hAnsi="Times New Roman" w:eastAsia="宋体" w:cs="Times New Roman"/>
                <w:b/>
                <w:bCs/>
                <w:iCs/>
                <w:color w:val="auto"/>
                <w:kern w:val="0"/>
                <w:sz w:val="21"/>
                <w:szCs w:val="21"/>
                <w:highlight w:val="none"/>
                <w:lang w:val="en-US" w:eastAsia="zh-CN" w:bidi="ar-SA"/>
              </w:rPr>
              <w:t>表4-</w:t>
            </w:r>
            <w:r>
              <w:rPr>
                <w:rFonts w:hint="eastAsia" w:cs="Times New Roman"/>
                <w:b/>
                <w:bCs/>
                <w:iCs/>
                <w:color w:val="auto"/>
                <w:kern w:val="0"/>
                <w:sz w:val="21"/>
                <w:szCs w:val="21"/>
                <w:highlight w:val="none"/>
                <w:lang w:val="en-US" w:eastAsia="zh-CN" w:bidi="ar-SA"/>
              </w:rPr>
              <w:t>6</w:t>
            </w:r>
            <w:r>
              <w:rPr>
                <w:rFonts w:hint="default" w:ascii="Times New Roman" w:hAnsi="Times New Roman" w:eastAsia="宋体" w:cs="Times New Roman"/>
                <w:b/>
                <w:bCs/>
                <w:iCs/>
                <w:color w:val="auto"/>
                <w:kern w:val="0"/>
                <w:sz w:val="21"/>
                <w:szCs w:val="21"/>
                <w:highlight w:val="none"/>
                <w:lang w:val="en-US" w:eastAsia="zh-CN" w:bidi="ar-SA"/>
              </w:rPr>
              <w:t xml:space="preserve">  大气监测计划</w:t>
            </w:r>
          </w:p>
          <w:tbl>
            <w:tblPr>
              <w:tblStyle w:val="3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194"/>
              <w:gridCol w:w="1395"/>
              <w:gridCol w:w="1407"/>
              <w:gridCol w:w="1651"/>
              <w:gridCol w:w="2520"/>
            </w:tblGrid>
            <w:tr w14:paraId="01E955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67" w:hRule="exact"/>
                <w:jc w:val="center"/>
              </w:trPr>
              <w:tc>
                <w:tcPr>
                  <w:tcW w:w="730" w:type="pct"/>
                  <w:noWrap w:val="0"/>
                  <w:vAlign w:val="center"/>
                </w:tcPr>
                <w:p w14:paraId="6AA733CD">
                  <w:pPr>
                    <w:pStyle w:val="125"/>
                    <w:keepNext w:val="0"/>
                    <w:keepLines w:val="0"/>
                    <w:pageBreakBefore w:val="0"/>
                    <w:suppressLineNumbers w:val="0"/>
                    <w:wordWrap/>
                    <w:bidi w:val="0"/>
                    <w:snapToGrid w:val="0"/>
                    <w:spacing w:before="0" w:beforeAutospacing="0" w:after="0" w:afterAutospacing="0" w:line="360" w:lineRule="auto"/>
                    <w:ind w:left="0" w:leftChars="0" w:right="0" w:firstLine="0" w:firstLineChars="0"/>
                    <w:jc w:val="center"/>
                    <w:rPr>
                      <w:rFonts w:hint="default" w:ascii="Times New Roman" w:eastAsia="宋体"/>
                      <w:b w:val="0"/>
                      <w:bCs w:val="0"/>
                      <w:color w:val="auto"/>
                      <w:sz w:val="21"/>
                      <w:szCs w:val="21"/>
                      <w:highlight w:val="none"/>
                      <w:lang w:val="zh-CN"/>
                    </w:rPr>
                  </w:pPr>
                  <w:r>
                    <w:rPr>
                      <w:rFonts w:hint="default" w:ascii="Times New Roman" w:eastAsia="宋体"/>
                      <w:b w:val="0"/>
                      <w:bCs w:val="0"/>
                      <w:color w:val="auto"/>
                      <w:sz w:val="21"/>
                      <w:szCs w:val="21"/>
                      <w:highlight w:val="none"/>
                      <w:lang w:val="zh-CN"/>
                    </w:rPr>
                    <w:t>环境要素</w:t>
                  </w:r>
                </w:p>
              </w:tc>
              <w:tc>
                <w:tcPr>
                  <w:tcW w:w="854" w:type="pct"/>
                  <w:noWrap w:val="0"/>
                  <w:vAlign w:val="center"/>
                </w:tcPr>
                <w:p w14:paraId="6040A9DC">
                  <w:pPr>
                    <w:pStyle w:val="125"/>
                    <w:keepNext w:val="0"/>
                    <w:keepLines w:val="0"/>
                    <w:pageBreakBefore w:val="0"/>
                    <w:suppressLineNumbers w:val="0"/>
                    <w:wordWrap/>
                    <w:bidi w:val="0"/>
                    <w:snapToGrid w:val="0"/>
                    <w:spacing w:before="0" w:beforeAutospacing="0" w:after="0" w:afterAutospacing="0" w:line="360" w:lineRule="auto"/>
                    <w:ind w:left="0" w:leftChars="0" w:right="0" w:firstLine="0" w:firstLineChars="0"/>
                    <w:jc w:val="center"/>
                    <w:rPr>
                      <w:rFonts w:hint="default" w:ascii="Times New Roman" w:eastAsia="宋体"/>
                      <w:b w:val="0"/>
                      <w:bCs w:val="0"/>
                      <w:color w:val="auto"/>
                      <w:sz w:val="21"/>
                      <w:szCs w:val="21"/>
                      <w:highlight w:val="none"/>
                      <w:lang w:val="zh-CN"/>
                    </w:rPr>
                  </w:pPr>
                  <w:r>
                    <w:rPr>
                      <w:rFonts w:hint="default" w:ascii="Times New Roman" w:eastAsia="宋体"/>
                      <w:b w:val="0"/>
                      <w:bCs w:val="0"/>
                      <w:color w:val="auto"/>
                      <w:sz w:val="21"/>
                      <w:szCs w:val="21"/>
                      <w:highlight w:val="none"/>
                      <w:lang w:val="zh-CN"/>
                    </w:rPr>
                    <w:t>监测项目</w:t>
                  </w:r>
                </w:p>
              </w:tc>
              <w:tc>
                <w:tcPr>
                  <w:tcW w:w="861" w:type="pct"/>
                  <w:noWrap w:val="0"/>
                  <w:vAlign w:val="center"/>
                </w:tcPr>
                <w:p w14:paraId="0FB995CC">
                  <w:pPr>
                    <w:pStyle w:val="125"/>
                    <w:keepNext w:val="0"/>
                    <w:keepLines w:val="0"/>
                    <w:pageBreakBefore w:val="0"/>
                    <w:suppressLineNumbers w:val="0"/>
                    <w:wordWrap/>
                    <w:bidi w:val="0"/>
                    <w:snapToGrid w:val="0"/>
                    <w:spacing w:before="0" w:beforeAutospacing="0" w:after="0" w:afterAutospacing="0" w:line="360" w:lineRule="auto"/>
                    <w:ind w:left="0" w:leftChars="0" w:right="0" w:firstLine="0" w:firstLineChars="0"/>
                    <w:jc w:val="center"/>
                    <w:rPr>
                      <w:rFonts w:hint="default" w:ascii="Times New Roman" w:eastAsia="宋体"/>
                      <w:b w:val="0"/>
                      <w:bCs w:val="0"/>
                      <w:color w:val="auto"/>
                      <w:sz w:val="21"/>
                      <w:szCs w:val="21"/>
                      <w:highlight w:val="none"/>
                      <w:lang w:val="zh-CN"/>
                    </w:rPr>
                  </w:pPr>
                  <w:r>
                    <w:rPr>
                      <w:rFonts w:hint="default" w:ascii="Times New Roman" w:eastAsia="宋体"/>
                      <w:b w:val="0"/>
                      <w:bCs w:val="0"/>
                      <w:color w:val="auto"/>
                      <w:sz w:val="21"/>
                      <w:szCs w:val="21"/>
                      <w:highlight w:val="none"/>
                      <w:lang w:val="zh-CN"/>
                    </w:rPr>
                    <w:t>监测点</w:t>
                  </w:r>
                </w:p>
              </w:tc>
              <w:tc>
                <w:tcPr>
                  <w:tcW w:w="1010" w:type="pct"/>
                  <w:noWrap w:val="0"/>
                  <w:vAlign w:val="center"/>
                </w:tcPr>
                <w:p w14:paraId="4588F26E">
                  <w:pPr>
                    <w:pStyle w:val="125"/>
                    <w:keepNext w:val="0"/>
                    <w:keepLines w:val="0"/>
                    <w:pageBreakBefore w:val="0"/>
                    <w:suppressLineNumbers w:val="0"/>
                    <w:wordWrap/>
                    <w:bidi w:val="0"/>
                    <w:snapToGrid w:val="0"/>
                    <w:spacing w:before="0" w:beforeAutospacing="0" w:after="0" w:afterAutospacing="0" w:line="360" w:lineRule="auto"/>
                    <w:ind w:left="0" w:leftChars="0" w:right="0" w:firstLine="0" w:firstLineChars="0"/>
                    <w:jc w:val="center"/>
                    <w:rPr>
                      <w:rFonts w:hint="default" w:ascii="Times New Roman" w:eastAsia="宋体"/>
                      <w:b w:val="0"/>
                      <w:bCs w:val="0"/>
                      <w:color w:val="auto"/>
                      <w:sz w:val="21"/>
                      <w:szCs w:val="21"/>
                      <w:highlight w:val="none"/>
                      <w:lang w:val="zh-CN"/>
                    </w:rPr>
                  </w:pPr>
                  <w:r>
                    <w:rPr>
                      <w:rFonts w:hint="default" w:ascii="Times New Roman" w:eastAsia="宋体"/>
                      <w:b w:val="0"/>
                      <w:bCs w:val="0"/>
                      <w:color w:val="auto"/>
                      <w:sz w:val="21"/>
                      <w:szCs w:val="21"/>
                      <w:highlight w:val="none"/>
                      <w:lang w:val="zh-CN"/>
                    </w:rPr>
                    <w:t>监测时间及频率</w:t>
                  </w:r>
                </w:p>
              </w:tc>
              <w:tc>
                <w:tcPr>
                  <w:tcW w:w="1542" w:type="pct"/>
                  <w:noWrap w:val="0"/>
                  <w:vAlign w:val="center"/>
                </w:tcPr>
                <w:p w14:paraId="1C88544A">
                  <w:pPr>
                    <w:pStyle w:val="125"/>
                    <w:keepNext w:val="0"/>
                    <w:keepLines w:val="0"/>
                    <w:pageBreakBefore w:val="0"/>
                    <w:suppressLineNumbers w:val="0"/>
                    <w:wordWrap/>
                    <w:bidi w:val="0"/>
                    <w:snapToGrid w:val="0"/>
                    <w:spacing w:before="0" w:beforeAutospacing="0" w:after="0" w:afterAutospacing="0" w:line="360" w:lineRule="auto"/>
                    <w:ind w:left="0" w:leftChars="0" w:right="0" w:firstLine="0" w:firstLineChars="0"/>
                    <w:jc w:val="center"/>
                    <w:rPr>
                      <w:rFonts w:hint="default" w:ascii="Times New Roman" w:eastAsia="宋体"/>
                      <w:b w:val="0"/>
                      <w:bCs w:val="0"/>
                      <w:color w:val="auto"/>
                      <w:sz w:val="21"/>
                      <w:szCs w:val="21"/>
                      <w:highlight w:val="none"/>
                      <w:lang w:val="zh-CN"/>
                    </w:rPr>
                  </w:pPr>
                  <w:r>
                    <w:rPr>
                      <w:rFonts w:hint="eastAsia" w:ascii="Times New Roman" w:eastAsia="宋体"/>
                      <w:b w:val="0"/>
                      <w:bCs w:val="0"/>
                      <w:color w:val="auto"/>
                      <w:sz w:val="21"/>
                      <w:szCs w:val="21"/>
                      <w:highlight w:val="none"/>
                      <w:lang w:val="zh-CN"/>
                    </w:rPr>
                    <w:t>执行标准</w:t>
                  </w:r>
                </w:p>
              </w:tc>
            </w:tr>
            <w:tr w14:paraId="58B707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197" w:hRule="exact"/>
                <w:jc w:val="center"/>
              </w:trPr>
              <w:tc>
                <w:tcPr>
                  <w:tcW w:w="730" w:type="pct"/>
                  <w:vMerge w:val="restart"/>
                  <w:noWrap w:val="0"/>
                  <w:vAlign w:val="center"/>
                </w:tcPr>
                <w:p w14:paraId="7685DA5A">
                  <w:pPr>
                    <w:pStyle w:val="125"/>
                    <w:keepNext w:val="0"/>
                    <w:keepLines w:val="0"/>
                    <w:pageBreakBefore w:val="0"/>
                    <w:suppressLineNumbers w:val="0"/>
                    <w:wordWrap/>
                    <w:bidi w:val="0"/>
                    <w:snapToGrid w:val="0"/>
                    <w:spacing w:before="0" w:beforeAutospacing="0" w:after="0" w:afterAutospacing="0" w:line="360" w:lineRule="auto"/>
                    <w:ind w:left="0" w:leftChars="0" w:right="0" w:rightChars="0" w:firstLine="0" w:firstLineChars="0"/>
                    <w:jc w:val="center"/>
                    <w:rPr>
                      <w:rFonts w:hint="default" w:ascii="Times New Roman" w:eastAsia="宋体"/>
                      <w:color w:val="auto"/>
                      <w:sz w:val="21"/>
                      <w:szCs w:val="21"/>
                      <w:highlight w:val="none"/>
                      <w:lang w:val="zh-CN"/>
                    </w:rPr>
                  </w:pPr>
                  <w:r>
                    <w:rPr>
                      <w:rFonts w:hint="eastAsia" w:ascii="Times New Roman" w:eastAsia="宋体"/>
                      <w:color w:val="auto"/>
                      <w:sz w:val="21"/>
                      <w:szCs w:val="21"/>
                      <w:highlight w:val="none"/>
                      <w:lang w:val="zh-CN"/>
                    </w:rPr>
                    <w:t>废气</w:t>
                  </w:r>
                </w:p>
              </w:tc>
              <w:tc>
                <w:tcPr>
                  <w:tcW w:w="854" w:type="pct"/>
                  <w:noWrap w:val="0"/>
                  <w:vAlign w:val="center"/>
                </w:tcPr>
                <w:p w14:paraId="180BA6AF">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eastAsia" w:ascii="Times New Roman" w:eastAsia="宋体"/>
                      <w:color w:val="auto"/>
                      <w:sz w:val="21"/>
                      <w:szCs w:val="21"/>
                      <w:highlight w:val="none"/>
                      <w:lang w:val="zh-CN" w:eastAsia="zh-CN"/>
                    </w:rPr>
                  </w:pPr>
                  <w:r>
                    <w:rPr>
                      <w:rFonts w:hint="default" w:ascii="Times New Roman" w:hAnsi="Times New Roman" w:cs="Times New Roman" w:eastAsiaTheme="minorEastAsia"/>
                      <w:color w:val="auto"/>
                      <w:sz w:val="21"/>
                      <w:szCs w:val="21"/>
                      <w:highlight w:val="none"/>
                    </w:rPr>
                    <w:t>颗粒物</w:t>
                  </w:r>
                  <w:r>
                    <w:rPr>
                      <w:rFonts w:hint="default"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lang w:val="en-US" w:eastAsia="zh-CN"/>
                    </w:rPr>
                    <w:t>SO</w:t>
                  </w:r>
                  <w:r>
                    <w:rPr>
                      <w:rFonts w:hint="default" w:ascii="Times New Roman" w:hAnsi="Times New Roman" w:cs="Times New Roman" w:eastAsiaTheme="minorEastAsia"/>
                      <w:color w:val="auto"/>
                      <w:sz w:val="21"/>
                      <w:szCs w:val="21"/>
                      <w:highlight w:val="none"/>
                      <w:vertAlign w:val="subscript"/>
                      <w:lang w:val="en-US" w:eastAsia="zh-CN"/>
                    </w:rPr>
                    <w:t>2</w:t>
                  </w:r>
                  <w:r>
                    <w:rPr>
                      <w:rFonts w:hint="default"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lang w:val="en-US" w:eastAsia="zh-CN"/>
                    </w:rPr>
                    <w:t>NO</w:t>
                  </w:r>
                  <w:r>
                    <w:rPr>
                      <w:rFonts w:hint="eastAsia" w:ascii="Times New Roman" w:hAnsi="Times New Roman" w:cs="Times New Roman" w:eastAsiaTheme="minorEastAsia"/>
                      <w:color w:val="auto"/>
                      <w:sz w:val="21"/>
                      <w:szCs w:val="21"/>
                      <w:highlight w:val="none"/>
                      <w:lang w:val="en-US" w:eastAsia="zh-CN"/>
                    </w:rPr>
                    <w:t>x、烟气黑度</w:t>
                  </w:r>
                </w:p>
              </w:tc>
              <w:tc>
                <w:tcPr>
                  <w:tcW w:w="861" w:type="pct"/>
                  <w:noWrap w:val="0"/>
                  <w:vAlign w:val="center"/>
                </w:tcPr>
                <w:p w14:paraId="28382BFF">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eastAsia" w:ascii="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DA00</w:t>
                  </w:r>
                  <w:r>
                    <w:rPr>
                      <w:rFonts w:hint="eastAsia" w:ascii="Times New Roman" w:hAnsi="Times New Roman" w:cs="Times New Roman" w:eastAsiaTheme="minorEastAsia"/>
                      <w:color w:val="auto"/>
                      <w:sz w:val="21"/>
                      <w:szCs w:val="21"/>
                      <w:highlight w:val="none"/>
                      <w:lang w:val="en-US" w:eastAsia="zh-CN"/>
                    </w:rPr>
                    <w:t>1</w:t>
                  </w:r>
                </w:p>
              </w:tc>
              <w:tc>
                <w:tcPr>
                  <w:tcW w:w="1010" w:type="pct"/>
                  <w:noWrap w:val="0"/>
                  <w:vAlign w:val="center"/>
                </w:tcPr>
                <w:p w14:paraId="650DB6AA">
                  <w:pPr>
                    <w:pStyle w:val="125"/>
                    <w:keepNext w:val="0"/>
                    <w:keepLines w:val="0"/>
                    <w:pageBreakBefore w:val="0"/>
                    <w:suppressLineNumbers w:val="0"/>
                    <w:wordWrap/>
                    <w:bidi w:val="0"/>
                    <w:snapToGrid w:val="0"/>
                    <w:spacing w:before="0" w:beforeAutospacing="0" w:after="0" w:afterAutospacing="0" w:line="360" w:lineRule="auto"/>
                    <w:ind w:left="0" w:leftChars="0" w:right="0" w:rightChars="0" w:firstLine="0" w:firstLineChars="0"/>
                    <w:jc w:val="center"/>
                    <w:rPr>
                      <w:rFonts w:hint="default" w:ascii="Times New Roman" w:eastAsia="宋体"/>
                      <w:color w:val="auto"/>
                      <w:sz w:val="21"/>
                      <w:szCs w:val="21"/>
                      <w:highlight w:val="none"/>
                      <w:lang w:val="zh-CN"/>
                    </w:rPr>
                  </w:pPr>
                  <w:r>
                    <w:rPr>
                      <w:rFonts w:hint="default" w:ascii="Times New Roman" w:hAnsi="Times New Roman" w:cs="Times New Roman" w:eastAsiaTheme="minorEastAsia"/>
                      <w:color w:val="auto"/>
                      <w:sz w:val="21"/>
                      <w:szCs w:val="21"/>
                      <w:highlight w:val="none"/>
                      <w:lang w:val="en-US" w:eastAsia="zh-CN"/>
                    </w:rPr>
                    <w:t>1</w:t>
                  </w:r>
                  <w:r>
                    <w:rPr>
                      <w:rFonts w:hint="default" w:ascii="Times New Roman" w:hAnsi="Times New Roman" w:cs="Times New Roman" w:eastAsiaTheme="minorEastAsia"/>
                      <w:color w:val="auto"/>
                      <w:sz w:val="21"/>
                      <w:szCs w:val="21"/>
                      <w:highlight w:val="none"/>
                      <w:lang w:val="en-US"/>
                    </w:rPr>
                    <w:t>次</w:t>
                  </w:r>
                  <w:r>
                    <w:rPr>
                      <w:rFonts w:hint="eastAsia" w:ascii="Times New Roman" w:hAnsi="Times New Roman" w:cs="Times New Roman" w:eastAsiaTheme="minorEastAsia"/>
                      <w:color w:val="auto"/>
                      <w:sz w:val="21"/>
                      <w:szCs w:val="21"/>
                      <w:highlight w:val="none"/>
                      <w:lang w:val="en-US" w:eastAsia="zh-CN"/>
                    </w:rPr>
                    <w:t>/</w:t>
                  </w:r>
                  <w:r>
                    <w:rPr>
                      <w:rFonts w:hint="eastAsia" w:ascii="Times New Roman" w:cs="Times New Roman" w:eastAsiaTheme="minorEastAsia"/>
                      <w:color w:val="auto"/>
                      <w:sz w:val="21"/>
                      <w:szCs w:val="21"/>
                      <w:highlight w:val="none"/>
                      <w:lang w:val="en-US" w:eastAsia="zh-CN"/>
                    </w:rPr>
                    <w:t>月</w:t>
                  </w:r>
                </w:p>
              </w:tc>
              <w:tc>
                <w:tcPr>
                  <w:tcW w:w="1542" w:type="pct"/>
                  <w:noWrap w:val="0"/>
                  <w:vAlign w:val="center"/>
                </w:tcPr>
                <w:p w14:paraId="4CF60DC0">
                  <w:pPr>
                    <w:pStyle w:val="125"/>
                    <w:keepNext w:val="0"/>
                    <w:keepLines w:val="0"/>
                    <w:pageBreakBefore w:val="0"/>
                    <w:suppressLineNumbers w:val="0"/>
                    <w:wordWrap/>
                    <w:bidi w:val="0"/>
                    <w:snapToGrid w:val="0"/>
                    <w:spacing w:before="0" w:beforeAutospacing="0" w:after="0" w:afterAutospacing="0" w:line="360" w:lineRule="auto"/>
                    <w:ind w:left="0" w:leftChars="0" w:right="0" w:rightChars="0" w:firstLine="0" w:firstLineChars="0"/>
                    <w:jc w:val="center"/>
                    <w:rPr>
                      <w:rFonts w:hint="default" w:ascii="Times New Roman" w:eastAsia="宋体"/>
                      <w:color w:val="auto"/>
                      <w:sz w:val="21"/>
                      <w:szCs w:val="21"/>
                      <w:highlight w:val="none"/>
                    </w:rPr>
                  </w:pPr>
                  <w:r>
                    <w:rPr>
                      <w:rFonts w:hint="eastAsia" w:ascii="Times New Roman" w:hAnsi="Times New Roman" w:cs="Times New Roman" w:eastAsiaTheme="minorEastAsia"/>
                      <w:color w:val="auto"/>
                      <w:sz w:val="21"/>
                      <w:szCs w:val="21"/>
                      <w:highlight w:val="none"/>
                      <w:lang w:val="en-US" w:eastAsia="zh-CN"/>
                    </w:rPr>
                    <w:t>《锅炉大气污染物排放标准》（GB13271-2014）表</w:t>
                  </w:r>
                  <w:r>
                    <w:rPr>
                      <w:rFonts w:hint="eastAsia" w:ascii="Times New Roman" w:cs="Times New Roman" w:eastAsiaTheme="minorEastAsia"/>
                      <w:color w:val="auto"/>
                      <w:sz w:val="21"/>
                      <w:szCs w:val="21"/>
                      <w:highlight w:val="none"/>
                      <w:lang w:val="en-US" w:eastAsia="zh-CN"/>
                    </w:rPr>
                    <w:t>2</w:t>
                  </w:r>
                  <w:r>
                    <w:rPr>
                      <w:rFonts w:hint="eastAsia" w:ascii="Times New Roman" w:hAnsi="Times New Roman" w:cs="Times New Roman" w:eastAsiaTheme="minorEastAsia"/>
                      <w:color w:val="auto"/>
                      <w:sz w:val="21"/>
                      <w:szCs w:val="21"/>
                      <w:highlight w:val="none"/>
                      <w:lang w:val="en-US" w:eastAsia="zh-CN"/>
                    </w:rPr>
                    <w:t>标准限值</w:t>
                  </w:r>
                </w:p>
              </w:tc>
            </w:tr>
            <w:tr w14:paraId="04CC07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197" w:hRule="exact"/>
                <w:jc w:val="center"/>
              </w:trPr>
              <w:tc>
                <w:tcPr>
                  <w:tcW w:w="730" w:type="pct"/>
                  <w:vMerge w:val="continue"/>
                  <w:noWrap w:val="0"/>
                  <w:vAlign w:val="center"/>
                </w:tcPr>
                <w:p w14:paraId="1AEE6BA8">
                  <w:pPr>
                    <w:pStyle w:val="125"/>
                    <w:keepNext w:val="0"/>
                    <w:keepLines w:val="0"/>
                    <w:pageBreakBefore w:val="0"/>
                    <w:suppressLineNumbers w:val="0"/>
                    <w:wordWrap/>
                    <w:bidi w:val="0"/>
                    <w:snapToGrid w:val="0"/>
                    <w:spacing w:before="0" w:beforeAutospacing="0" w:after="0" w:afterAutospacing="0" w:line="360" w:lineRule="auto"/>
                    <w:ind w:left="0" w:leftChars="0" w:right="0" w:rightChars="0" w:firstLine="0" w:firstLineChars="0"/>
                    <w:jc w:val="center"/>
                    <w:rPr>
                      <w:rFonts w:hint="eastAsia" w:ascii="Times New Roman" w:eastAsia="宋体"/>
                      <w:color w:val="auto"/>
                      <w:sz w:val="21"/>
                      <w:szCs w:val="21"/>
                      <w:highlight w:val="none"/>
                      <w:lang w:val="zh-CN"/>
                    </w:rPr>
                  </w:pPr>
                </w:p>
              </w:tc>
              <w:tc>
                <w:tcPr>
                  <w:tcW w:w="854" w:type="pct"/>
                  <w:noWrap w:val="0"/>
                  <w:vAlign w:val="center"/>
                </w:tcPr>
                <w:p w14:paraId="5B2BDB93">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臭气浓度</w:t>
                  </w:r>
                </w:p>
              </w:tc>
              <w:tc>
                <w:tcPr>
                  <w:tcW w:w="861" w:type="pct"/>
                  <w:noWrap w:val="0"/>
                  <w:vAlign w:val="center"/>
                </w:tcPr>
                <w:p w14:paraId="2B354D1C">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厂界</w:t>
                  </w:r>
                </w:p>
              </w:tc>
              <w:tc>
                <w:tcPr>
                  <w:tcW w:w="1010" w:type="pct"/>
                  <w:noWrap w:val="0"/>
                  <w:vAlign w:val="center"/>
                </w:tcPr>
                <w:p w14:paraId="67CB2D7E">
                  <w:pPr>
                    <w:pStyle w:val="125"/>
                    <w:keepNext w:val="0"/>
                    <w:keepLines w:val="0"/>
                    <w:pageBreakBefore w:val="0"/>
                    <w:suppressLineNumbers w:val="0"/>
                    <w:wordWrap/>
                    <w:bidi w:val="0"/>
                    <w:snapToGrid w:val="0"/>
                    <w:spacing w:before="0" w:beforeAutospacing="0" w:after="0" w:afterAutospacing="0" w:line="360" w:lineRule="auto"/>
                    <w:ind w:left="0" w:leftChars="0" w:right="0" w:rightChars="0" w:firstLine="0" w:firstLineChars="0"/>
                    <w:jc w:val="center"/>
                    <w:rPr>
                      <w:rFonts w:hint="eastAsia"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w:t>
                  </w:r>
                  <w:r>
                    <w:rPr>
                      <w:rFonts w:hint="default" w:ascii="Times New Roman" w:hAnsi="Times New Roman" w:cs="Times New Roman" w:eastAsiaTheme="minorEastAsia"/>
                      <w:color w:val="auto"/>
                      <w:sz w:val="21"/>
                      <w:szCs w:val="21"/>
                      <w:highlight w:val="none"/>
                      <w:lang w:val="en-US"/>
                    </w:rPr>
                    <w:t>次</w:t>
                  </w:r>
                  <w:r>
                    <w:rPr>
                      <w:rFonts w:hint="eastAsia" w:ascii="Times New Roman" w:hAnsi="Times New Roman" w:cs="Times New Roman" w:eastAsiaTheme="minorEastAsia"/>
                      <w:color w:val="auto"/>
                      <w:sz w:val="21"/>
                      <w:szCs w:val="21"/>
                      <w:highlight w:val="none"/>
                      <w:lang w:val="en-US" w:eastAsia="zh-CN"/>
                    </w:rPr>
                    <w:t>/</w:t>
                  </w:r>
                  <w:r>
                    <w:rPr>
                      <w:rFonts w:hint="eastAsia" w:ascii="Times New Roman" w:cs="Times New Roman" w:eastAsiaTheme="minorEastAsia"/>
                      <w:color w:val="auto"/>
                      <w:sz w:val="21"/>
                      <w:szCs w:val="21"/>
                      <w:highlight w:val="none"/>
                      <w:lang w:val="en-US" w:eastAsia="zh-CN"/>
                    </w:rPr>
                    <w:t>半年</w:t>
                  </w:r>
                </w:p>
              </w:tc>
              <w:tc>
                <w:tcPr>
                  <w:tcW w:w="1542" w:type="pct"/>
                  <w:noWrap w:val="0"/>
                  <w:vAlign w:val="center"/>
                </w:tcPr>
                <w:p w14:paraId="13919D80">
                  <w:pPr>
                    <w:pStyle w:val="125"/>
                    <w:keepNext w:val="0"/>
                    <w:keepLines w:val="0"/>
                    <w:pageBreakBefore w:val="0"/>
                    <w:suppressLineNumbers w:val="0"/>
                    <w:wordWrap/>
                    <w:bidi w:val="0"/>
                    <w:snapToGrid w:val="0"/>
                    <w:spacing w:before="0" w:beforeAutospacing="0" w:after="0" w:afterAutospacing="0" w:line="360" w:lineRule="auto"/>
                    <w:ind w:left="0" w:leftChars="0" w:right="0" w:rightChars="0" w:firstLine="0" w:firstLineChars="0"/>
                    <w:jc w:val="center"/>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《恶臭污染物排放标准》（GB14554-93）表1恶臭污染物厂界标准值</w:t>
                  </w:r>
                </w:p>
              </w:tc>
            </w:tr>
            <w:tr w14:paraId="4364FD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197" w:hRule="exact"/>
                <w:jc w:val="center"/>
              </w:trPr>
              <w:tc>
                <w:tcPr>
                  <w:tcW w:w="730" w:type="pct"/>
                  <w:vMerge w:val="continue"/>
                  <w:noWrap w:val="0"/>
                  <w:vAlign w:val="center"/>
                </w:tcPr>
                <w:p w14:paraId="0E18854E">
                  <w:pPr>
                    <w:pStyle w:val="125"/>
                    <w:keepNext w:val="0"/>
                    <w:keepLines w:val="0"/>
                    <w:pageBreakBefore w:val="0"/>
                    <w:suppressLineNumbers w:val="0"/>
                    <w:wordWrap/>
                    <w:bidi w:val="0"/>
                    <w:snapToGrid w:val="0"/>
                    <w:spacing w:before="0" w:beforeAutospacing="0" w:after="0" w:afterAutospacing="0" w:line="360" w:lineRule="auto"/>
                    <w:ind w:left="0" w:leftChars="0" w:right="0" w:rightChars="0" w:firstLine="0" w:firstLineChars="0"/>
                    <w:jc w:val="center"/>
                    <w:rPr>
                      <w:rFonts w:hint="eastAsia" w:ascii="Times New Roman" w:eastAsia="宋体"/>
                      <w:color w:val="auto"/>
                      <w:sz w:val="21"/>
                      <w:szCs w:val="21"/>
                      <w:highlight w:val="none"/>
                      <w:lang w:val="zh-CN"/>
                    </w:rPr>
                  </w:pPr>
                </w:p>
              </w:tc>
              <w:tc>
                <w:tcPr>
                  <w:tcW w:w="854" w:type="pct"/>
                  <w:noWrap w:val="0"/>
                  <w:vAlign w:val="center"/>
                </w:tcPr>
                <w:p w14:paraId="2C30E3A0">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颗粒物</w:t>
                  </w:r>
                </w:p>
              </w:tc>
              <w:tc>
                <w:tcPr>
                  <w:tcW w:w="861" w:type="pct"/>
                  <w:noWrap w:val="0"/>
                  <w:vAlign w:val="center"/>
                </w:tcPr>
                <w:p w14:paraId="75288787">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厂界</w:t>
                  </w:r>
                </w:p>
              </w:tc>
              <w:tc>
                <w:tcPr>
                  <w:tcW w:w="1010" w:type="pct"/>
                  <w:noWrap w:val="0"/>
                  <w:vAlign w:val="center"/>
                </w:tcPr>
                <w:p w14:paraId="05F1689A">
                  <w:pPr>
                    <w:pStyle w:val="125"/>
                    <w:keepNext w:val="0"/>
                    <w:keepLines w:val="0"/>
                    <w:pageBreakBefore w:val="0"/>
                    <w:suppressLineNumbers w:val="0"/>
                    <w:wordWrap/>
                    <w:bidi w:val="0"/>
                    <w:snapToGrid w:val="0"/>
                    <w:spacing w:before="0" w:beforeAutospacing="0" w:after="0" w:afterAutospacing="0" w:line="360" w:lineRule="auto"/>
                    <w:ind w:left="0" w:leftChars="0" w:right="0" w:rightChars="0" w:firstLine="0" w:firstLineChars="0"/>
                    <w:jc w:val="center"/>
                    <w:rPr>
                      <w:rFonts w:hint="default" w:ascii="Times New Roman" w:hAnsi="Times New Roman" w:cs="Times New Roman" w:eastAsiaTheme="minorEastAsia"/>
                      <w:color w:val="auto"/>
                      <w:sz w:val="21"/>
                      <w:szCs w:val="21"/>
                      <w:highlight w:val="none"/>
                      <w:lang w:val="en-US" w:eastAsia="zh-CN"/>
                    </w:rPr>
                  </w:pPr>
                  <w:r>
                    <w:rPr>
                      <w:rFonts w:hint="eastAsia" w:ascii="Times New Roman" w:cs="Times New Roman" w:eastAsiaTheme="minorEastAsia"/>
                      <w:color w:val="auto"/>
                      <w:sz w:val="21"/>
                      <w:szCs w:val="21"/>
                      <w:highlight w:val="none"/>
                      <w:lang w:val="en-US" w:eastAsia="zh-CN"/>
                    </w:rPr>
                    <w:t>1次/季度</w:t>
                  </w:r>
                </w:p>
              </w:tc>
              <w:tc>
                <w:tcPr>
                  <w:tcW w:w="1542" w:type="pct"/>
                  <w:noWrap w:val="0"/>
                  <w:vAlign w:val="center"/>
                </w:tcPr>
                <w:p w14:paraId="5B3DB490">
                  <w:pPr>
                    <w:pStyle w:val="125"/>
                    <w:keepNext w:val="0"/>
                    <w:keepLines w:val="0"/>
                    <w:pageBreakBefore w:val="0"/>
                    <w:suppressLineNumbers w:val="0"/>
                    <w:wordWrap/>
                    <w:bidi w:val="0"/>
                    <w:snapToGrid w:val="0"/>
                    <w:spacing w:before="0" w:beforeAutospacing="0" w:after="0" w:afterAutospacing="0" w:line="360" w:lineRule="auto"/>
                    <w:ind w:left="0" w:leftChars="0" w:right="0" w:rightChars="0" w:firstLine="0" w:firstLineChars="0"/>
                    <w:jc w:val="center"/>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《大气污染物综合排放标准》（GB16297-1996）表2中无组织排放限值</w:t>
                  </w:r>
                </w:p>
              </w:tc>
            </w:tr>
          </w:tbl>
          <w:p w14:paraId="5B56C09F">
            <w:pPr>
              <w:pStyle w:val="117"/>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480" w:firstLineChars="200"/>
              <w:rPr>
                <w:rFonts w:hint="default" w:ascii="Times New Roman" w:hAnsi="Times New Roman" w:cs="Times New Roman" w:eastAsiaTheme="minorEastAsia"/>
                <w:color w:val="auto"/>
                <w:highlight w:val="none"/>
              </w:rPr>
            </w:pPr>
            <w:r>
              <w:rPr>
                <w:rFonts w:hint="eastAsia" w:ascii="Times New Roman" w:hAnsi="Times New Roman" w:cs="Times New Roman" w:eastAsiaTheme="minorEastAsia"/>
                <w:color w:val="auto"/>
                <w:highlight w:val="none"/>
                <w:lang w:eastAsia="zh-CN"/>
              </w:rPr>
              <w:t>（二）</w:t>
            </w:r>
            <w:r>
              <w:rPr>
                <w:rFonts w:hint="default" w:ascii="Times New Roman" w:hAnsi="Times New Roman" w:cs="Times New Roman" w:eastAsiaTheme="minorEastAsia"/>
                <w:color w:val="auto"/>
                <w:highlight w:val="none"/>
              </w:rPr>
              <w:t>污染治理措施</w:t>
            </w:r>
          </w:p>
          <w:p w14:paraId="2D3D91B8">
            <w:pPr>
              <w:keepNext w:val="0"/>
              <w:keepLines w:val="0"/>
              <w:pageBreakBefore w:val="0"/>
              <w:suppressLineNumbers w:val="0"/>
              <w:kinsoku w:val="0"/>
              <w:wordWrap/>
              <w:overflowPunct w:val="0"/>
              <w:topLinePunct w:val="0"/>
              <w:autoSpaceDE w:val="0"/>
              <w:autoSpaceDN w:val="0"/>
              <w:bidi w:val="0"/>
              <w:spacing w:before="0" w:beforeAutospacing="0" w:after="0" w:afterAutospacing="0" w:line="360" w:lineRule="auto"/>
              <w:ind w:left="0" w:leftChars="0" w:right="0" w:rightChars="0" w:firstLine="480" w:firstLineChars="200"/>
              <w:rPr>
                <w:rFonts w:hint="default" w:ascii="Times New Roman" w:hAnsi="Times New Roman" w:cs="Times New Roman" w:eastAsiaTheme="minorEastAsia"/>
                <w:b/>
                <w:bCs/>
                <w:color w:val="auto"/>
                <w:kern w:val="2"/>
                <w:sz w:val="21"/>
                <w:szCs w:val="24"/>
                <w:highlight w:val="none"/>
                <w:lang w:val="en-US" w:eastAsia="zh-CN" w:bidi="ar-SA"/>
              </w:rPr>
            </w:pPr>
            <w:r>
              <w:rPr>
                <w:rFonts w:hint="default" w:ascii="Times New Roman" w:hAnsi="Times New Roman" w:cs="Times New Roman" w:eastAsiaTheme="minorEastAsia"/>
                <w:b w:val="0"/>
                <w:bCs w:val="0"/>
                <w:color w:val="auto"/>
                <w:kern w:val="2"/>
                <w:sz w:val="24"/>
                <w:szCs w:val="28"/>
                <w:highlight w:val="none"/>
              </w:rPr>
              <w:t>本项目对大气环境主要影响为</w:t>
            </w:r>
            <w:r>
              <w:rPr>
                <w:rFonts w:hint="eastAsia" w:cs="Times New Roman" w:eastAsiaTheme="minorEastAsia"/>
                <w:b w:val="0"/>
                <w:bCs w:val="0"/>
                <w:color w:val="auto"/>
                <w:kern w:val="2"/>
                <w:sz w:val="24"/>
                <w:szCs w:val="28"/>
                <w:highlight w:val="none"/>
                <w:lang w:val="en-US" w:eastAsia="zh-CN"/>
              </w:rPr>
              <w:t>4t/h燃生物质</w:t>
            </w:r>
            <w:r>
              <w:rPr>
                <w:rFonts w:hint="eastAsia" w:cs="Times New Roman"/>
                <w:color w:val="auto"/>
                <w:kern w:val="0"/>
                <w:sz w:val="24"/>
                <w:szCs w:val="24"/>
                <w:highlight w:val="none"/>
                <w:lang w:val="en-US" w:eastAsia="zh-CN" w:bidi="ar-SA"/>
              </w:rPr>
              <w:t>蒸汽</w:t>
            </w:r>
            <w:r>
              <w:rPr>
                <w:rFonts w:hint="eastAsia" w:ascii="Times New Roman" w:hAnsi="Times New Roman" w:eastAsia="宋体" w:cs="Times New Roman"/>
                <w:color w:val="auto"/>
                <w:kern w:val="0"/>
                <w:sz w:val="24"/>
                <w:szCs w:val="24"/>
                <w:highlight w:val="none"/>
                <w:lang w:val="en-US" w:eastAsia="zh-CN" w:bidi="ar-SA"/>
              </w:rPr>
              <w:t>锅炉产生的</w:t>
            </w:r>
            <w:r>
              <w:rPr>
                <w:rFonts w:hint="eastAsia" w:cs="Times New Roman"/>
                <w:color w:val="auto"/>
                <w:kern w:val="0"/>
                <w:sz w:val="24"/>
                <w:szCs w:val="24"/>
                <w:highlight w:val="none"/>
                <w:lang w:val="en-US" w:eastAsia="zh-CN" w:bidi="ar-SA"/>
              </w:rPr>
              <w:t>烟气。本项目</w:t>
            </w:r>
            <w:r>
              <w:rPr>
                <w:rFonts w:hint="eastAsia" w:ascii="Times New Roman" w:hAnsi="Times New Roman" w:eastAsia="宋体" w:cs="Times New Roman"/>
                <w:color w:val="auto"/>
                <w:kern w:val="0"/>
                <w:sz w:val="24"/>
                <w:szCs w:val="24"/>
                <w:highlight w:val="none"/>
                <w:lang w:val="en-US" w:eastAsia="zh-CN" w:bidi="ar-SA"/>
              </w:rPr>
              <w:t>蒸汽锅</w:t>
            </w:r>
            <w:r>
              <w:rPr>
                <w:rFonts w:hint="default" w:ascii="Times New Roman" w:hAnsi="Times New Roman" w:eastAsia="宋体" w:cs="Times New Roman"/>
                <w:color w:val="auto"/>
                <w:kern w:val="0"/>
                <w:sz w:val="24"/>
                <w:szCs w:val="24"/>
                <w:highlight w:val="none"/>
                <w:lang w:val="en-US" w:eastAsia="zh-CN" w:bidi="ar-SA"/>
              </w:rPr>
              <w:t>炉</w:t>
            </w:r>
            <w:r>
              <w:rPr>
                <w:rFonts w:hint="eastAsia" w:cs="Times New Roman"/>
                <w:color w:val="auto"/>
                <w:kern w:val="0"/>
                <w:sz w:val="24"/>
                <w:szCs w:val="24"/>
                <w:highlight w:val="none"/>
                <w:lang w:val="en-US" w:eastAsia="zh-CN" w:bidi="ar-SA"/>
              </w:rPr>
              <w:t>废气采用旋风除尘+布袋除尘器处理，处理后废气经35m高烟囱（DA001）排放。</w:t>
            </w:r>
            <w:r>
              <w:rPr>
                <w:rFonts w:hint="default" w:eastAsia="宋体"/>
                <w:color w:val="auto"/>
                <w:sz w:val="24"/>
                <w:szCs w:val="24"/>
                <w:highlight w:val="none"/>
                <w:lang w:val="en-US" w:eastAsia="zh-CN"/>
              </w:rPr>
              <w:t>废气产排污节点、污染物及污染治理设施信息表</w:t>
            </w:r>
            <w:r>
              <w:rPr>
                <w:rFonts w:hint="eastAsia"/>
                <w:color w:val="auto"/>
                <w:sz w:val="24"/>
                <w:szCs w:val="24"/>
                <w:highlight w:val="none"/>
                <w:lang w:val="en-US" w:eastAsia="zh-CN"/>
              </w:rPr>
              <w:t>见表4-7。</w:t>
            </w:r>
          </w:p>
          <w:p w14:paraId="6B6C3E68">
            <w:pPr>
              <w:keepNext w:val="0"/>
              <w:keepLines w:val="0"/>
              <w:pageBreakBefore w:val="0"/>
              <w:suppressLineNumbers w:val="0"/>
              <w:kinsoku w:val="0"/>
              <w:wordWrap/>
              <w:overflowPunct w:val="0"/>
              <w:topLinePunct w:val="0"/>
              <w:autoSpaceDE w:val="0"/>
              <w:autoSpaceDN w:val="0"/>
              <w:bidi w:val="0"/>
              <w:snapToGrid w:val="0"/>
              <w:spacing w:before="0" w:beforeAutospacing="0" w:after="0" w:afterAutospacing="0" w:line="240" w:lineRule="auto"/>
              <w:ind w:left="0" w:leftChars="0" w:right="0" w:rightChars="0" w:firstLine="422" w:firstLineChars="200"/>
              <w:jc w:val="center"/>
              <w:rPr>
                <w:rFonts w:hint="default" w:ascii="Times New Roman" w:hAnsi="Times New Roman" w:cs="Times New Roman" w:eastAsiaTheme="minorEastAsia"/>
                <w:b/>
                <w:bCs/>
                <w:color w:val="auto"/>
                <w:kern w:val="2"/>
                <w:sz w:val="21"/>
                <w:szCs w:val="24"/>
                <w:highlight w:val="none"/>
                <w:lang w:val="en-US" w:eastAsia="zh-CN" w:bidi="ar-SA"/>
              </w:rPr>
            </w:pPr>
          </w:p>
          <w:p w14:paraId="7F6355BD">
            <w:pPr>
              <w:keepNext w:val="0"/>
              <w:keepLines w:val="0"/>
              <w:pageBreakBefore w:val="0"/>
              <w:suppressLineNumbers w:val="0"/>
              <w:kinsoku w:val="0"/>
              <w:wordWrap/>
              <w:overflowPunct w:val="0"/>
              <w:topLinePunct w:val="0"/>
              <w:autoSpaceDE w:val="0"/>
              <w:autoSpaceDN w:val="0"/>
              <w:bidi w:val="0"/>
              <w:snapToGrid w:val="0"/>
              <w:spacing w:before="0" w:beforeAutospacing="0" w:after="0" w:afterAutospacing="0" w:line="240" w:lineRule="auto"/>
              <w:ind w:left="0" w:leftChars="0" w:right="0" w:rightChars="0" w:firstLine="422" w:firstLineChars="200"/>
              <w:jc w:val="center"/>
              <w:rPr>
                <w:rFonts w:hint="default" w:ascii="Times New Roman" w:hAnsi="Times New Roman" w:cs="Times New Roman" w:eastAsiaTheme="minorEastAsia"/>
                <w:b/>
                <w:bCs/>
                <w:color w:val="auto"/>
                <w:kern w:val="2"/>
                <w:sz w:val="21"/>
                <w:szCs w:val="24"/>
                <w:highlight w:val="none"/>
                <w:lang w:val="en-US" w:eastAsia="zh-CN" w:bidi="ar-SA"/>
              </w:rPr>
            </w:pPr>
          </w:p>
          <w:p w14:paraId="09A5D258">
            <w:pPr>
              <w:keepNext w:val="0"/>
              <w:keepLines w:val="0"/>
              <w:pageBreakBefore w:val="0"/>
              <w:suppressLineNumbers w:val="0"/>
              <w:kinsoku w:val="0"/>
              <w:wordWrap/>
              <w:overflowPunct w:val="0"/>
              <w:topLinePunct w:val="0"/>
              <w:autoSpaceDE w:val="0"/>
              <w:autoSpaceDN w:val="0"/>
              <w:bidi w:val="0"/>
              <w:snapToGrid w:val="0"/>
              <w:spacing w:before="0" w:beforeAutospacing="0" w:after="0" w:afterAutospacing="0" w:line="240" w:lineRule="auto"/>
              <w:ind w:left="0" w:leftChars="0" w:right="0" w:rightChars="0" w:firstLine="422" w:firstLineChars="200"/>
              <w:jc w:val="center"/>
              <w:rPr>
                <w:rFonts w:hint="default" w:ascii="Times New Roman" w:hAnsi="Times New Roman" w:cs="Times New Roman" w:eastAsiaTheme="minorEastAsia"/>
                <w:b/>
                <w:bCs/>
                <w:color w:val="auto"/>
                <w:kern w:val="2"/>
                <w:sz w:val="21"/>
                <w:szCs w:val="24"/>
                <w:highlight w:val="none"/>
                <w:lang w:val="en-US" w:eastAsia="zh-CN" w:bidi="ar-SA"/>
              </w:rPr>
            </w:pPr>
          </w:p>
          <w:p w14:paraId="3FA61190">
            <w:pPr>
              <w:keepNext w:val="0"/>
              <w:keepLines w:val="0"/>
              <w:pageBreakBefore w:val="0"/>
              <w:suppressLineNumbers w:val="0"/>
              <w:kinsoku w:val="0"/>
              <w:wordWrap/>
              <w:overflowPunct w:val="0"/>
              <w:topLinePunct w:val="0"/>
              <w:autoSpaceDE w:val="0"/>
              <w:autoSpaceDN w:val="0"/>
              <w:bidi w:val="0"/>
              <w:snapToGrid w:val="0"/>
              <w:spacing w:before="0" w:beforeAutospacing="0" w:after="0" w:afterAutospacing="0" w:line="240" w:lineRule="auto"/>
              <w:ind w:left="0" w:leftChars="0" w:right="0" w:rightChars="0" w:firstLine="422" w:firstLineChars="200"/>
              <w:jc w:val="center"/>
              <w:rPr>
                <w:rFonts w:hint="default" w:ascii="Times New Roman" w:hAnsi="Times New Roman" w:cs="Times New Roman" w:eastAsiaTheme="minorEastAsia"/>
                <w:b/>
                <w:bCs/>
                <w:color w:val="auto"/>
                <w:kern w:val="2"/>
                <w:sz w:val="21"/>
                <w:szCs w:val="24"/>
                <w:highlight w:val="none"/>
                <w:lang w:val="en-US" w:eastAsia="zh-CN" w:bidi="ar-SA"/>
              </w:rPr>
            </w:pPr>
            <w:r>
              <w:rPr>
                <w:rFonts w:hint="default" w:ascii="Times New Roman" w:hAnsi="Times New Roman" w:cs="Times New Roman" w:eastAsiaTheme="minorEastAsia"/>
                <w:b/>
                <w:bCs/>
                <w:color w:val="auto"/>
                <w:kern w:val="2"/>
                <w:sz w:val="21"/>
                <w:szCs w:val="24"/>
                <w:highlight w:val="none"/>
                <w:lang w:val="en-US" w:eastAsia="zh-CN" w:bidi="ar-SA"/>
              </w:rPr>
              <w:t>表4</w:t>
            </w:r>
            <w:r>
              <w:rPr>
                <w:rFonts w:hint="eastAsia" w:ascii="Times New Roman" w:hAnsi="Times New Roman" w:cs="Times New Roman" w:eastAsiaTheme="minorEastAsia"/>
                <w:b/>
                <w:bCs/>
                <w:color w:val="auto"/>
                <w:kern w:val="2"/>
                <w:sz w:val="21"/>
                <w:szCs w:val="24"/>
                <w:highlight w:val="none"/>
                <w:lang w:val="en-US" w:eastAsia="zh-CN" w:bidi="ar-SA"/>
              </w:rPr>
              <w:t>-</w:t>
            </w:r>
            <w:r>
              <w:rPr>
                <w:rFonts w:hint="eastAsia" w:cs="Times New Roman" w:eastAsiaTheme="minorEastAsia"/>
                <w:b/>
                <w:bCs/>
                <w:color w:val="auto"/>
                <w:kern w:val="2"/>
                <w:sz w:val="21"/>
                <w:szCs w:val="24"/>
                <w:highlight w:val="none"/>
                <w:lang w:val="en-US" w:eastAsia="zh-CN" w:bidi="ar-SA"/>
              </w:rPr>
              <w:t>7</w:t>
            </w:r>
            <w:r>
              <w:rPr>
                <w:rFonts w:hint="default" w:ascii="Times New Roman" w:hAnsi="Times New Roman" w:cs="Times New Roman" w:eastAsiaTheme="minorEastAsia"/>
                <w:b/>
                <w:bCs/>
                <w:color w:val="auto"/>
                <w:kern w:val="2"/>
                <w:sz w:val="21"/>
                <w:szCs w:val="24"/>
                <w:highlight w:val="none"/>
                <w:lang w:val="en-US" w:eastAsia="zh-CN" w:bidi="ar-SA"/>
              </w:rPr>
              <w:t xml:space="preserve">  废气产排污节点、污染物及污染治理设施信息表</w:t>
            </w:r>
          </w:p>
          <w:tbl>
            <w:tblPr>
              <w:tblStyle w:val="3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239"/>
              <w:gridCol w:w="374"/>
              <w:gridCol w:w="572"/>
              <w:gridCol w:w="540"/>
              <w:gridCol w:w="689"/>
              <w:gridCol w:w="333"/>
              <w:gridCol w:w="545"/>
              <w:gridCol w:w="717"/>
              <w:gridCol w:w="545"/>
              <w:gridCol w:w="477"/>
              <w:gridCol w:w="684"/>
              <w:gridCol w:w="545"/>
              <w:gridCol w:w="545"/>
              <w:gridCol w:w="746"/>
              <w:gridCol w:w="343"/>
              <w:gridCol w:w="273"/>
            </w:tblGrid>
            <w:tr w14:paraId="206AA5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37" w:hRule="atLeast"/>
                <w:tblHeader/>
                <w:jc w:val="center"/>
              </w:trPr>
              <w:tc>
                <w:tcPr>
                  <w:tcW w:w="147" w:type="pct"/>
                  <w:vMerge w:val="restart"/>
                  <w:noWrap/>
                  <w:vAlign w:val="center"/>
                </w:tcPr>
                <w:p w14:paraId="1318481D">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序号</w:t>
                  </w:r>
                </w:p>
              </w:tc>
              <w:tc>
                <w:tcPr>
                  <w:tcW w:w="229" w:type="pct"/>
                  <w:vMerge w:val="restart"/>
                  <w:noWrap/>
                  <w:vAlign w:val="center"/>
                </w:tcPr>
                <w:p w14:paraId="406B3BFC">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产污设施编号</w:t>
                  </w:r>
                </w:p>
              </w:tc>
              <w:tc>
                <w:tcPr>
                  <w:tcW w:w="350" w:type="pct"/>
                  <w:vMerge w:val="restart"/>
                  <w:noWrap/>
                  <w:vAlign w:val="center"/>
                </w:tcPr>
                <w:p w14:paraId="1A279186">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产污设施名称（1）</w:t>
                  </w:r>
                </w:p>
              </w:tc>
              <w:tc>
                <w:tcPr>
                  <w:tcW w:w="330" w:type="pct"/>
                  <w:vMerge w:val="restart"/>
                  <w:noWrap/>
                  <w:vAlign w:val="center"/>
                </w:tcPr>
                <w:p w14:paraId="5C68D2A6">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对应产污环节名称</w:t>
                  </w:r>
                </w:p>
                <w:p w14:paraId="788F905B">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w:t>
                  </w:r>
                </w:p>
              </w:tc>
              <w:tc>
                <w:tcPr>
                  <w:tcW w:w="421" w:type="pct"/>
                  <w:vMerge w:val="restart"/>
                  <w:noWrap/>
                  <w:vAlign w:val="center"/>
                </w:tcPr>
                <w:p w14:paraId="5DB2B090">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污染物种类</w:t>
                  </w:r>
                </w:p>
                <w:p w14:paraId="06CA36F3">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（3）</w:t>
                  </w:r>
                </w:p>
              </w:tc>
              <w:tc>
                <w:tcPr>
                  <w:tcW w:w="204" w:type="pct"/>
                  <w:vMerge w:val="restart"/>
                  <w:noWrap/>
                  <w:vAlign w:val="center"/>
                </w:tcPr>
                <w:p w14:paraId="26C3D86A">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排放</w:t>
                  </w:r>
                </w:p>
                <w:p w14:paraId="47332100">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形式</w:t>
                  </w:r>
                </w:p>
                <w:p w14:paraId="0819422C">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（4）</w:t>
                  </w:r>
                </w:p>
              </w:tc>
              <w:tc>
                <w:tcPr>
                  <w:tcW w:w="1814" w:type="pct"/>
                  <w:gridSpan w:val="5"/>
                  <w:noWrap/>
                  <w:vAlign w:val="center"/>
                </w:tcPr>
                <w:p w14:paraId="1675957E">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污染防治设施</w:t>
                  </w:r>
                </w:p>
              </w:tc>
              <w:tc>
                <w:tcPr>
                  <w:tcW w:w="333" w:type="pct"/>
                  <w:vMerge w:val="restart"/>
                  <w:noWrap/>
                  <w:vAlign w:val="center"/>
                </w:tcPr>
                <w:p w14:paraId="3CFFC016">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有组织排放口编号</w:t>
                  </w:r>
                </w:p>
                <w:p w14:paraId="0873FEEE">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（6）</w:t>
                  </w:r>
                </w:p>
              </w:tc>
              <w:tc>
                <w:tcPr>
                  <w:tcW w:w="333" w:type="pct"/>
                  <w:vMerge w:val="restart"/>
                  <w:noWrap/>
                  <w:vAlign w:val="center"/>
                </w:tcPr>
                <w:p w14:paraId="69E842CE">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有组织排放口名称</w:t>
                  </w:r>
                </w:p>
              </w:tc>
              <w:tc>
                <w:tcPr>
                  <w:tcW w:w="456" w:type="pct"/>
                  <w:vMerge w:val="restart"/>
                  <w:noWrap/>
                  <w:vAlign w:val="center"/>
                </w:tcPr>
                <w:p w14:paraId="74FCE063">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排放口设置是否符合要求</w:t>
                  </w:r>
                </w:p>
                <w:p w14:paraId="1362F6B1">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（7）</w:t>
                  </w:r>
                </w:p>
              </w:tc>
              <w:tc>
                <w:tcPr>
                  <w:tcW w:w="210" w:type="pct"/>
                  <w:vMerge w:val="restart"/>
                  <w:noWrap/>
                  <w:vAlign w:val="center"/>
                </w:tcPr>
                <w:p w14:paraId="70FFD676">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排放口类型</w:t>
                  </w:r>
                </w:p>
              </w:tc>
              <w:tc>
                <w:tcPr>
                  <w:tcW w:w="167" w:type="pct"/>
                  <w:vMerge w:val="restart"/>
                  <w:noWrap/>
                  <w:vAlign w:val="center"/>
                </w:tcPr>
                <w:p w14:paraId="27AEB830">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其他信息</w:t>
                  </w:r>
                </w:p>
              </w:tc>
            </w:tr>
            <w:tr w14:paraId="2BFAF6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80" w:hRule="atLeast"/>
                <w:tblHeader/>
                <w:jc w:val="center"/>
              </w:trPr>
              <w:tc>
                <w:tcPr>
                  <w:tcW w:w="147" w:type="pct"/>
                  <w:vMerge w:val="continue"/>
                  <w:noWrap/>
                  <w:vAlign w:val="center"/>
                </w:tcPr>
                <w:p w14:paraId="5FFA746D">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229" w:type="pct"/>
                  <w:vMerge w:val="continue"/>
                  <w:noWrap/>
                  <w:vAlign w:val="center"/>
                </w:tcPr>
                <w:p w14:paraId="04E77AEE">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350" w:type="pct"/>
                  <w:vMerge w:val="continue"/>
                  <w:noWrap/>
                  <w:vAlign w:val="center"/>
                </w:tcPr>
                <w:p w14:paraId="72A689DB">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330" w:type="pct"/>
                  <w:vMerge w:val="continue"/>
                  <w:noWrap/>
                  <w:vAlign w:val="center"/>
                </w:tcPr>
                <w:p w14:paraId="6B85174F">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421" w:type="pct"/>
                  <w:vMerge w:val="continue"/>
                  <w:noWrap/>
                  <w:vAlign w:val="center"/>
                </w:tcPr>
                <w:p w14:paraId="69C0702B">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204" w:type="pct"/>
                  <w:vMerge w:val="continue"/>
                  <w:noWrap/>
                  <w:vAlign w:val="center"/>
                </w:tcPr>
                <w:p w14:paraId="4F310524">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333" w:type="pct"/>
                  <w:noWrap/>
                  <w:vAlign w:val="center"/>
                </w:tcPr>
                <w:p w14:paraId="21CC6659">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污染防治设施编号</w:t>
                  </w:r>
                </w:p>
              </w:tc>
              <w:tc>
                <w:tcPr>
                  <w:tcW w:w="438" w:type="pct"/>
                  <w:noWrap/>
                  <w:vAlign w:val="center"/>
                </w:tcPr>
                <w:p w14:paraId="796479F5">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污染防治设施名称</w:t>
                  </w:r>
                </w:p>
                <w:p w14:paraId="530A8DA9">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（5）</w:t>
                  </w:r>
                </w:p>
              </w:tc>
              <w:tc>
                <w:tcPr>
                  <w:tcW w:w="333" w:type="pct"/>
                  <w:noWrap/>
                  <w:vAlign w:val="center"/>
                </w:tcPr>
                <w:p w14:paraId="34B96E41">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污染防治设施工艺</w:t>
                  </w:r>
                </w:p>
              </w:tc>
              <w:tc>
                <w:tcPr>
                  <w:tcW w:w="292" w:type="pct"/>
                  <w:noWrap/>
                  <w:vAlign w:val="center"/>
                </w:tcPr>
                <w:p w14:paraId="0A6D3BF9">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是否为可行技术</w:t>
                  </w:r>
                </w:p>
              </w:tc>
              <w:tc>
                <w:tcPr>
                  <w:tcW w:w="416" w:type="pct"/>
                  <w:noWrap/>
                  <w:vAlign w:val="center"/>
                </w:tcPr>
                <w:p w14:paraId="3A1B7B1C">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污染防治设施其他信息</w:t>
                  </w:r>
                </w:p>
              </w:tc>
              <w:tc>
                <w:tcPr>
                  <w:tcW w:w="333" w:type="pct"/>
                  <w:vMerge w:val="continue"/>
                  <w:noWrap/>
                  <w:vAlign w:val="center"/>
                </w:tcPr>
                <w:p w14:paraId="5BA8CF32">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333" w:type="pct"/>
                  <w:vMerge w:val="continue"/>
                  <w:noWrap/>
                  <w:vAlign w:val="center"/>
                </w:tcPr>
                <w:p w14:paraId="78662E0E">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456" w:type="pct"/>
                  <w:vMerge w:val="continue"/>
                  <w:noWrap/>
                  <w:vAlign w:val="center"/>
                </w:tcPr>
                <w:p w14:paraId="77EC6FEE">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210" w:type="pct"/>
                  <w:vMerge w:val="continue"/>
                  <w:noWrap/>
                  <w:vAlign w:val="center"/>
                </w:tcPr>
                <w:p w14:paraId="59B3E4D4">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167" w:type="pct"/>
                  <w:vMerge w:val="continue"/>
                  <w:noWrap/>
                  <w:vAlign w:val="center"/>
                </w:tcPr>
                <w:p w14:paraId="22A6DE5A">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r>
            <w:tr w14:paraId="0201DF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37" w:hRule="atLeast"/>
                <w:tblHeader/>
                <w:jc w:val="center"/>
              </w:trPr>
              <w:tc>
                <w:tcPr>
                  <w:tcW w:w="147" w:type="pct"/>
                  <w:noWrap/>
                  <w:vAlign w:val="center"/>
                </w:tcPr>
                <w:p w14:paraId="1B85A8C3">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1</w:t>
                  </w:r>
                </w:p>
              </w:tc>
              <w:tc>
                <w:tcPr>
                  <w:tcW w:w="229" w:type="pct"/>
                  <w:noWrap/>
                  <w:vAlign w:val="center"/>
                </w:tcPr>
                <w:p w14:paraId="65526BCF">
                  <w:pPr>
                    <w:pStyle w:val="41"/>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textAlignment w:val="auto"/>
                    <w:rPr>
                      <w:rFonts w:hint="eastAsia"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eastAsiaTheme="minorEastAsia"/>
                      <w:color w:val="auto"/>
                      <w:sz w:val="21"/>
                      <w:szCs w:val="21"/>
                      <w:highlight w:val="none"/>
                    </w:rPr>
                    <w:t>MF000</w:t>
                  </w:r>
                  <w:r>
                    <w:rPr>
                      <w:rFonts w:hint="eastAsia" w:ascii="Times New Roman" w:hAnsi="Times New Roman" w:cs="Times New Roman" w:eastAsiaTheme="minorEastAsia"/>
                      <w:color w:val="auto"/>
                      <w:sz w:val="21"/>
                      <w:szCs w:val="21"/>
                      <w:highlight w:val="none"/>
                      <w:lang w:val="en-US" w:eastAsia="zh-CN"/>
                    </w:rPr>
                    <w:t>1</w:t>
                  </w:r>
                </w:p>
              </w:tc>
              <w:tc>
                <w:tcPr>
                  <w:tcW w:w="350" w:type="pct"/>
                  <w:noWrap/>
                  <w:vAlign w:val="center"/>
                </w:tcPr>
                <w:p w14:paraId="1CEC13ED">
                  <w:pPr>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sz w:val="21"/>
                      <w:szCs w:val="21"/>
                      <w:highlight w:val="none"/>
                      <w:lang w:eastAsia="zh-CN"/>
                    </w:rPr>
                    <w:t>4t/h燃生物质蒸汽锅炉</w:t>
                  </w:r>
                </w:p>
              </w:tc>
              <w:tc>
                <w:tcPr>
                  <w:tcW w:w="330" w:type="pct"/>
                  <w:noWrap/>
                  <w:vAlign w:val="center"/>
                </w:tcPr>
                <w:p w14:paraId="7383E0BA">
                  <w:pPr>
                    <w:pStyle w:val="41"/>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eastAsia" w:ascii="Times New Roman" w:hAnsi="Times New Roman" w:cs="Times New Roman" w:eastAsiaTheme="minorEastAsia"/>
                      <w:color w:val="auto"/>
                      <w:sz w:val="21"/>
                      <w:szCs w:val="21"/>
                      <w:highlight w:val="none"/>
                      <w:lang w:val="en-US" w:eastAsia="zh-CN"/>
                    </w:rPr>
                    <w:t>锅炉废气</w:t>
                  </w:r>
                </w:p>
              </w:tc>
              <w:tc>
                <w:tcPr>
                  <w:tcW w:w="421" w:type="pct"/>
                  <w:noWrap/>
                  <w:vAlign w:val="center"/>
                </w:tcPr>
                <w:p w14:paraId="1504DA3B">
                  <w:pPr>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rPr>
                    <w:t>颗粒物</w:t>
                  </w:r>
                  <w:r>
                    <w:rPr>
                      <w:rFonts w:hint="default"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lang w:val="en-US" w:eastAsia="zh-CN"/>
                    </w:rPr>
                    <w:t>SO</w:t>
                  </w:r>
                  <w:r>
                    <w:rPr>
                      <w:rFonts w:hint="default" w:ascii="Times New Roman" w:hAnsi="Times New Roman" w:cs="Times New Roman" w:eastAsiaTheme="minorEastAsia"/>
                      <w:color w:val="auto"/>
                      <w:sz w:val="21"/>
                      <w:szCs w:val="21"/>
                      <w:highlight w:val="none"/>
                      <w:vertAlign w:val="subscript"/>
                      <w:lang w:val="en-US" w:eastAsia="zh-CN"/>
                    </w:rPr>
                    <w:t>2</w:t>
                  </w:r>
                  <w:r>
                    <w:rPr>
                      <w:rFonts w:hint="default"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lang w:val="en-US" w:eastAsia="zh-CN"/>
                    </w:rPr>
                    <w:t>NO</w:t>
                  </w:r>
                  <w:r>
                    <w:rPr>
                      <w:rFonts w:hint="eastAsia" w:ascii="Times New Roman" w:hAnsi="Times New Roman" w:cs="Times New Roman" w:eastAsiaTheme="minorEastAsia"/>
                      <w:color w:val="auto"/>
                      <w:sz w:val="21"/>
                      <w:szCs w:val="21"/>
                      <w:highlight w:val="none"/>
                      <w:lang w:val="en-US" w:eastAsia="zh-CN"/>
                    </w:rPr>
                    <w:t>x、烟气黑度</w:t>
                  </w:r>
                </w:p>
              </w:tc>
              <w:tc>
                <w:tcPr>
                  <w:tcW w:w="204" w:type="pct"/>
                  <w:noWrap/>
                  <w:vAlign w:val="center"/>
                </w:tcPr>
                <w:p w14:paraId="283DDE03">
                  <w:pPr>
                    <w:pStyle w:val="41"/>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eastAsiaTheme="minorEastAsia"/>
                      <w:color w:val="auto"/>
                      <w:sz w:val="21"/>
                      <w:szCs w:val="21"/>
                      <w:highlight w:val="none"/>
                    </w:rPr>
                    <w:t>有组织</w:t>
                  </w:r>
                </w:p>
              </w:tc>
              <w:tc>
                <w:tcPr>
                  <w:tcW w:w="333" w:type="pct"/>
                  <w:noWrap/>
                  <w:vAlign w:val="center"/>
                </w:tcPr>
                <w:p w14:paraId="247C39D1">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w:t>
                  </w:r>
                </w:p>
              </w:tc>
              <w:tc>
                <w:tcPr>
                  <w:tcW w:w="438" w:type="pct"/>
                  <w:noWrap/>
                  <w:vAlign w:val="center"/>
                </w:tcPr>
                <w:p w14:paraId="597AE456">
                  <w:pPr>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lang w:val="en-US" w:eastAsia="zh-CN"/>
                    </w:rPr>
                    <w:t>旋风除尘+</w:t>
                  </w:r>
                  <w:r>
                    <w:rPr>
                      <w:rFonts w:hint="eastAsia" w:ascii="Times New Roman" w:hAnsi="Times New Roman" w:cs="Times New Roman" w:eastAsiaTheme="minorEastAsia"/>
                      <w:color w:val="auto"/>
                      <w:kern w:val="2"/>
                      <w:sz w:val="21"/>
                      <w:szCs w:val="21"/>
                      <w:highlight w:val="none"/>
                      <w:lang w:val="en-US" w:eastAsia="zh-CN" w:bidi="ar-SA"/>
                    </w:rPr>
                    <w:t>布袋除尘器</w:t>
                  </w:r>
                </w:p>
              </w:tc>
              <w:tc>
                <w:tcPr>
                  <w:tcW w:w="333" w:type="pct"/>
                  <w:noWrap/>
                  <w:vAlign w:val="center"/>
                </w:tcPr>
                <w:p w14:paraId="0AA16130">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w:t>
                  </w:r>
                </w:p>
              </w:tc>
              <w:tc>
                <w:tcPr>
                  <w:tcW w:w="292" w:type="pct"/>
                  <w:noWrap/>
                  <w:vAlign w:val="center"/>
                </w:tcPr>
                <w:p w14:paraId="6EC3AF28">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eastAsia="zh-CN"/>
                    </w:rPr>
                    <w:t>是</w:t>
                  </w:r>
                </w:p>
              </w:tc>
              <w:tc>
                <w:tcPr>
                  <w:tcW w:w="416" w:type="pct"/>
                  <w:noWrap/>
                  <w:vAlign w:val="center"/>
                </w:tcPr>
                <w:p w14:paraId="307D4147">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w:t>
                  </w:r>
                </w:p>
              </w:tc>
              <w:tc>
                <w:tcPr>
                  <w:tcW w:w="333" w:type="pct"/>
                  <w:noWrap/>
                  <w:vAlign w:val="center"/>
                </w:tcPr>
                <w:p w14:paraId="63EDC42D">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rPr>
                    <w:t>DA00</w:t>
                  </w:r>
                  <w:r>
                    <w:rPr>
                      <w:rFonts w:hint="eastAsia" w:ascii="Times New Roman" w:hAnsi="Times New Roman" w:cs="Times New Roman" w:eastAsiaTheme="minorEastAsia"/>
                      <w:color w:val="auto"/>
                      <w:sz w:val="21"/>
                      <w:szCs w:val="21"/>
                      <w:highlight w:val="none"/>
                      <w:lang w:val="en-US" w:eastAsia="zh-CN"/>
                    </w:rPr>
                    <w:t>1</w:t>
                  </w:r>
                </w:p>
              </w:tc>
              <w:tc>
                <w:tcPr>
                  <w:tcW w:w="333" w:type="pct"/>
                  <w:noWrap/>
                  <w:vAlign w:val="center"/>
                </w:tcPr>
                <w:p w14:paraId="2861C080">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sz w:val="21"/>
                      <w:szCs w:val="21"/>
                      <w:highlight w:val="none"/>
                      <w:lang w:val="en-US" w:eastAsia="zh-CN"/>
                    </w:rPr>
                    <w:t>烟囱</w:t>
                  </w:r>
                </w:p>
              </w:tc>
              <w:tc>
                <w:tcPr>
                  <w:tcW w:w="456" w:type="pct"/>
                  <w:noWrap/>
                  <w:vAlign w:val="center"/>
                </w:tcPr>
                <w:p w14:paraId="36877D56">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rPr>
                    <w:t>是</w:t>
                  </w:r>
                </w:p>
              </w:tc>
              <w:tc>
                <w:tcPr>
                  <w:tcW w:w="210" w:type="pct"/>
                  <w:noWrap/>
                  <w:vAlign w:val="center"/>
                </w:tcPr>
                <w:p w14:paraId="3FC87FE9">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eastAsia="zh-CN"/>
                    </w:rPr>
                    <w:t>一般</w:t>
                  </w:r>
                </w:p>
              </w:tc>
              <w:tc>
                <w:tcPr>
                  <w:tcW w:w="167" w:type="pct"/>
                  <w:noWrap/>
                  <w:vAlign w:val="center"/>
                </w:tcPr>
                <w:p w14:paraId="72D88AB5">
                  <w:pPr>
                    <w:pStyle w:val="123"/>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rPr>
                    <w:t>-</w:t>
                  </w:r>
                </w:p>
              </w:tc>
            </w:tr>
          </w:tbl>
          <w:p w14:paraId="4349FCBE">
            <w:pPr>
              <w:pStyle w:val="117"/>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480" w:firstLineChars="200"/>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color w:val="auto"/>
                <w:highlight w:val="none"/>
              </w:rPr>
              <w:t>（三）环境影响分析</w:t>
            </w:r>
          </w:p>
          <w:p w14:paraId="4BB2C23B">
            <w:pPr>
              <w:keepNext w:val="0"/>
              <w:keepLines w:val="0"/>
              <w:pageBreakBefore w:val="0"/>
              <w:suppressLineNumbers w:val="0"/>
              <w:wordWrap/>
              <w:bidi w:val="0"/>
              <w:spacing w:before="0" w:beforeAutospacing="0" w:after="0" w:afterAutospacing="0" w:line="360" w:lineRule="auto"/>
              <w:ind w:left="0" w:leftChars="0" w:right="0" w:firstLine="600" w:firstLineChars="250"/>
              <w:rPr>
                <w:rFonts w:hint="eastAsia"/>
                <w:color w:val="auto"/>
                <w:sz w:val="24"/>
                <w:lang w:val="en-US" w:eastAsia="zh-CN"/>
              </w:rPr>
            </w:pPr>
            <w:r>
              <w:rPr>
                <w:rFonts w:hint="eastAsia" w:cs="Times New Roman"/>
                <w:color w:val="auto"/>
                <w:kern w:val="0"/>
                <w:sz w:val="24"/>
                <w:szCs w:val="24"/>
                <w:highlight w:val="none"/>
                <w:lang w:val="en-US" w:eastAsia="zh-CN" w:bidi="ar-SA"/>
              </w:rPr>
              <w:t>本项目4t/h燃生物质</w:t>
            </w:r>
            <w:r>
              <w:rPr>
                <w:rFonts w:hint="eastAsia" w:ascii="Times New Roman" w:hAnsi="Times New Roman" w:eastAsia="宋体" w:cs="Times New Roman"/>
                <w:color w:val="auto"/>
                <w:kern w:val="0"/>
                <w:sz w:val="24"/>
                <w:szCs w:val="24"/>
                <w:highlight w:val="none"/>
                <w:lang w:val="en-US" w:eastAsia="zh-CN" w:bidi="ar-SA"/>
              </w:rPr>
              <w:t>蒸汽锅</w:t>
            </w:r>
            <w:r>
              <w:rPr>
                <w:rFonts w:hint="default" w:ascii="Times New Roman" w:hAnsi="Times New Roman" w:eastAsia="宋体" w:cs="Times New Roman"/>
                <w:color w:val="auto"/>
                <w:kern w:val="0"/>
                <w:sz w:val="24"/>
                <w:szCs w:val="24"/>
                <w:highlight w:val="none"/>
                <w:lang w:val="en-US" w:eastAsia="zh-CN" w:bidi="ar-SA"/>
              </w:rPr>
              <w:t>炉</w:t>
            </w:r>
            <w:r>
              <w:rPr>
                <w:rFonts w:hint="eastAsia" w:cs="Times New Roman"/>
                <w:color w:val="auto"/>
                <w:kern w:val="0"/>
                <w:sz w:val="24"/>
                <w:szCs w:val="24"/>
                <w:highlight w:val="none"/>
                <w:lang w:val="en-US" w:eastAsia="zh-CN" w:bidi="ar-SA"/>
              </w:rPr>
              <w:t>废气采用旋风除尘+布袋除尘器处理，处理后废气经35m高烟囱（DA001）排放。</w:t>
            </w:r>
            <w:r>
              <w:rPr>
                <w:rFonts w:hint="default"/>
                <w:color w:val="auto"/>
                <w:sz w:val="24"/>
                <w:lang w:val="en-US" w:eastAsia="zh-CN"/>
              </w:rPr>
              <w:t>颗粒物、SO</w:t>
            </w:r>
            <w:r>
              <w:rPr>
                <w:rFonts w:hint="default"/>
                <w:color w:val="auto"/>
                <w:sz w:val="24"/>
                <w:vertAlign w:val="subscript"/>
                <w:lang w:val="en-US" w:eastAsia="zh-CN"/>
              </w:rPr>
              <w:t>2</w:t>
            </w:r>
            <w:r>
              <w:rPr>
                <w:rFonts w:hint="eastAsia"/>
                <w:color w:val="auto"/>
                <w:sz w:val="24"/>
                <w:lang w:val="en-US" w:eastAsia="zh-CN"/>
              </w:rPr>
              <w:t>、</w:t>
            </w:r>
            <w:r>
              <w:rPr>
                <w:rFonts w:hint="default"/>
                <w:color w:val="auto"/>
                <w:sz w:val="24"/>
                <w:lang w:val="en-US" w:eastAsia="zh-CN"/>
              </w:rPr>
              <w:t>NOx排放</w:t>
            </w:r>
            <w:r>
              <w:rPr>
                <w:rFonts w:hint="eastAsia"/>
                <w:color w:val="auto"/>
                <w:sz w:val="24"/>
                <w:lang w:val="en-US" w:eastAsia="zh-CN"/>
              </w:rPr>
              <w:t>浓度</w:t>
            </w:r>
            <w:r>
              <w:rPr>
                <w:rFonts w:hint="default"/>
                <w:color w:val="auto"/>
                <w:sz w:val="24"/>
                <w:lang w:val="en-US" w:eastAsia="zh-CN"/>
              </w:rPr>
              <w:t>均满足</w:t>
            </w:r>
            <w:r>
              <w:rPr>
                <w:rFonts w:hint="eastAsia"/>
                <w:color w:val="auto"/>
                <w:sz w:val="24"/>
                <w:lang w:val="en-US" w:eastAsia="zh-CN"/>
              </w:rPr>
              <w:t>《锅炉大气污染物排放标准》（GB13271-2014）表2标准限值要求</w:t>
            </w:r>
            <w:r>
              <w:rPr>
                <w:rFonts w:hint="default"/>
                <w:color w:val="auto"/>
                <w:sz w:val="24"/>
                <w:lang w:val="en-US" w:eastAsia="zh-CN"/>
              </w:rPr>
              <w:t>。</w:t>
            </w:r>
            <w:r>
              <w:rPr>
                <w:rFonts w:hint="eastAsia" w:cs="Times New Roman"/>
                <w:color w:val="auto"/>
                <w:kern w:val="0"/>
                <w:sz w:val="24"/>
                <w:szCs w:val="24"/>
                <w:lang w:val="en-US" w:eastAsia="zh-CN"/>
              </w:rPr>
              <w:t>厂界无组织颗粒物执行</w:t>
            </w:r>
            <w:r>
              <w:rPr>
                <w:rFonts w:hint="eastAsia" w:ascii="Times New Roman" w:hAnsi="Times New Roman" w:eastAsia="宋体" w:cs="Times New Roman"/>
                <w:bCs/>
                <w:color w:val="auto"/>
                <w:sz w:val="24"/>
              </w:rPr>
              <w:t>《大气污染物综合排放标准》（GB16297-1996）表2中无组织排放限值</w:t>
            </w:r>
            <w:r>
              <w:rPr>
                <w:rFonts w:hint="eastAsia" w:ascii="Times New Roman" w:hAnsi="Times New Roman" w:eastAsia="宋体" w:cs="Times New Roman"/>
                <w:bCs/>
                <w:color w:val="auto"/>
                <w:sz w:val="24"/>
                <w:lang w:eastAsia="zh-CN"/>
              </w:rPr>
              <w:t>。</w:t>
            </w:r>
            <w:r>
              <w:rPr>
                <w:rFonts w:hint="eastAsia"/>
                <w:color w:val="auto"/>
                <w:sz w:val="24"/>
                <w:lang w:val="en-US" w:eastAsia="zh-CN"/>
              </w:rPr>
              <w:t>对区域环境空气影响较小。</w:t>
            </w:r>
            <w:r>
              <w:rPr>
                <w:rFonts w:hint="default"/>
                <w:color w:val="auto"/>
                <w:sz w:val="24"/>
                <w:lang w:val="en-US" w:eastAsia="zh-CN"/>
              </w:rPr>
              <w:t>综上所述，从环境空气的角度，本项目的建设是可行的。</w:t>
            </w:r>
          </w:p>
          <w:p w14:paraId="4A97BBAF">
            <w:pPr>
              <w:pStyle w:val="27"/>
              <w:keepNext w:val="0"/>
              <w:keepLines w:val="0"/>
              <w:pageBreakBefore w:val="0"/>
              <w:suppressLineNumbers w:val="0"/>
              <w:wordWrap/>
              <w:bidi w:val="0"/>
              <w:spacing w:before="0" w:beforeAutospacing="0" w:after="0" w:afterAutospacing="0" w:line="360" w:lineRule="auto"/>
              <w:ind w:left="0" w:leftChars="0" w:right="0" w:firstLine="482" w:firstLineChars="200"/>
              <w:rPr>
                <w:rFonts w:hint="default" w:ascii="Times New Roman" w:hAnsi="Times New Roman" w:eastAsia="宋体"/>
                <w:b/>
                <w:bCs/>
                <w:color w:val="auto"/>
                <w:szCs w:val="24"/>
                <w:highlight w:val="none"/>
              </w:rPr>
            </w:pPr>
            <w:r>
              <w:rPr>
                <w:rFonts w:hint="eastAsia" w:ascii="Times New Roman" w:hAnsi="Times New Roman" w:eastAsia="宋体"/>
                <w:b/>
                <w:bCs/>
                <w:color w:val="auto"/>
                <w:szCs w:val="24"/>
                <w:highlight w:val="none"/>
                <w:lang w:eastAsia="zh-CN"/>
              </w:rPr>
              <w:t>二</w:t>
            </w:r>
            <w:r>
              <w:rPr>
                <w:rFonts w:hint="eastAsia" w:ascii="Times New Roman" w:hAnsi="Times New Roman" w:eastAsia="宋体"/>
                <w:b/>
                <w:bCs/>
                <w:color w:val="auto"/>
                <w:szCs w:val="24"/>
                <w:highlight w:val="none"/>
              </w:rPr>
              <w:t>、</w:t>
            </w:r>
            <w:r>
              <w:rPr>
                <w:rFonts w:hint="default" w:ascii="Times New Roman" w:hAnsi="Times New Roman" w:eastAsia="宋体"/>
                <w:b/>
                <w:bCs/>
                <w:color w:val="auto"/>
                <w:szCs w:val="24"/>
                <w:highlight w:val="none"/>
              </w:rPr>
              <w:t>废水</w:t>
            </w:r>
          </w:p>
          <w:p w14:paraId="5ECF2051">
            <w:pPr>
              <w:pStyle w:val="27"/>
              <w:keepNext w:val="0"/>
              <w:keepLines w:val="0"/>
              <w:pageBreakBefore w:val="0"/>
              <w:suppressLineNumbers w:val="0"/>
              <w:wordWrap/>
              <w:bidi w:val="0"/>
              <w:spacing w:before="0" w:beforeAutospacing="0" w:after="0" w:afterAutospacing="0" w:line="360" w:lineRule="auto"/>
              <w:ind w:left="0" w:leftChars="0" w:right="0" w:firstLine="480"/>
              <w:rPr>
                <w:rFonts w:hint="default" w:ascii="Times New Roman" w:hAnsi="Times New Roman" w:eastAsia="宋体"/>
                <w:color w:val="auto"/>
                <w:szCs w:val="24"/>
                <w:highlight w:val="none"/>
              </w:rPr>
            </w:pPr>
            <w:r>
              <w:rPr>
                <w:rFonts w:hint="eastAsia" w:ascii="Times New Roman" w:hAnsi="Times New Roman" w:eastAsia="宋体"/>
                <w:color w:val="auto"/>
                <w:szCs w:val="24"/>
                <w:highlight w:val="none"/>
                <w:lang w:val="en-US" w:eastAsia="zh-CN"/>
              </w:rPr>
              <w:t>1、</w:t>
            </w:r>
            <w:r>
              <w:rPr>
                <w:rFonts w:hint="eastAsia" w:ascii="Times New Roman" w:hAnsi="Times New Roman" w:eastAsia="宋体"/>
                <w:color w:val="auto"/>
                <w:szCs w:val="24"/>
                <w:highlight w:val="none"/>
              </w:rPr>
              <w:t>源强核算及达标排放情况</w:t>
            </w:r>
          </w:p>
          <w:p w14:paraId="1AAE98AC">
            <w:pPr>
              <w:keepNext w:val="0"/>
              <w:keepLines w:val="0"/>
              <w:pageBreakBefore w:val="0"/>
              <w:suppressLineNumbers w:val="0"/>
              <w:wordWrap/>
              <w:bidi w:val="0"/>
              <w:spacing w:before="0" w:beforeAutospacing="0" w:after="0" w:afterAutospacing="0" w:line="360" w:lineRule="auto"/>
              <w:ind w:left="0" w:leftChars="0" w:right="0" w:firstLine="600" w:firstLineChars="250"/>
              <w:rPr>
                <w:rFonts w:hint="eastAsia"/>
                <w:color w:val="auto"/>
                <w:sz w:val="24"/>
                <w:lang w:eastAsia="zh-CN"/>
              </w:rPr>
            </w:pPr>
            <w:r>
              <w:rPr>
                <w:rFonts w:hint="eastAsia"/>
                <w:color w:val="auto"/>
                <w:sz w:val="24"/>
                <w:lang w:val="en-US" w:eastAsia="zh-CN"/>
              </w:rPr>
              <w:t>本项目</w:t>
            </w:r>
            <w:r>
              <w:rPr>
                <w:rFonts w:hint="eastAsia"/>
                <w:color w:val="auto"/>
                <w:sz w:val="24"/>
              </w:rPr>
              <w:t>产生的废水有</w:t>
            </w:r>
            <w:r>
              <w:rPr>
                <w:rFonts w:hint="eastAsia"/>
                <w:color w:val="auto"/>
                <w:sz w:val="24"/>
                <w:lang w:val="en-US" w:eastAsia="zh-CN"/>
              </w:rPr>
              <w:t>生产废水、车间清洗废水、锅炉排污水和软化水制备废水、反冲洗废水及生活污水</w:t>
            </w:r>
            <w:r>
              <w:rPr>
                <w:rFonts w:hint="eastAsia"/>
                <w:color w:val="auto"/>
                <w:sz w:val="24"/>
                <w:lang w:eastAsia="zh-CN"/>
              </w:rPr>
              <w:t>。</w:t>
            </w:r>
          </w:p>
          <w:p w14:paraId="51F410E4">
            <w:pPr>
              <w:keepNext w:val="0"/>
              <w:keepLines w:val="0"/>
              <w:pageBreakBefore w:val="0"/>
              <w:suppressLineNumbers w:val="0"/>
              <w:wordWrap/>
              <w:bidi w:val="0"/>
              <w:spacing w:before="0" w:beforeAutospacing="0" w:after="0" w:afterAutospacing="0" w:line="360" w:lineRule="auto"/>
              <w:ind w:left="0" w:leftChars="0" w:right="0" w:firstLine="600" w:firstLineChars="250"/>
              <w:rPr>
                <w:rFonts w:hint="default"/>
                <w:color w:val="auto"/>
                <w:sz w:val="24"/>
                <w:lang w:val="en-US" w:eastAsia="zh-CN"/>
              </w:rPr>
            </w:pPr>
            <w:r>
              <w:rPr>
                <w:rFonts w:hint="eastAsia"/>
                <w:color w:val="auto"/>
                <w:sz w:val="24"/>
                <w:lang w:val="en-US" w:eastAsia="zh-CN"/>
              </w:rPr>
              <w:t>本项目建成后全厂综合废水排入市政管网，经</w:t>
            </w:r>
            <w:r>
              <w:rPr>
                <w:rFonts w:hint="eastAsia" w:ascii="Times New Roman" w:hAnsi="Times New Roman" w:eastAsia="宋体" w:cs="Times New Roman"/>
                <w:color w:val="auto"/>
                <w:sz w:val="24"/>
                <w:lang w:val="en-US" w:eastAsia="zh-CN"/>
              </w:rPr>
              <w:t>双鸭山市污水处理厂处</w:t>
            </w:r>
            <w:r>
              <w:rPr>
                <w:rFonts w:hint="eastAsia"/>
                <w:color w:val="auto"/>
                <w:sz w:val="24"/>
                <w:lang w:val="en-US" w:eastAsia="zh-CN"/>
              </w:rPr>
              <w:t>理达标后排放。则本项目废水总排放量为3174.393t/a。</w:t>
            </w:r>
          </w:p>
          <w:p w14:paraId="5E3B22B7">
            <w:pPr>
              <w:keepNext w:val="0"/>
              <w:keepLines w:val="0"/>
              <w:pageBreakBefore w:val="0"/>
              <w:suppressLineNumbers w:val="0"/>
              <w:wordWrap/>
              <w:bidi w:val="0"/>
              <w:spacing w:before="0" w:beforeAutospacing="0" w:after="0" w:afterAutospacing="0" w:line="360" w:lineRule="auto"/>
              <w:ind w:left="0" w:leftChars="0" w:right="0" w:firstLine="600" w:firstLineChars="250"/>
              <w:rPr>
                <w:color w:val="auto"/>
                <w:kern w:val="0"/>
                <w:sz w:val="24"/>
              </w:rPr>
            </w:pPr>
            <w:r>
              <w:rPr>
                <w:color w:val="auto"/>
                <w:kern w:val="0"/>
                <w:sz w:val="24"/>
              </w:rPr>
              <w:t>本项目</w:t>
            </w:r>
            <w:r>
              <w:rPr>
                <w:rFonts w:hint="eastAsia"/>
                <w:color w:val="auto"/>
                <w:kern w:val="0"/>
                <w:sz w:val="24"/>
                <w:lang w:val="en-US" w:eastAsia="zh-CN"/>
              </w:rPr>
              <w:t>废水</w:t>
            </w:r>
            <w:r>
              <w:rPr>
                <w:color w:val="auto"/>
                <w:kern w:val="0"/>
                <w:sz w:val="24"/>
              </w:rPr>
              <w:t>水质参考《青冈县万德福粘玉米种植专业合作社速冻粘玉米加工项目竣工环境保护验收监测报告》水质。本项目类比青冈县万德福粘玉米种植专业合作社速冻粘玉米加工项目的原因：一是青冈县万德福粘玉米种植专业合作社速冻粘玉米速冻项目的生产线与本项目新建玉米冷冻生产线相同，加工的原料及产品也相同；二是青冈县万德福粘玉米种植专业合作社速冻粘玉米加工项目加工生产工艺与本项目生产加工工艺相同，均为将成熟玉米采收后进行剥皮、检验、清洗、漂烫、冷却、修整、速冻这些工序，进行玉米加工。三是青冈县万德福粘玉米种植专业合作社速冻粘玉米加工项目与本项目处理废水的方式相同。</w:t>
            </w:r>
            <w:r>
              <w:rPr>
                <w:rFonts w:hint="eastAsia"/>
                <w:color w:val="auto"/>
                <w:kern w:val="0"/>
                <w:sz w:val="24"/>
                <w:lang w:val="en-US" w:eastAsia="zh-CN"/>
              </w:rPr>
              <w:t>四是生产废水主要包括</w:t>
            </w:r>
            <w:r>
              <w:rPr>
                <w:rFonts w:hint="default" w:ascii="Times New Roman" w:hAnsi="Times New Roman" w:eastAsia="宋体" w:cs="Times New Roman"/>
                <w:color w:val="auto"/>
                <w:sz w:val="24"/>
                <w:szCs w:val="24"/>
                <w:lang w:val="en-US" w:eastAsia="zh-CN"/>
              </w:rPr>
              <w:t>生产废水、车间清洗废水、锅炉排污水和软化水制备废水、反冲洗废水及生活污水</w:t>
            </w:r>
            <w:r>
              <w:rPr>
                <w:rFonts w:hint="eastAsia" w:cs="Times New Roman"/>
                <w:color w:val="auto"/>
                <w:sz w:val="24"/>
                <w:szCs w:val="24"/>
                <w:lang w:val="en-US" w:eastAsia="zh-CN"/>
              </w:rPr>
              <w:t>等与本项目废水种类相同。</w:t>
            </w:r>
            <w:r>
              <w:rPr>
                <w:color w:val="auto"/>
                <w:kern w:val="0"/>
                <w:sz w:val="24"/>
              </w:rPr>
              <w:t>青冈县万德福粘玉米种植专业合作社速冻粘玉米加工项目产生的生活污水和生产废水处理方式为废水排入废水沉淀池，定期由专用车辆清掏外运至排水管网处倾倒。本项目生产废水和生活污水</w:t>
            </w:r>
            <w:r>
              <w:rPr>
                <w:rFonts w:hint="eastAsia"/>
                <w:color w:val="auto"/>
                <w:sz w:val="24"/>
                <w:lang w:val="en-US" w:eastAsia="zh-CN"/>
              </w:rPr>
              <w:t>排入市政管网，经</w:t>
            </w:r>
            <w:r>
              <w:rPr>
                <w:rFonts w:hint="eastAsia" w:ascii="Times New Roman" w:hAnsi="Times New Roman" w:eastAsia="宋体" w:cs="Times New Roman"/>
                <w:color w:val="auto"/>
                <w:sz w:val="24"/>
                <w:lang w:val="en-US" w:eastAsia="zh-CN"/>
              </w:rPr>
              <w:t>双鸭山市污水处理厂处</w:t>
            </w:r>
            <w:r>
              <w:rPr>
                <w:rFonts w:hint="eastAsia"/>
                <w:color w:val="auto"/>
                <w:sz w:val="24"/>
                <w:lang w:val="en-US" w:eastAsia="zh-CN"/>
              </w:rPr>
              <w:t>理达标后排放</w:t>
            </w:r>
            <w:r>
              <w:rPr>
                <w:color w:val="auto"/>
                <w:kern w:val="0"/>
                <w:sz w:val="24"/>
              </w:rPr>
              <w:t>；所以本项目废水水质参考青冈县万德福粘玉米种植专业合作社速冻粘玉米加工项目是可行的。根据《青冈县万德福粘玉米种植专业合作社速冻粘玉米加工项目竣工环境保护验收监测报告》得知，废水水质为：COD浓度为235mg/L、SS浓度为125mg/L、氨氮浓度为20.6mg/L。因此</w:t>
            </w:r>
            <w:r>
              <w:rPr>
                <w:rFonts w:hint="eastAsia"/>
                <w:color w:val="auto"/>
                <w:kern w:val="0"/>
                <w:sz w:val="24"/>
                <w:lang w:eastAsia="zh-CN"/>
              </w:rPr>
              <w:t>，</w:t>
            </w:r>
            <w:r>
              <w:rPr>
                <w:color w:val="auto"/>
                <w:kern w:val="0"/>
                <w:sz w:val="24"/>
              </w:rPr>
              <w:t>本项目废水水质为：COD浓度为235mg/L，氨氮浓度为20.6mg/L，</w:t>
            </w:r>
            <w:r>
              <w:rPr>
                <w:rFonts w:hint="eastAsia"/>
                <w:color w:val="auto"/>
                <w:sz w:val="24"/>
                <w:highlight w:val="none"/>
                <w:lang w:val="en-US" w:eastAsia="zh-CN" w:bidi="ar"/>
              </w:rPr>
              <w:t>SS浓度为125</w:t>
            </w:r>
            <w:r>
              <w:rPr>
                <w:rFonts w:hint="eastAsia"/>
                <w:color w:val="auto"/>
                <w:sz w:val="24"/>
                <w:lang w:val="en-US" w:eastAsia="zh-CN"/>
              </w:rPr>
              <w:t>mg/L。</w:t>
            </w:r>
          </w:p>
          <w:p w14:paraId="7D3D895C">
            <w:pPr>
              <w:pStyle w:val="2"/>
              <w:ind w:firstLine="480" w:firstLineChars="200"/>
              <w:rPr>
                <w:color w:val="auto"/>
                <w:kern w:val="0"/>
                <w:sz w:val="24"/>
              </w:rPr>
            </w:pPr>
            <w:r>
              <w:rPr>
                <w:bCs/>
                <w:color w:val="auto"/>
                <w:sz w:val="24"/>
              </w:rPr>
              <w:t>本项目</w:t>
            </w:r>
            <w:r>
              <w:rPr>
                <w:rFonts w:hint="eastAsia"/>
                <w:bCs/>
                <w:color w:val="auto"/>
                <w:sz w:val="24"/>
              </w:rPr>
              <w:t>废</w:t>
            </w:r>
            <w:r>
              <w:rPr>
                <w:bCs/>
                <w:color w:val="auto"/>
                <w:sz w:val="24"/>
              </w:rPr>
              <w:t>水污染物产生情况见下表4-</w:t>
            </w:r>
            <w:r>
              <w:rPr>
                <w:rFonts w:hint="eastAsia"/>
                <w:bCs/>
                <w:color w:val="auto"/>
                <w:sz w:val="24"/>
                <w:lang w:val="en-US" w:eastAsia="zh-CN"/>
              </w:rPr>
              <w:t>8</w:t>
            </w:r>
            <w:r>
              <w:rPr>
                <w:bCs/>
                <w:color w:val="auto"/>
                <w:sz w:val="24"/>
              </w:rPr>
              <w:t>。</w:t>
            </w:r>
          </w:p>
          <w:p w14:paraId="1FE6DB81">
            <w:pPr>
              <w:keepNext w:val="0"/>
              <w:keepLines w:val="0"/>
              <w:pageBreakBefore w:val="0"/>
              <w:suppressLineNumbers w:val="0"/>
              <w:wordWrap/>
              <w:bidi w:val="0"/>
              <w:spacing w:before="0" w:beforeAutospacing="0" w:after="0" w:afterAutospacing="0" w:line="240" w:lineRule="auto"/>
              <w:ind w:left="0" w:leftChars="0" w:right="0"/>
              <w:jc w:val="center"/>
              <w:rPr>
                <w:rFonts w:hint="default" w:ascii="Times New Roman" w:hAnsi="Times New Roman" w:eastAsia="宋体" w:cs="Times New Roman"/>
                <w:b/>
                <w:bCs/>
                <w:iCs/>
                <w:color w:val="auto"/>
                <w:kern w:val="0"/>
                <w:sz w:val="21"/>
                <w:szCs w:val="21"/>
                <w:highlight w:val="none"/>
                <w:lang w:val="en-US" w:eastAsia="zh-CN" w:bidi="ar-SA"/>
              </w:rPr>
            </w:pPr>
            <w:r>
              <w:rPr>
                <w:rFonts w:hint="default" w:ascii="Times New Roman" w:hAnsi="Times New Roman" w:eastAsia="宋体" w:cs="Times New Roman"/>
                <w:b/>
                <w:bCs/>
                <w:iCs/>
                <w:color w:val="auto"/>
                <w:kern w:val="0"/>
                <w:sz w:val="21"/>
                <w:szCs w:val="21"/>
                <w:highlight w:val="none"/>
                <w:lang w:val="en-US" w:eastAsia="zh-CN" w:bidi="ar-SA"/>
              </w:rPr>
              <w:t>表4</w:t>
            </w:r>
            <w:r>
              <w:rPr>
                <w:rFonts w:hint="eastAsia" w:cs="Times New Roman"/>
                <w:b/>
                <w:bCs/>
                <w:iCs/>
                <w:color w:val="auto"/>
                <w:kern w:val="0"/>
                <w:sz w:val="21"/>
                <w:szCs w:val="21"/>
                <w:highlight w:val="none"/>
                <w:lang w:val="en-US" w:eastAsia="zh-CN" w:bidi="ar-SA"/>
              </w:rPr>
              <w:t xml:space="preserve">-8 </w:t>
            </w:r>
            <w:r>
              <w:rPr>
                <w:rFonts w:hint="default" w:ascii="Times New Roman" w:hAnsi="Times New Roman" w:eastAsia="宋体" w:cs="Times New Roman"/>
                <w:b/>
                <w:bCs/>
                <w:iCs/>
                <w:color w:val="auto"/>
                <w:kern w:val="0"/>
                <w:sz w:val="21"/>
                <w:szCs w:val="21"/>
                <w:highlight w:val="none"/>
                <w:lang w:val="en-US" w:eastAsia="zh-CN" w:bidi="ar-SA"/>
              </w:rPr>
              <w:t xml:space="preserve"> 废水污染源源强核算结果及相关参数一览表</w:t>
            </w:r>
          </w:p>
          <w:tbl>
            <w:tblPr>
              <w:tblStyle w:val="3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4"/>
              <w:gridCol w:w="934"/>
              <w:gridCol w:w="1240"/>
              <w:gridCol w:w="1793"/>
              <w:gridCol w:w="1077"/>
              <w:gridCol w:w="1095"/>
              <w:gridCol w:w="1095"/>
            </w:tblGrid>
            <w:tr w14:paraId="461408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1" w:type="pct"/>
                  <w:tcBorders>
                    <w:tl2br w:val="nil"/>
                    <w:tr2bl w:val="nil"/>
                  </w:tcBorders>
                  <w:vAlign w:val="center"/>
                </w:tcPr>
                <w:p w14:paraId="753CC9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处理方式</w:t>
                  </w:r>
                </w:p>
              </w:tc>
              <w:tc>
                <w:tcPr>
                  <w:tcW w:w="571" w:type="pct"/>
                  <w:tcBorders>
                    <w:tl2br w:val="nil"/>
                    <w:tr2bl w:val="nil"/>
                  </w:tcBorders>
                  <w:vAlign w:val="center"/>
                </w:tcPr>
                <w:p w14:paraId="66C8BF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污染源</w:t>
                  </w:r>
                </w:p>
              </w:tc>
              <w:tc>
                <w:tcPr>
                  <w:tcW w:w="759" w:type="pct"/>
                  <w:tcBorders>
                    <w:tl2br w:val="nil"/>
                    <w:tr2bl w:val="nil"/>
                  </w:tcBorders>
                  <w:vAlign w:val="center"/>
                </w:tcPr>
                <w:p w14:paraId="0C9505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废水量t/a</w:t>
                  </w:r>
                </w:p>
              </w:tc>
              <w:tc>
                <w:tcPr>
                  <w:tcW w:w="1097" w:type="pct"/>
                  <w:tcBorders>
                    <w:tl2br w:val="nil"/>
                    <w:tr2bl w:val="nil"/>
                  </w:tcBorders>
                  <w:vAlign w:val="center"/>
                </w:tcPr>
                <w:p w14:paraId="25BF4D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项目</w:t>
                  </w:r>
                </w:p>
              </w:tc>
              <w:tc>
                <w:tcPr>
                  <w:tcW w:w="659" w:type="pct"/>
                  <w:tcBorders>
                    <w:tl2br w:val="nil"/>
                    <w:tr2bl w:val="nil"/>
                  </w:tcBorders>
                  <w:vAlign w:val="center"/>
                </w:tcPr>
                <w:p w14:paraId="2C0A7A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COD</w:t>
                  </w:r>
                </w:p>
              </w:tc>
              <w:tc>
                <w:tcPr>
                  <w:tcW w:w="670" w:type="pct"/>
                  <w:tcBorders>
                    <w:tl2br w:val="nil"/>
                    <w:tr2bl w:val="nil"/>
                  </w:tcBorders>
                  <w:vAlign w:val="center"/>
                </w:tcPr>
                <w:p w14:paraId="4FCC69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氨氮</w:t>
                  </w:r>
                </w:p>
              </w:tc>
              <w:tc>
                <w:tcPr>
                  <w:tcW w:w="670" w:type="pct"/>
                  <w:tcBorders>
                    <w:tl2br w:val="nil"/>
                    <w:tr2bl w:val="nil"/>
                  </w:tcBorders>
                  <w:vAlign w:val="center"/>
                </w:tcPr>
                <w:p w14:paraId="57B114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SS</w:t>
                  </w:r>
                </w:p>
              </w:tc>
            </w:tr>
            <w:tr w14:paraId="733272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1" w:type="pct"/>
                  <w:vMerge w:val="restart"/>
                  <w:tcBorders>
                    <w:tl2br w:val="nil"/>
                    <w:tr2bl w:val="nil"/>
                  </w:tcBorders>
                  <w:vAlign w:val="center"/>
                </w:tcPr>
                <w:p w14:paraId="542092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生产过程及员工生活</w:t>
                  </w:r>
                </w:p>
              </w:tc>
              <w:tc>
                <w:tcPr>
                  <w:tcW w:w="571" w:type="pct"/>
                  <w:vMerge w:val="restart"/>
                  <w:tcBorders>
                    <w:tl2br w:val="nil"/>
                    <w:tr2bl w:val="nil"/>
                  </w:tcBorders>
                  <w:vAlign w:val="center"/>
                </w:tcPr>
                <w:p w14:paraId="24CCD9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综合</w:t>
                  </w:r>
                  <w:r>
                    <w:rPr>
                      <w:rFonts w:hint="eastAsia" w:ascii="Times New Roman" w:hAnsi="Times New Roman" w:eastAsia="宋体" w:cs="Times New Roman"/>
                      <w:color w:val="auto"/>
                      <w:kern w:val="0"/>
                      <w:sz w:val="21"/>
                      <w:szCs w:val="21"/>
                      <w:vertAlign w:val="baseline"/>
                      <w:lang w:val="en-US" w:eastAsia="zh-CN"/>
                    </w:rPr>
                    <w:t>废水</w:t>
                  </w:r>
                </w:p>
              </w:tc>
              <w:tc>
                <w:tcPr>
                  <w:tcW w:w="759" w:type="pct"/>
                  <w:vMerge w:val="restart"/>
                  <w:tcBorders>
                    <w:tl2br w:val="nil"/>
                    <w:tr2bl w:val="nil"/>
                  </w:tcBorders>
                  <w:vAlign w:val="center"/>
                </w:tcPr>
                <w:p w14:paraId="66AF8D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3174.393</w:t>
                  </w:r>
                </w:p>
              </w:tc>
              <w:tc>
                <w:tcPr>
                  <w:tcW w:w="1097" w:type="pct"/>
                  <w:tcBorders>
                    <w:tl2br w:val="nil"/>
                    <w:tr2bl w:val="nil"/>
                  </w:tcBorders>
                  <w:vAlign w:val="center"/>
                </w:tcPr>
                <w:p w14:paraId="444D76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产生浓度（mg/L）</w:t>
                  </w:r>
                </w:p>
              </w:tc>
              <w:tc>
                <w:tcPr>
                  <w:tcW w:w="659" w:type="pct"/>
                  <w:tcBorders>
                    <w:tl2br w:val="nil"/>
                    <w:tr2bl w:val="nil"/>
                  </w:tcBorders>
                  <w:vAlign w:val="center"/>
                </w:tcPr>
                <w:p w14:paraId="3647F1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235</w:t>
                  </w:r>
                </w:p>
              </w:tc>
              <w:tc>
                <w:tcPr>
                  <w:tcW w:w="670" w:type="pct"/>
                  <w:tcBorders>
                    <w:tl2br w:val="nil"/>
                    <w:tr2bl w:val="nil"/>
                  </w:tcBorders>
                  <w:vAlign w:val="center"/>
                </w:tcPr>
                <w:p w14:paraId="1B61FF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20.6</w:t>
                  </w:r>
                </w:p>
              </w:tc>
              <w:tc>
                <w:tcPr>
                  <w:tcW w:w="670" w:type="pct"/>
                  <w:tcBorders>
                    <w:tl2br w:val="nil"/>
                    <w:tr2bl w:val="nil"/>
                  </w:tcBorders>
                  <w:vAlign w:val="center"/>
                </w:tcPr>
                <w:p w14:paraId="13EE80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125</w:t>
                  </w:r>
                </w:p>
              </w:tc>
            </w:tr>
            <w:tr w14:paraId="6E3F38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1" w:type="pct"/>
                  <w:vMerge w:val="continue"/>
                  <w:tcBorders>
                    <w:tl2br w:val="nil"/>
                    <w:tr2bl w:val="nil"/>
                  </w:tcBorders>
                  <w:vAlign w:val="center"/>
                </w:tcPr>
                <w:p w14:paraId="7A140A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p>
              </w:tc>
              <w:tc>
                <w:tcPr>
                  <w:tcW w:w="571" w:type="pct"/>
                  <w:vMerge w:val="continue"/>
                  <w:tcBorders>
                    <w:tl2br w:val="nil"/>
                    <w:tr2bl w:val="nil"/>
                  </w:tcBorders>
                  <w:vAlign w:val="center"/>
                </w:tcPr>
                <w:p w14:paraId="0EE238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p>
              </w:tc>
              <w:tc>
                <w:tcPr>
                  <w:tcW w:w="759" w:type="pct"/>
                  <w:vMerge w:val="continue"/>
                  <w:tcBorders>
                    <w:tl2br w:val="nil"/>
                    <w:tr2bl w:val="nil"/>
                  </w:tcBorders>
                  <w:vAlign w:val="center"/>
                </w:tcPr>
                <w:p w14:paraId="71F99E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p>
              </w:tc>
              <w:tc>
                <w:tcPr>
                  <w:tcW w:w="1097" w:type="pct"/>
                  <w:tcBorders>
                    <w:tl2br w:val="nil"/>
                    <w:tr2bl w:val="nil"/>
                  </w:tcBorders>
                  <w:vAlign w:val="center"/>
                </w:tcPr>
                <w:p w14:paraId="43B627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产生量（t/a）</w:t>
                  </w:r>
                </w:p>
              </w:tc>
              <w:tc>
                <w:tcPr>
                  <w:tcW w:w="659" w:type="pct"/>
                  <w:tcBorders>
                    <w:tl2br w:val="nil"/>
                    <w:tr2bl w:val="nil"/>
                  </w:tcBorders>
                  <w:vAlign w:val="center"/>
                </w:tcPr>
                <w:p w14:paraId="06C9B3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0.756</w:t>
                  </w:r>
                </w:p>
              </w:tc>
              <w:tc>
                <w:tcPr>
                  <w:tcW w:w="670" w:type="pct"/>
                  <w:tcBorders>
                    <w:tl2br w:val="nil"/>
                    <w:tr2bl w:val="nil"/>
                  </w:tcBorders>
                  <w:vAlign w:val="center"/>
                </w:tcPr>
                <w:p w14:paraId="163345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0.065</w:t>
                  </w:r>
                </w:p>
              </w:tc>
              <w:tc>
                <w:tcPr>
                  <w:tcW w:w="670" w:type="pct"/>
                  <w:tcBorders>
                    <w:tl2br w:val="nil"/>
                    <w:tr2bl w:val="nil"/>
                  </w:tcBorders>
                  <w:vAlign w:val="center"/>
                </w:tcPr>
                <w:p w14:paraId="789E44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0.397</w:t>
                  </w:r>
                </w:p>
              </w:tc>
            </w:tr>
            <w:tr w14:paraId="57D8B5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02" w:type="pct"/>
                  <w:gridSpan w:val="3"/>
                  <w:tcBorders>
                    <w:tl2br w:val="nil"/>
                    <w:tr2bl w:val="nil"/>
                  </w:tcBorders>
                  <w:vAlign w:val="center"/>
                </w:tcPr>
                <w:p w14:paraId="22EC47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处理措施</w:t>
                  </w:r>
                </w:p>
              </w:tc>
              <w:tc>
                <w:tcPr>
                  <w:tcW w:w="3097" w:type="pct"/>
                  <w:gridSpan w:val="4"/>
                  <w:tcBorders>
                    <w:tl2br w:val="nil"/>
                    <w:tr2bl w:val="nil"/>
                  </w:tcBorders>
                  <w:vAlign w:val="center"/>
                </w:tcPr>
                <w:p w14:paraId="00223C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eastAsia"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排入市政管网</w:t>
                  </w:r>
                </w:p>
              </w:tc>
            </w:tr>
            <w:tr w14:paraId="403144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02" w:type="pct"/>
                  <w:gridSpan w:val="3"/>
                  <w:tcBorders>
                    <w:tl2br w:val="nil"/>
                    <w:tr2bl w:val="nil"/>
                  </w:tcBorders>
                  <w:shd w:val="clear" w:color="auto" w:fill="auto"/>
                  <w:vAlign w:val="center"/>
                </w:tcPr>
                <w:p w14:paraId="6F886C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《污水综合排放标准》（GB8978-1996）</w:t>
                  </w:r>
                </w:p>
              </w:tc>
              <w:tc>
                <w:tcPr>
                  <w:tcW w:w="1097" w:type="pct"/>
                  <w:tcBorders>
                    <w:tl2br w:val="nil"/>
                    <w:tr2bl w:val="nil"/>
                  </w:tcBorders>
                  <w:vAlign w:val="center"/>
                </w:tcPr>
                <w:p w14:paraId="7998A2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标准值（mg/L）</w:t>
                  </w:r>
                </w:p>
              </w:tc>
              <w:tc>
                <w:tcPr>
                  <w:tcW w:w="659" w:type="pct"/>
                  <w:tcBorders>
                    <w:tl2br w:val="nil"/>
                    <w:tr2bl w:val="nil"/>
                  </w:tcBorders>
                  <w:vAlign w:val="center"/>
                </w:tcPr>
                <w:p w14:paraId="443F7FC7">
                  <w:pPr>
                    <w:jc w:val="center"/>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500</w:t>
                  </w:r>
                </w:p>
              </w:tc>
              <w:tc>
                <w:tcPr>
                  <w:tcW w:w="670" w:type="pct"/>
                  <w:tcBorders>
                    <w:tl2br w:val="nil"/>
                    <w:tr2bl w:val="nil"/>
                  </w:tcBorders>
                  <w:vAlign w:val="center"/>
                </w:tcPr>
                <w:p w14:paraId="55C26826">
                  <w:pPr>
                    <w:jc w:val="center"/>
                    <w:rPr>
                      <w:rFonts w:hint="default"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w:t>
                  </w:r>
                </w:p>
              </w:tc>
              <w:tc>
                <w:tcPr>
                  <w:tcW w:w="670" w:type="pct"/>
                  <w:tcBorders>
                    <w:tl2br w:val="nil"/>
                    <w:tr2bl w:val="nil"/>
                  </w:tcBorders>
                  <w:vAlign w:val="center"/>
                </w:tcPr>
                <w:p w14:paraId="40C38965">
                  <w:pPr>
                    <w:jc w:val="center"/>
                    <w:rPr>
                      <w:rFonts w:hint="default"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400</w:t>
                  </w:r>
                </w:p>
              </w:tc>
            </w:tr>
          </w:tbl>
          <w:p w14:paraId="5A189EB3">
            <w:pPr>
              <w:keepNext w:val="0"/>
              <w:keepLines w:val="0"/>
              <w:pageBreakBefore w:val="0"/>
              <w:suppressLineNumbers w:val="0"/>
              <w:wordWrap/>
              <w:bidi w:val="0"/>
              <w:spacing w:before="0" w:beforeAutospacing="0" w:after="0" w:afterAutospacing="0" w:line="240" w:lineRule="auto"/>
              <w:ind w:left="0" w:leftChars="0" w:right="0"/>
              <w:jc w:val="center"/>
              <w:rPr>
                <w:rFonts w:hint="default" w:ascii="Times New Roman" w:hAnsi="Times New Roman" w:eastAsia="宋体" w:cs="Times New Roman"/>
                <w:b/>
                <w:bCs/>
                <w:iCs/>
                <w:color w:val="auto"/>
                <w:kern w:val="0"/>
                <w:sz w:val="21"/>
                <w:szCs w:val="21"/>
                <w:highlight w:val="none"/>
                <w:lang w:val="en-US" w:eastAsia="zh-CN" w:bidi="ar-SA"/>
              </w:rPr>
            </w:pPr>
            <w:r>
              <w:rPr>
                <w:rFonts w:hint="default" w:ascii="Times New Roman" w:hAnsi="Times New Roman" w:eastAsia="宋体" w:cs="Times New Roman"/>
                <w:b/>
                <w:bCs/>
                <w:iCs/>
                <w:color w:val="auto"/>
                <w:kern w:val="0"/>
                <w:sz w:val="21"/>
                <w:szCs w:val="21"/>
                <w:highlight w:val="none"/>
                <w:lang w:val="en-US" w:eastAsia="zh-CN" w:bidi="ar-SA"/>
              </w:rPr>
              <w:t>表4</w:t>
            </w:r>
            <w:r>
              <w:rPr>
                <w:rFonts w:hint="eastAsia" w:ascii="Times New Roman" w:hAnsi="Times New Roman" w:eastAsia="宋体" w:cs="Times New Roman"/>
                <w:b/>
                <w:bCs/>
                <w:iCs/>
                <w:color w:val="auto"/>
                <w:kern w:val="0"/>
                <w:sz w:val="21"/>
                <w:szCs w:val="21"/>
                <w:highlight w:val="none"/>
                <w:lang w:val="en-US" w:eastAsia="zh-CN" w:bidi="ar-SA"/>
              </w:rPr>
              <w:t>-</w:t>
            </w:r>
            <w:r>
              <w:rPr>
                <w:rFonts w:hint="eastAsia" w:cs="Times New Roman"/>
                <w:b/>
                <w:bCs/>
                <w:iCs/>
                <w:color w:val="auto"/>
                <w:kern w:val="0"/>
                <w:sz w:val="21"/>
                <w:szCs w:val="21"/>
                <w:highlight w:val="none"/>
                <w:lang w:val="en-US" w:eastAsia="zh-CN" w:bidi="ar-SA"/>
              </w:rPr>
              <w:t>9</w:t>
            </w:r>
            <w:r>
              <w:rPr>
                <w:rFonts w:hint="eastAsia" w:ascii="Times New Roman" w:hAnsi="Times New Roman" w:eastAsia="宋体" w:cs="Times New Roman"/>
                <w:b/>
                <w:bCs/>
                <w:iCs/>
                <w:color w:val="auto"/>
                <w:kern w:val="0"/>
                <w:sz w:val="21"/>
                <w:szCs w:val="21"/>
                <w:highlight w:val="none"/>
                <w:lang w:val="en-US" w:eastAsia="zh-CN" w:bidi="ar-SA"/>
              </w:rPr>
              <w:t xml:space="preserve">  </w:t>
            </w:r>
            <w:r>
              <w:rPr>
                <w:rFonts w:hint="default" w:ascii="Times New Roman" w:hAnsi="Times New Roman" w:eastAsia="宋体" w:cs="Times New Roman"/>
                <w:b/>
                <w:bCs/>
                <w:iCs/>
                <w:color w:val="auto"/>
                <w:kern w:val="0"/>
                <w:sz w:val="21"/>
                <w:szCs w:val="21"/>
                <w:highlight w:val="none"/>
                <w:lang w:val="en-US" w:eastAsia="zh-CN" w:bidi="ar-SA"/>
              </w:rPr>
              <w:t>废水类别、污染物及污染治理设施信息表</w:t>
            </w:r>
          </w:p>
          <w:tbl>
            <w:tblPr>
              <w:tblStyle w:val="3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21"/>
              <w:gridCol w:w="512"/>
              <w:gridCol w:w="497"/>
              <w:gridCol w:w="221"/>
              <w:gridCol w:w="675"/>
              <w:gridCol w:w="807"/>
              <w:gridCol w:w="543"/>
              <w:gridCol w:w="648"/>
              <w:gridCol w:w="763"/>
              <w:gridCol w:w="543"/>
              <w:gridCol w:w="675"/>
              <w:gridCol w:w="497"/>
              <w:gridCol w:w="569"/>
              <w:gridCol w:w="1001"/>
            </w:tblGrid>
            <w:tr w14:paraId="63199A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66" w:hRule="atLeast"/>
              </w:trPr>
              <w:tc>
                <w:tcPr>
                  <w:tcW w:w="135" w:type="pct"/>
                  <w:vMerge w:val="restart"/>
                  <w:vAlign w:val="center"/>
                </w:tcPr>
                <w:p w14:paraId="5A62D5B8">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序号</w:t>
                  </w:r>
                </w:p>
              </w:tc>
              <w:tc>
                <w:tcPr>
                  <w:tcW w:w="313" w:type="pct"/>
                  <w:vMerge w:val="restart"/>
                  <w:vAlign w:val="center"/>
                </w:tcPr>
                <w:p w14:paraId="688D9F74">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废水类别</w:t>
                  </w:r>
                </w:p>
              </w:tc>
              <w:tc>
                <w:tcPr>
                  <w:tcW w:w="304" w:type="pct"/>
                  <w:vMerge w:val="restart"/>
                  <w:vAlign w:val="center"/>
                </w:tcPr>
                <w:p w14:paraId="7311286A">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污染物种类</w:t>
                  </w:r>
                </w:p>
              </w:tc>
              <w:tc>
                <w:tcPr>
                  <w:tcW w:w="135" w:type="pct"/>
                  <w:vMerge w:val="restart"/>
                  <w:vAlign w:val="center"/>
                </w:tcPr>
                <w:p w14:paraId="019E8782">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排放方式</w:t>
                  </w:r>
                </w:p>
              </w:tc>
              <w:tc>
                <w:tcPr>
                  <w:tcW w:w="413" w:type="pct"/>
                  <w:vMerge w:val="restart"/>
                  <w:vAlign w:val="center"/>
                </w:tcPr>
                <w:p w14:paraId="511C5D19">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排放去向</w:t>
                  </w:r>
                </w:p>
              </w:tc>
              <w:tc>
                <w:tcPr>
                  <w:tcW w:w="493" w:type="pct"/>
                  <w:vMerge w:val="restart"/>
                  <w:vAlign w:val="center"/>
                </w:tcPr>
                <w:p w14:paraId="43F69B98">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排放规律</w:t>
                  </w:r>
                </w:p>
              </w:tc>
              <w:tc>
                <w:tcPr>
                  <w:tcW w:w="1939" w:type="pct"/>
                  <w:gridSpan w:val="5"/>
                  <w:vAlign w:val="center"/>
                </w:tcPr>
                <w:p w14:paraId="213E8007">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污染治理设施</w:t>
                  </w:r>
                </w:p>
              </w:tc>
              <w:tc>
                <w:tcPr>
                  <w:tcW w:w="304" w:type="pct"/>
                  <w:vMerge w:val="restart"/>
                  <w:vAlign w:val="center"/>
                </w:tcPr>
                <w:p w14:paraId="6B41B49C">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排放口编号</w:t>
                  </w:r>
                </w:p>
              </w:tc>
              <w:tc>
                <w:tcPr>
                  <w:tcW w:w="348" w:type="pct"/>
                  <w:vMerge w:val="restart"/>
                  <w:vAlign w:val="center"/>
                </w:tcPr>
                <w:p w14:paraId="729DDEE9">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排放口设置是否符合要求</w:t>
                  </w:r>
                </w:p>
              </w:tc>
              <w:tc>
                <w:tcPr>
                  <w:tcW w:w="611" w:type="pct"/>
                  <w:vMerge w:val="restart"/>
                  <w:vAlign w:val="center"/>
                </w:tcPr>
                <w:p w14:paraId="65163D7E">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排放口类型</w:t>
                  </w:r>
                </w:p>
              </w:tc>
            </w:tr>
            <w:tr w14:paraId="335AFF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38" w:hRule="atLeast"/>
              </w:trPr>
              <w:tc>
                <w:tcPr>
                  <w:tcW w:w="135" w:type="pct"/>
                  <w:vMerge w:val="continue"/>
                  <w:vAlign w:val="center"/>
                </w:tcPr>
                <w:p w14:paraId="274FCAC6">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13" w:type="pct"/>
                  <w:vMerge w:val="continue"/>
                  <w:vAlign w:val="center"/>
                </w:tcPr>
                <w:p w14:paraId="66CB54C2">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04" w:type="pct"/>
                  <w:vMerge w:val="continue"/>
                  <w:vAlign w:val="center"/>
                </w:tcPr>
                <w:p w14:paraId="728D136A">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135" w:type="pct"/>
                  <w:vMerge w:val="continue"/>
                  <w:vAlign w:val="center"/>
                </w:tcPr>
                <w:p w14:paraId="291423A1">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413" w:type="pct"/>
                  <w:vMerge w:val="continue"/>
                  <w:vAlign w:val="center"/>
                </w:tcPr>
                <w:p w14:paraId="5041AABB">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493" w:type="pct"/>
                  <w:vMerge w:val="continue"/>
                  <w:vAlign w:val="center"/>
                </w:tcPr>
                <w:p w14:paraId="475BFE65">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32" w:type="pct"/>
                  <w:vAlign w:val="center"/>
                </w:tcPr>
                <w:p w14:paraId="6A84F46F">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污染治理设施编号</w:t>
                  </w:r>
                </w:p>
              </w:tc>
              <w:tc>
                <w:tcPr>
                  <w:tcW w:w="396" w:type="pct"/>
                  <w:vAlign w:val="center"/>
                </w:tcPr>
                <w:p w14:paraId="663AC2CE">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污染治理设施名称</w:t>
                  </w:r>
                </w:p>
              </w:tc>
              <w:tc>
                <w:tcPr>
                  <w:tcW w:w="466" w:type="pct"/>
                  <w:vAlign w:val="center"/>
                </w:tcPr>
                <w:p w14:paraId="52D68453">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污染治理设施工艺</w:t>
                  </w:r>
                </w:p>
              </w:tc>
              <w:tc>
                <w:tcPr>
                  <w:tcW w:w="332" w:type="pct"/>
                  <w:vAlign w:val="center"/>
                </w:tcPr>
                <w:p w14:paraId="23C8AF01">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处理能力</w:t>
                  </w:r>
                </w:p>
              </w:tc>
              <w:tc>
                <w:tcPr>
                  <w:tcW w:w="413" w:type="pct"/>
                  <w:vAlign w:val="center"/>
                </w:tcPr>
                <w:p w14:paraId="7A1DB004">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是否为可行技术</w:t>
                  </w:r>
                </w:p>
              </w:tc>
              <w:tc>
                <w:tcPr>
                  <w:tcW w:w="304" w:type="pct"/>
                  <w:vMerge w:val="continue"/>
                  <w:vAlign w:val="center"/>
                </w:tcPr>
                <w:p w14:paraId="1C3B632B">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48" w:type="pct"/>
                  <w:vMerge w:val="continue"/>
                  <w:vAlign w:val="center"/>
                </w:tcPr>
                <w:p w14:paraId="7029F003">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611" w:type="pct"/>
                  <w:vMerge w:val="continue"/>
                  <w:vAlign w:val="center"/>
                </w:tcPr>
                <w:p w14:paraId="2B95AC32">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r>
            <w:tr w14:paraId="338E7B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70" w:hRule="atLeast"/>
              </w:trPr>
              <w:tc>
                <w:tcPr>
                  <w:tcW w:w="135" w:type="pct"/>
                  <w:vAlign w:val="center"/>
                </w:tcPr>
                <w:p w14:paraId="308AB8A3">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313" w:type="pct"/>
                  <w:vAlign w:val="center"/>
                </w:tcPr>
                <w:p w14:paraId="09A5D057">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综合废水</w:t>
                  </w:r>
                </w:p>
              </w:tc>
              <w:tc>
                <w:tcPr>
                  <w:tcW w:w="304" w:type="pct"/>
                  <w:vAlign w:val="center"/>
                </w:tcPr>
                <w:p w14:paraId="2D6AD15B">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vertAlign w:val="baseline"/>
                      <w:lang w:val="en-US" w:eastAsia="zh-CN"/>
                    </w:rPr>
                  </w:pPr>
                  <w:r>
                    <w:rPr>
                      <w:rFonts w:hint="eastAsia" w:cs="Times New Roman"/>
                      <w:color w:val="auto"/>
                      <w:sz w:val="18"/>
                      <w:szCs w:val="18"/>
                      <w:highlight w:val="none"/>
                      <w:lang w:val="en-US" w:eastAsia="zh-CN"/>
                    </w:rPr>
                    <w:t>COD、</w:t>
                  </w:r>
                  <w:r>
                    <w:rPr>
                      <w:rFonts w:hint="eastAsia" w:cs="Times New Roman"/>
                      <w:color w:val="auto"/>
                      <w:sz w:val="18"/>
                      <w:szCs w:val="18"/>
                      <w:highlight w:val="none"/>
                      <w:vertAlign w:val="baseline"/>
                      <w:lang w:val="en-US" w:eastAsia="zh-CN"/>
                    </w:rPr>
                    <w:t>氨氮、SS</w:t>
                  </w:r>
                </w:p>
              </w:tc>
              <w:tc>
                <w:tcPr>
                  <w:tcW w:w="135" w:type="pct"/>
                  <w:vAlign w:val="center"/>
                </w:tcPr>
                <w:p w14:paraId="3D40513B">
                  <w:pPr>
                    <w:keepNext w:val="0"/>
                    <w:keepLines w:val="0"/>
                    <w:pageBreakBefore w:val="0"/>
                    <w:suppressLineNumbers w:val="0"/>
                    <w:wordWrap/>
                    <w:bidi w:val="0"/>
                    <w:spacing w:before="0" w:beforeAutospacing="0" w:after="0" w:afterAutospacing="0" w:line="360" w:lineRule="auto"/>
                    <w:ind w:left="0" w:leftChars="0" w:right="0"/>
                    <w:jc w:val="center"/>
                    <w:rPr>
                      <w:rFonts w:hint="eastAsia" w:cs="Times New Roman"/>
                      <w:color w:val="auto"/>
                      <w:sz w:val="18"/>
                      <w:szCs w:val="18"/>
                      <w:highlight w:val="none"/>
                      <w:lang w:eastAsia="zh-CN"/>
                    </w:rPr>
                  </w:pPr>
                  <w:r>
                    <w:rPr>
                      <w:rFonts w:hint="eastAsia" w:cs="Times New Roman"/>
                      <w:color w:val="auto"/>
                      <w:sz w:val="18"/>
                      <w:szCs w:val="18"/>
                      <w:highlight w:val="none"/>
                      <w:lang w:val="en-US" w:eastAsia="zh-CN"/>
                    </w:rPr>
                    <w:t>间接</w:t>
                  </w:r>
                  <w:r>
                    <w:rPr>
                      <w:rFonts w:hint="eastAsia" w:ascii="Times New Roman" w:hAnsi="Times New Roman" w:eastAsia="宋体" w:cs="Times New Roman"/>
                      <w:color w:val="auto"/>
                      <w:sz w:val="18"/>
                      <w:szCs w:val="18"/>
                      <w:highlight w:val="none"/>
                    </w:rPr>
                    <w:t>排放</w:t>
                  </w:r>
                </w:p>
              </w:tc>
              <w:tc>
                <w:tcPr>
                  <w:tcW w:w="413" w:type="pct"/>
                  <w:vAlign w:val="center"/>
                </w:tcPr>
                <w:p w14:paraId="6C71B01D">
                  <w:pPr>
                    <w:keepNext w:val="0"/>
                    <w:keepLines w:val="0"/>
                    <w:pageBreakBefore w:val="0"/>
                    <w:suppressLineNumbers w:val="0"/>
                    <w:wordWrap/>
                    <w:bidi w:val="0"/>
                    <w:spacing w:before="0" w:beforeAutospacing="0" w:after="0" w:afterAutospacing="0" w:line="360" w:lineRule="auto"/>
                    <w:ind w:left="0" w:leftChars="0" w:right="0"/>
                    <w:jc w:val="center"/>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val="en-US" w:eastAsia="zh-CN"/>
                    </w:rPr>
                    <w:t>双鸭山市污水处理厂</w:t>
                  </w:r>
                </w:p>
              </w:tc>
              <w:tc>
                <w:tcPr>
                  <w:tcW w:w="493" w:type="pct"/>
                  <w:vAlign w:val="center"/>
                </w:tcPr>
                <w:p w14:paraId="583CD444">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间断排放，排放期间流量不稳定，但有规律，且不属于非周期性规律</w:t>
                  </w:r>
                </w:p>
              </w:tc>
              <w:tc>
                <w:tcPr>
                  <w:tcW w:w="332" w:type="pct"/>
                  <w:vAlign w:val="center"/>
                </w:tcPr>
                <w:p w14:paraId="341BE7CA">
                  <w:pPr>
                    <w:keepNext w:val="0"/>
                    <w:keepLines w:val="0"/>
                    <w:pageBreakBefore w:val="0"/>
                    <w:suppressLineNumbers w:val="0"/>
                    <w:wordWrap/>
                    <w:bidi w:val="0"/>
                    <w:spacing w:before="0" w:beforeAutospacing="0" w:after="0" w:afterAutospacing="0" w:line="360" w:lineRule="auto"/>
                    <w:ind w:left="0" w:leftChars="0" w:right="0" w:rightChars="0"/>
                    <w:jc w:val="center"/>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val="en-US" w:eastAsia="zh-CN"/>
                    </w:rPr>
                    <w:t>/</w:t>
                  </w:r>
                </w:p>
              </w:tc>
              <w:tc>
                <w:tcPr>
                  <w:tcW w:w="396" w:type="pct"/>
                  <w:vAlign w:val="center"/>
                </w:tcPr>
                <w:p w14:paraId="6EF3552C">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466" w:type="pct"/>
                  <w:vAlign w:val="center"/>
                </w:tcPr>
                <w:p w14:paraId="435ADB0A">
                  <w:pPr>
                    <w:keepNext w:val="0"/>
                    <w:keepLines w:val="0"/>
                    <w:pageBreakBefore w:val="0"/>
                    <w:suppressLineNumbers w:val="0"/>
                    <w:wordWrap/>
                    <w:bidi w:val="0"/>
                    <w:spacing w:before="0" w:beforeAutospacing="0" w:after="0" w:afterAutospacing="0" w:line="360" w:lineRule="auto"/>
                    <w:ind w:left="0" w:leftChars="0" w:right="0" w:rightChars="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332" w:type="pct"/>
                  <w:vAlign w:val="center"/>
                </w:tcPr>
                <w:p w14:paraId="64F766E6">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413" w:type="pct"/>
                  <w:vAlign w:val="center"/>
                </w:tcPr>
                <w:p w14:paraId="5AEBD29D">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w:t>
                  </w:r>
                </w:p>
              </w:tc>
              <w:tc>
                <w:tcPr>
                  <w:tcW w:w="304" w:type="pct"/>
                  <w:vAlign w:val="center"/>
                </w:tcPr>
                <w:p w14:paraId="3FA35F81">
                  <w:pPr>
                    <w:keepNext w:val="0"/>
                    <w:keepLines w:val="0"/>
                    <w:pageBreakBefore w:val="0"/>
                    <w:suppressLineNumbers w:val="0"/>
                    <w:wordWrap/>
                    <w:bidi w:val="0"/>
                    <w:spacing w:before="0" w:beforeAutospacing="0" w:after="0" w:afterAutospacing="0" w:line="360" w:lineRule="auto"/>
                    <w:ind w:left="0" w:leftChars="0" w:right="0" w:rightChars="0"/>
                    <w:jc w:val="center"/>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val="en-US" w:eastAsia="zh-CN"/>
                    </w:rPr>
                    <w:t>/</w:t>
                  </w:r>
                </w:p>
              </w:tc>
              <w:tc>
                <w:tcPr>
                  <w:tcW w:w="348" w:type="pct"/>
                  <w:vAlign w:val="center"/>
                </w:tcPr>
                <w:p w14:paraId="45B8D8B9">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eastAsia="zh-CN"/>
                    </w:rPr>
                    <w:sym w:font="Wingdings 2" w:char="0052"/>
                  </w:r>
                  <w:r>
                    <w:rPr>
                      <w:rFonts w:hint="default" w:ascii="Times New Roman" w:hAnsi="Times New Roman" w:eastAsia="宋体" w:cs="Times New Roman"/>
                      <w:color w:val="auto"/>
                      <w:sz w:val="18"/>
                      <w:szCs w:val="18"/>
                      <w:highlight w:val="none"/>
                    </w:rPr>
                    <w:t>是</w:t>
                  </w:r>
                </w:p>
                <w:p w14:paraId="5398D4FD">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sym w:font="Wingdings 2" w:char="00A3"/>
                  </w:r>
                  <w:r>
                    <w:rPr>
                      <w:rFonts w:hint="default" w:ascii="Times New Roman" w:hAnsi="Times New Roman" w:eastAsia="宋体" w:cs="Times New Roman"/>
                      <w:color w:val="auto"/>
                      <w:sz w:val="18"/>
                      <w:szCs w:val="18"/>
                      <w:highlight w:val="none"/>
                    </w:rPr>
                    <w:t>否</w:t>
                  </w:r>
                </w:p>
              </w:tc>
              <w:tc>
                <w:tcPr>
                  <w:tcW w:w="611" w:type="pct"/>
                  <w:vAlign w:val="center"/>
                </w:tcPr>
                <w:p w14:paraId="5C12BEBC">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18"/>
                      <w:szCs w:val="18"/>
                      <w:highlight w:val="none"/>
                      <w:lang w:val="en-US"/>
                    </w:rPr>
                  </w:pPr>
                  <w:r>
                    <w:rPr>
                      <w:rFonts w:hint="eastAsia" w:cs="Times New Roman"/>
                      <w:color w:val="auto"/>
                      <w:sz w:val="18"/>
                      <w:szCs w:val="18"/>
                      <w:highlight w:val="none"/>
                      <w:lang w:val="en-US" w:eastAsia="zh-CN"/>
                    </w:rPr>
                    <w:t>一般排放口</w:t>
                  </w:r>
                </w:p>
              </w:tc>
            </w:tr>
          </w:tbl>
          <w:p w14:paraId="7333DEB2">
            <w:pPr>
              <w:keepNext w:val="0"/>
              <w:keepLines w:val="0"/>
              <w:pageBreakBefore w:val="0"/>
              <w:suppressLineNumbers w:val="0"/>
              <w:wordWrap/>
              <w:bidi w:val="0"/>
              <w:spacing w:before="0" w:beforeAutospacing="0" w:after="0" w:afterAutospacing="0" w:line="240" w:lineRule="auto"/>
              <w:ind w:left="0" w:leftChars="0" w:right="0"/>
              <w:jc w:val="center"/>
              <w:rPr>
                <w:rFonts w:hint="default" w:ascii="Times New Roman" w:hAnsi="Times New Roman" w:eastAsia="宋体" w:cs="Times New Roman"/>
                <w:b/>
                <w:bCs/>
                <w:iCs/>
                <w:color w:val="auto"/>
                <w:kern w:val="0"/>
                <w:sz w:val="21"/>
                <w:szCs w:val="21"/>
                <w:highlight w:val="none"/>
                <w:lang w:val="en-US" w:eastAsia="zh-CN" w:bidi="ar-SA"/>
              </w:rPr>
            </w:pPr>
            <w:r>
              <w:rPr>
                <w:rFonts w:hint="default" w:ascii="Times New Roman" w:hAnsi="Times New Roman" w:eastAsia="宋体" w:cs="Times New Roman"/>
                <w:b/>
                <w:bCs/>
                <w:iCs/>
                <w:color w:val="auto"/>
                <w:kern w:val="0"/>
                <w:sz w:val="21"/>
                <w:szCs w:val="21"/>
                <w:highlight w:val="none"/>
                <w:lang w:val="en-US" w:eastAsia="zh-CN" w:bidi="ar-SA"/>
              </w:rPr>
              <w:t>表4-</w:t>
            </w:r>
            <w:r>
              <w:rPr>
                <w:rFonts w:hint="eastAsia" w:ascii="Times New Roman" w:hAnsi="Times New Roman" w:eastAsia="宋体" w:cs="Times New Roman"/>
                <w:b/>
                <w:bCs/>
                <w:iCs/>
                <w:color w:val="auto"/>
                <w:kern w:val="0"/>
                <w:sz w:val="21"/>
                <w:szCs w:val="21"/>
                <w:highlight w:val="none"/>
                <w:lang w:val="en-US" w:eastAsia="zh-CN" w:bidi="ar-SA"/>
              </w:rPr>
              <w:t>1</w:t>
            </w:r>
            <w:r>
              <w:rPr>
                <w:rFonts w:hint="eastAsia" w:cs="Times New Roman"/>
                <w:b/>
                <w:bCs/>
                <w:iCs/>
                <w:color w:val="auto"/>
                <w:kern w:val="0"/>
                <w:sz w:val="21"/>
                <w:szCs w:val="21"/>
                <w:highlight w:val="none"/>
                <w:lang w:val="en-US" w:eastAsia="zh-CN" w:bidi="ar-SA"/>
              </w:rPr>
              <w:t xml:space="preserve">0 </w:t>
            </w:r>
            <w:r>
              <w:rPr>
                <w:rFonts w:hint="eastAsia" w:ascii="Times New Roman" w:hAnsi="Times New Roman" w:eastAsia="宋体" w:cs="Times New Roman"/>
                <w:b/>
                <w:bCs/>
                <w:iCs/>
                <w:color w:val="auto"/>
                <w:kern w:val="0"/>
                <w:sz w:val="21"/>
                <w:szCs w:val="21"/>
                <w:highlight w:val="none"/>
                <w:lang w:val="en-US" w:eastAsia="zh-CN" w:bidi="ar-SA"/>
              </w:rPr>
              <w:t xml:space="preserve"> </w:t>
            </w:r>
            <w:r>
              <w:rPr>
                <w:rFonts w:hint="default" w:ascii="Times New Roman" w:hAnsi="Times New Roman" w:eastAsia="宋体" w:cs="Times New Roman"/>
                <w:b/>
                <w:bCs/>
                <w:iCs/>
                <w:color w:val="auto"/>
                <w:kern w:val="0"/>
                <w:sz w:val="21"/>
                <w:szCs w:val="21"/>
                <w:highlight w:val="none"/>
                <w:lang w:val="en-US" w:eastAsia="zh-CN" w:bidi="ar-SA"/>
              </w:rPr>
              <w:t>废水污染物排放信息表</w:t>
            </w:r>
          </w:p>
          <w:tbl>
            <w:tblPr>
              <w:tblStyle w:val="3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5"/>
              <w:gridCol w:w="1297"/>
              <w:gridCol w:w="1309"/>
              <w:gridCol w:w="3065"/>
              <w:gridCol w:w="1843"/>
            </w:tblGrid>
            <w:tr w14:paraId="529BE5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0" w:type="pct"/>
                  <w:vAlign w:val="center"/>
                </w:tcPr>
                <w:p w14:paraId="38D06655">
                  <w:pPr>
                    <w:pStyle w:val="114"/>
                    <w:spacing w:before="0" w:after="0"/>
                    <w:rPr>
                      <w:rFonts w:ascii="Times New Roman" w:hAnsi="Times New Roman" w:eastAsia="宋体"/>
                      <w:b w:val="0"/>
                      <w:bCs w:val="0"/>
                      <w:color w:val="auto"/>
                      <w:sz w:val="21"/>
                      <w:szCs w:val="21"/>
                    </w:rPr>
                  </w:pPr>
                  <w:r>
                    <w:rPr>
                      <w:rFonts w:ascii="Times New Roman" w:hAnsi="Times New Roman" w:eastAsia="宋体"/>
                      <w:b w:val="0"/>
                      <w:bCs w:val="0"/>
                      <w:color w:val="auto"/>
                      <w:sz w:val="21"/>
                      <w:szCs w:val="21"/>
                    </w:rPr>
                    <w:t>序号</w:t>
                  </w:r>
                </w:p>
              </w:tc>
              <w:tc>
                <w:tcPr>
                  <w:tcW w:w="793" w:type="pct"/>
                  <w:vAlign w:val="center"/>
                </w:tcPr>
                <w:p w14:paraId="401B7CE6">
                  <w:pPr>
                    <w:pStyle w:val="114"/>
                    <w:spacing w:before="0" w:after="0"/>
                    <w:rPr>
                      <w:rFonts w:ascii="Times New Roman" w:hAnsi="Times New Roman" w:eastAsia="宋体"/>
                      <w:b w:val="0"/>
                      <w:bCs w:val="0"/>
                      <w:color w:val="auto"/>
                      <w:sz w:val="21"/>
                      <w:szCs w:val="21"/>
                    </w:rPr>
                  </w:pPr>
                  <w:r>
                    <w:rPr>
                      <w:rFonts w:ascii="Times New Roman" w:hAnsi="Times New Roman" w:eastAsia="宋体"/>
                      <w:b w:val="0"/>
                      <w:bCs w:val="0"/>
                      <w:color w:val="auto"/>
                      <w:sz w:val="21"/>
                      <w:szCs w:val="21"/>
                    </w:rPr>
                    <w:t>排放口编号</w:t>
                  </w:r>
                </w:p>
              </w:tc>
              <w:tc>
                <w:tcPr>
                  <w:tcW w:w="801" w:type="pct"/>
                  <w:vAlign w:val="center"/>
                </w:tcPr>
                <w:p w14:paraId="51BBC89C">
                  <w:pPr>
                    <w:pStyle w:val="114"/>
                    <w:spacing w:before="0" w:after="0"/>
                    <w:rPr>
                      <w:rFonts w:ascii="Times New Roman" w:hAnsi="Times New Roman" w:eastAsia="宋体"/>
                      <w:b w:val="0"/>
                      <w:bCs w:val="0"/>
                      <w:color w:val="auto"/>
                      <w:sz w:val="21"/>
                      <w:szCs w:val="21"/>
                    </w:rPr>
                  </w:pPr>
                  <w:r>
                    <w:rPr>
                      <w:rFonts w:ascii="Times New Roman" w:hAnsi="Times New Roman" w:eastAsia="宋体"/>
                      <w:b w:val="0"/>
                      <w:bCs w:val="0"/>
                      <w:color w:val="auto"/>
                      <w:sz w:val="21"/>
                      <w:szCs w:val="21"/>
                    </w:rPr>
                    <w:t>污染物种类</w:t>
                  </w:r>
                </w:p>
              </w:tc>
              <w:tc>
                <w:tcPr>
                  <w:tcW w:w="1875" w:type="pct"/>
                  <w:vAlign w:val="center"/>
                </w:tcPr>
                <w:p w14:paraId="6D436EB9">
                  <w:pPr>
                    <w:pStyle w:val="114"/>
                    <w:spacing w:before="0" w:after="0"/>
                    <w:rPr>
                      <w:rFonts w:ascii="Times New Roman" w:hAnsi="Times New Roman" w:eastAsia="宋体"/>
                      <w:b w:val="0"/>
                      <w:bCs w:val="0"/>
                      <w:color w:val="auto"/>
                      <w:sz w:val="21"/>
                      <w:szCs w:val="21"/>
                    </w:rPr>
                  </w:pPr>
                  <w:r>
                    <w:rPr>
                      <w:rFonts w:ascii="Times New Roman" w:hAnsi="Times New Roman" w:eastAsia="宋体"/>
                      <w:b w:val="0"/>
                      <w:bCs w:val="0"/>
                      <w:color w:val="auto"/>
                      <w:sz w:val="21"/>
                      <w:szCs w:val="21"/>
                    </w:rPr>
                    <w:t>排放浓度/（mg/L）</w:t>
                  </w:r>
                </w:p>
              </w:tc>
              <w:tc>
                <w:tcPr>
                  <w:tcW w:w="1128" w:type="pct"/>
                  <w:vAlign w:val="center"/>
                </w:tcPr>
                <w:p w14:paraId="6ABCC038">
                  <w:pPr>
                    <w:contextualSpacing/>
                    <w:jc w:val="center"/>
                    <w:rPr>
                      <w:color w:val="auto"/>
                      <w:szCs w:val="21"/>
                    </w:rPr>
                  </w:pPr>
                  <w:r>
                    <w:rPr>
                      <w:color w:val="auto"/>
                      <w:szCs w:val="21"/>
                    </w:rPr>
                    <w:t>年排放量/（t/a）</w:t>
                  </w:r>
                </w:p>
              </w:tc>
            </w:tr>
            <w:tr w14:paraId="34E17D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400" w:type="pct"/>
                  <w:vAlign w:val="center"/>
                </w:tcPr>
                <w:p w14:paraId="07DBEC6D">
                  <w:pPr>
                    <w:pStyle w:val="114"/>
                    <w:spacing w:before="0" w:after="0"/>
                    <w:rPr>
                      <w:rFonts w:ascii="Times New Roman" w:hAnsi="Times New Roman" w:eastAsia="宋体"/>
                      <w:b w:val="0"/>
                      <w:bCs w:val="0"/>
                      <w:color w:val="auto"/>
                      <w:sz w:val="21"/>
                      <w:szCs w:val="21"/>
                    </w:rPr>
                  </w:pPr>
                  <w:r>
                    <w:rPr>
                      <w:rFonts w:ascii="Times New Roman" w:hAnsi="Times New Roman" w:eastAsia="宋体"/>
                      <w:b w:val="0"/>
                      <w:bCs w:val="0"/>
                      <w:color w:val="auto"/>
                      <w:sz w:val="21"/>
                      <w:szCs w:val="21"/>
                    </w:rPr>
                    <w:t>1</w:t>
                  </w:r>
                </w:p>
              </w:tc>
              <w:tc>
                <w:tcPr>
                  <w:tcW w:w="793" w:type="pct"/>
                  <w:vMerge w:val="restart"/>
                  <w:vAlign w:val="center"/>
                </w:tcPr>
                <w:p w14:paraId="15E734BB">
                  <w:pPr>
                    <w:pStyle w:val="114"/>
                    <w:spacing w:before="0" w:after="0"/>
                    <w:rPr>
                      <w:rFonts w:ascii="Times New Roman" w:hAnsi="Times New Roman" w:eastAsia="宋体"/>
                      <w:b w:val="0"/>
                      <w:bCs w:val="0"/>
                      <w:color w:val="auto"/>
                      <w:sz w:val="21"/>
                      <w:szCs w:val="21"/>
                    </w:rPr>
                  </w:pPr>
                  <w:r>
                    <w:rPr>
                      <w:rFonts w:ascii="Times New Roman" w:hAnsi="Times New Roman" w:eastAsia="宋体"/>
                      <w:b w:val="0"/>
                      <w:bCs w:val="0"/>
                      <w:color w:val="auto"/>
                      <w:sz w:val="21"/>
                      <w:szCs w:val="21"/>
                    </w:rPr>
                    <w:t>DW001</w:t>
                  </w:r>
                </w:p>
              </w:tc>
              <w:tc>
                <w:tcPr>
                  <w:tcW w:w="801" w:type="pct"/>
                  <w:vAlign w:val="center"/>
                </w:tcPr>
                <w:p w14:paraId="51935C0F">
                  <w:pPr>
                    <w:pStyle w:val="135"/>
                    <w:spacing w:line="240" w:lineRule="auto"/>
                    <w:rPr>
                      <w:rFonts w:cs="Times New Roman"/>
                      <w:color w:val="auto"/>
                      <w:szCs w:val="21"/>
                    </w:rPr>
                  </w:pPr>
                  <w:r>
                    <w:rPr>
                      <w:rFonts w:cs="Times New Roman"/>
                      <w:color w:val="auto"/>
                      <w:spacing w:val="-10"/>
                      <w:szCs w:val="21"/>
                    </w:rPr>
                    <w:t>COD</w:t>
                  </w:r>
                </w:p>
              </w:tc>
              <w:tc>
                <w:tcPr>
                  <w:tcW w:w="1875" w:type="pct"/>
                  <w:vAlign w:val="center"/>
                </w:tcPr>
                <w:p w14:paraId="31052682">
                  <w:pPr>
                    <w:pStyle w:val="109"/>
                    <w:adjustRightInd w:val="0"/>
                    <w:snapToGrid w:val="0"/>
                    <w:rPr>
                      <w:color w:val="auto"/>
                      <w:sz w:val="21"/>
                      <w:szCs w:val="21"/>
                    </w:rPr>
                  </w:pPr>
                  <w:r>
                    <w:rPr>
                      <w:rFonts w:hint="eastAsia"/>
                      <w:color w:val="auto"/>
                      <w:sz w:val="21"/>
                      <w:szCs w:val="21"/>
                    </w:rPr>
                    <w:t>235</w:t>
                  </w:r>
                </w:p>
              </w:tc>
              <w:tc>
                <w:tcPr>
                  <w:tcW w:w="1128" w:type="pct"/>
                  <w:vAlign w:val="center"/>
                </w:tcPr>
                <w:p w14:paraId="675A7C02">
                  <w:pPr>
                    <w:pStyle w:val="109"/>
                    <w:adjustRightInd w:val="0"/>
                    <w:snapToGrid w:val="0"/>
                    <w:rPr>
                      <w:rFonts w:hint="eastAsia"/>
                      <w:color w:val="auto"/>
                      <w:sz w:val="21"/>
                      <w:szCs w:val="21"/>
                      <w:lang w:val="en-US" w:eastAsia="zh-CN"/>
                    </w:rPr>
                  </w:pPr>
                  <w:r>
                    <w:rPr>
                      <w:rFonts w:hint="eastAsia" w:ascii="Times New Roman" w:hAnsi="Times New Roman" w:eastAsia="宋体" w:cs="Times New Roman"/>
                      <w:color w:val="auto"/>
                      <w:kern w:val="0"/>
                      <w:sz w:val="21"/>
                      <w:szCs w:val="21"/>
                      <w:vertAlign w:val="baseline"/>
                      <w:lang w:val="en-US" w:eastAsia="zh-CN"/>
                    </w:rPr>
                    <w:t>0.756</w:t>
                  </w:r>
                </w:p>
              </w:tc>
            </w:tr>
            <w:tr w14:paraId="29270A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400" w:type="pct"/>
                  <w:vAlign w:val="center"/>
                </w:tcPr>
                <w:p w14:paraId="2CD4DA2C">
                  <w:pPr>
                    <w:pStyle w:val="114"/>
                    <w:spacing w:before="0" w:after="0"/>
                    <w:rPr>
                      <w:rFonts w:hint="eastAsia" w:ascii="Times New Roman" w:hAnsi="Times New Roman" w:eastAsia="宋体"/>
                      <w:b w:val="0"/>
                      <w:bCs w:val="0"/>
                      <w:color w:val="auto"/>
                      <w:sz w:val="21"/>
                      <w:szCs w:val="21"/>
                      <w:lang w:eastAsia="zh-CN"/>
                    </w:rPr>
                  </w:pPr>
                  <w:r>
                    <w:rPr>
                      <w:rFonts w:hint="eastAsia" w:eastAsia="宋体"/>
                      <w:b w:val="0"/>
                      <w:bCs w:val="0"/>
                      <w:color w:val="auto"/>
                      <w:sz w:val="21"/>
                      <w:szCs w:val="21"/>
                      <w:lang w:val="en-US" w:eastAsia="zh-CN"/>
                    </w:rPr>
                    <w:t>2</w:t>
                  </w:r>
                </w:p>
              </w:tc>
              <w:tc>
                <w:tcPr>
                  <w:tcW w:w="793" w:type="pct"/>
                  <w:vMerge w:val="continue"/>
                  <w:vAlign w:val="center"/>
                </w:tcPr>
                <w:p w14:paraId="1A847C92">
                  <w:pPr>
                    <w:pStyle w:val="114"/>
                    <w:spacing w:before="0" w:after="0"/>
                    <w:rPr>
                      <w:rFonts w:ascii="Times New Roman" w:hAnsi="Times New Roman" w:eastAsia="宋体"/>
                      <w:b w:val="0"/>
                      <w:bCs w:val="0"/>
                      <w:color w:val="auto"/>
                      <w:sz w:val="21"/>
                      <w:szCs w:val="21"/>
                    </w:rPr>
                  </w:pPr>
                </w:p>
              </w:tc>
              <w:tc>
                <w:tcPr>
                  <w:tcW w:w="801" w:type="pct"/>
                  <w:vAlign w:val="center"/>
                </w:tcPr>
                <w:p w14:paraId="19DF64BF">
                  <w:pPr>
                    <w:pStyle w:val="135"/>
                    <w:spacing w:line="240" w:lineRule="auto"/>
                    <w:rPr>
                      <w:rFonts w:cs="Times New Roman"/>
                      <w:color w:val="auto"/>
                      <w:szCs w:val="21"/>
                    </w:rPr>
                  </w:pPr>
                  <w:r>
                    <w:rPr>
                      <w:rFonts w:cs="Times New Roman"/>
                      <w:color w:val="auto"/>
                      <w:spacing w:val="-10"/>
                      <w:szCs w:val="21"/>
                    </w:rPr>
                    <w:t>氨氮</w:t>
                  </w:r>
                </w:p>
              </w:tc>
              <w:tc>
                <w:tcPr>
                  <w:tcW w:w="1875" w:type="pct"/>
                  <w:vAlign w:val="center"/>
                </w:tcPr>
                <w:p w14:paraId="21CA89A6">
                  <w:pPr>
                    <w:pStyle w:val="109"/>
                    <w:adjustRightInd w:val="0"/>
                    <w:snapToGrid w:val="0"/>
                    <w:rPr>
                      <w:color w:val="auto"/>
                      <w:sz w:val="21"/>
                      <w:szCs w:val="21"/>
                    </w:rPr>
                  </w:pPr>
                  <w:r>
                    <w:rPr>
                      <w:rFonts w:hint="eastAsia"/>
                      <w:color w:val="auto"/>
                      <w:sz w:val="21"/>
                      <w:szCs w:val="21"/>
                    </w:rPr>
                    <w:t>20.6</w:t>
                  </w:r>
                </w:p>
              </w:tc>
              <w:tc>
                <w:tcPr>
                  <w:tcW w:w="1128" w:type="pct"/>
                  <w:vAlign w:val="center"/>
                </w:tcPr>
                <w:p w14:paraId="0D51C2AC">
                  <w:pPr>
                    <w:pStyle w:val="109"/>
                    <w:adjustRightInd w:val="0"/>
                    <w:snapToGrid w:val="0"/>
                    <w:rPr>
                      <w:rFonts w:hint="eastAsia"/>
                      <w:color w:val="auto"/>
                      <w:sz w:val="21"/>
                      <w:szCs w:val="21"/>
                      <w:lang w:val="en-US" w:eastAsia="zh-CN"/>
                    </w:rPr>
                  </w:pPr>
                  <w:r>
                    <w:rPr>
                      <w:rFonts w:hint="eastAsia" w:cs="Times New Roman"/>
                      <w:color w:val="auto"/>
                      <w:kern w:val="0"/>
                      <w:sz w:val="21"/>
                      <w:szCs w:val="21"/>
                      <w:vertAlign w:val="baseline"/>
                      <w:lang w:val="en-US" w:eastAsia="zh-CN"/>
                    </w:rPr>
                    <w:t>0.065</w:t>
                  </w:r>
                </w:p>
              </w:tc>
            </w:tr>
            <w:tr w14:paraId="7AEB17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400" w:type="pct"/>
                  <w:vAlign w:val="center"/>
                </w:tcPr>
                <w:p w14:paraId="054D2764">
                  <w:pPr>
                    <w:pStyle w:val="114"/>
                    <w:spacing w:before="0" w:after="0"/>
                    <w:rPr>
                      <w:rFonts w:hint="eastAsia" w:ascii="Times New Roman" w:hAnsi="Times New Roman" w:eastAsia="宋体"/>
                      <w:b w:val="0"/>
                      <w:bCs w:val="0"/>
                      <w:color w:val="auto"/>
                      <w:sz w:val="21"/>
                      <w:szCs w:val="21"/>
                      <w:lang w:val="en-US" w:eastAsia="zh-CN"/>
                    </w:rPr>
                  </w:pPr>
                  <w:r>
                    <w:rPr>
                      <w:rFonts w:hint="eastAsia" w:eastAsia="宋体"/>
                      <w:b w:val="0"/>
                      <w:bCs w:val="0"/>
                      <w:color w:val="auto"/>
                      <w:sz w:val="21"/>
                      <w:szCs w:val="21"/>
                      <w:lang w:val="en-US" w:eastAsia="zh-CN"/>
                    </w:rPr>
                    <w:t>3</w:t>
                  </w:r>
                </w:p>
              </w:tc>
              <w:tc>
                <w:tcPr>
                  <w:tcW w:w="793" w:type="pct"/>
                  <w:vMerge w:val="continue"/>
                  <w:vAlign w:val="center"/>
                </w:tcPr>
                <w:p w14:paraId="71FC36DA">
                  <w:pPr>
                    <w:pStyle w:val="114"/>
                    <w:spacing w:before="0" w:after="0"/>
                    <w:rPr>
                      <w:rFonts w:ascii="Times New Roman" w:hAnsi="Times New Roman" w:eastAsia="宋体"/>
                      <w:b w:val="0"/>
                      <w:bCs w:val="0"/>
                      <w:color w:val="auto"/>
                      <w:sz w:val="21"/>
                      <w:szCs w:val="21"/>
                    </w:rPr>
                  </w:pPr>
                </w:p>
              </w:tc>
              <w:tc>
                <w:tcPr>
                  <w:tcW w:w="801" w:type="pct"/>
                  <w:vAlign w:val="center"/>
                </w:tcPr>
                <w:p w14:paraId="1F3A71F3">
                  <w:pPr>
                    <w:pStyle w:val="135"/>
                    <w:spacing w:line="240" w:lineRule="auto"/>
                    <w:rPr>
                      <w:rFonts w:hint="default" w:eastAsia="宋体" w:cs="Times New Roman"/>
                      <w:color w:val="auto"/>
                      <w:spacing w:val="-10"/>
                      <w:szCs w:val="21"/>
                      <w:lang w:val="en-US" w:eastAsia="zh-CN"/>
                    </w:rPr>
                  </w:pPr>
                  <w:r>
                    <w:rPr>
                      <w:rFonts w:hint="eastAsia" w:cs="Times New Roman"/>
                      <w:color w:val="auto"/>
                      <w:spacing w:val="-10"/>
                      <w:szCs w:val="21"/>
                      <w:lang w:val="en-US" w:eastAsia="zh-CN"/>
                    </w:rPr>
                    <w:t>SS</w:t>
                  </w:r>
                </w:p>
              </w:tc>
              <w:tc>
                <w:tcPr>
                  <w:tcW w:w="1875" w:type="pct"/>
                  <w:vAlign w:val="center"/>
                </w:tcPr>
                <w:p w14:paraId="7A0AB33D">
                  <w:pPr>
                    <w:pStyle w:val="109"/>
                    <w:adjustRightInd w:val="0"/>
                    <w:snapToGrid w:val="0"/>
                    <w:rPr>
                      <w:rFonts w:hint="default" w:eastAsia="宋体"/>
                      <w:color w:val="auto"/>
                      <w:sz w:val="21"/>
                      <w:szCs w:val="21"/>
                      <w:lang w:val="en-US" w:eastAsia="zh-CN"/>
                    </w:rPr>
                  </w:pPr>
                  <w:r>
                    <w:rPr>
                      <w:rFonts w:hint="eastAsia"/>
                      <w:color w:val="auto"/>
                      <w:sz w:val="21"/>
                      <w:szCs w:val="21"/>
                      <w:lang w:val="en-US" w:eastAsia="zh-CN"/>
                    </w:rPr>
                    <w:t>125</w:t>
                  </w:r>
                </w:p>
              </w:tc>
              <w:tc>
                <w:tcPr>
                  <w:tcW w:w="1128" w:type="pct"/>
                  <w:vAlign w:val="center"/>
                </w:tcPr>
                <w:p w14:paraId="4E664119">
                  <w:pPr>
                    <w:pStyle w:val="109"/>
                    <w:adjustRightInd w:val="0"/>
                    <w:snapToGrid w:val="0"/>
                    <w:rPr>
                      <w:rFonts w:hint="eastAsia"/>
                      <w:color w:val="auto"/>
                      <w:sz w:val="21"/>
                      <w:szCs w:val="21"/>
                      <w:lang w:val="en-US" w:eastAsia="zh-CN"/>
                    </w:rPr>
                  </w:pPr>
                  <w:r>
                    <w:rPr>
                      <w:rFonts w:hint="eastAsia" w:cs="Times New Roman"/>
                      <w:color w:val="auto"/>
                      <w:kern w:val="0"/>
                      <w:sz w:val="21"/>
                      <w:szCs w:val="21"/>
                      <w:vertAlign w:val="baseline"/>
                      <w:lang w:val="en-US" w:eastAsia="zh-CN"/>
                    </w:rPr>
                    <w:t>0.397</w:t>
                  </w:r>
                </w:p>
              </w:tc>
            </w:tr>
            <w:tr w14:paraId="7F6C28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1194" w:type="pct"/>
                  <w:gridSpan w:val="2"/>
                  <w:vMerge w:val="restart"/>
                  <w:vAlign w:val="center"/>
                </w:tcPr>
                <w:p w14:paraId="54523ADC">
                  <w:pPr>
                    <w:pStyle w:val="62"/>
                    <w:rPr>
                      <w:rFonts w:ascii="Times New Roman" w:cs="Times New Roman"/>
                      <w:color w:val="auto"/>
                      <w:sz w:val="21"/>
                      <w:szCs w:val="21"/>
                    </w:rPr>
                  </w:pPr>
                  <w:r>
                    <w:rPr>
                      <w:rFonts w:ascii="Times New Roman" w:cs="Times New Roman"/>
                      <w:color w:val="auto"/>
                      <w:sz w:val="21"/>
                      <w:szCs w:val="21"/>
                    </w:rPr>
                    <w:t>全厂排放口合计</w:t>
                  </w:r>
                </w:p>
              </w:tc>
              <w:tc>
                <w:tcPr>
                  <w:tcW w:w="2677" w:type="pct"/>
                  <w:gridSpan w:val="2"/>
                  <w:vAlign w:val="center"/>
                </w:tcPr>
                <w:p w14:paraId="5E6CC317">
                  <w:pPr>
                    <w:pStyle w:val="114"/>
                    <w:spacing w:before="0" w:after="0"/>
                    <w:rPr>
                      <w:rFonts w:ascii="Times New Roman" w:hAnsi="Times New Roman" w:eastAsia="宋体"/>
                      <w:b w:val="0"/>
                      <w:bCs w:val="0"/>
                      <w:color w:val="auto"/>
                      <w:sz w:val="21"/>
                      <w:szCs w:val="21"/>
                    </w:rPr>
                  </w:pPr>
                  <w:r>
                    <w:rPr>
                      <w:rFonts w:ascii="Times New Roman" w:hAnsi="Times New Roman" w:eastAsia="宋体"/>
                      <w:b w:val="0"/>
                      <w:bCs w:val="0"/>
                      <w:color w:val="auto"/>
                      <w:sz w:val="21"/>
                      <w:szCs w:val="21"/>
                    </w:rPr>
                    <w:t>COD</w:t>
                  </w:r>
                </w:p>
              </w:tc>
              <w:tc>
                <w:tcPr>
                  <w:tcW w:w="1128" w:type="pct"/>
                  <w:vAlign w:val="center"/>
                </w:tcPr>
                <w:p w14:paraId="0A8670C3">
                  <w:pPr>
                    <w:pStyle w:val="109"/>
                    <w:adjustRightInd w:val="0"/>
                    <w:snapToGrid w:val="0"/>
                    <w:rPr>
                      <w:rFonts w:hint="eastAsia"/>
                      <w:color w:val="auto"/>
                      <w:sz w:val="21"/>
                      <w:szCs w:val="21"/>
                      <w:lang w:val="en-US" w:eastAsia="zh-CN"/>
                    </w:rPr>
                  </w:pPr>
                  <w:r>
                    <w:rPr>
                      <w:rFonts w:hint="eastAsia" w:ascii="Times New Roman" w:hAnsi="Times New Roman" w:eastAsia="宋体" w:cs="Times New Roman"/>
                      <w:color w:val="auto"/>
                      <w:kern w:val="0"/>
                      <w:sz w:val="21"/>
                      <w:szCs w:val="21"/>
                      <w:vertAlign w:val="baseline"/>
                      <w:lang w:val="en-US" w:eastAsia="zh-CN"/>
                    </w:rPr>
                    <w:t>0.756</w:t>
                  </w:r>
                </w:p>
              </w:tc>
            </w:tr>
            <w:tr w14:paraId="29BDB2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1194" w:type="pct"/>
                  <w:gridSpan w:val="2"/>
                  <w:vMerge w:val="continue"/>
                  <w:vAlign w:val="center"/>
                </w:tcPr>
                <w:p w14:paraId="3C1F59A1">
                  <w:pPr>
                    <w:pStyle w:val="62"/>
                    <w:rPr>
                      <w:rFonts w:ascii="Times New Roman" w:cs="Times New Roman"/>
                      <w:color w:val="auto"/>
                      <w:sz w:val="21"/>
                      <w:szCs w:val="21"/>
                    </w:rPr>
                  </w:pPr>
                </w:p>
              </w:tc>
              <w:tc>
                <w:tcPr>
                  <w:tcW w:w="2677" w:type="pct"/>
                  <w:gridSpan w:val="2"/>
                  <w:vAlign w:val="center"/>
                </w:tcPr>
                <w:p w14:paraId="7A2A8248">
                  <w:pPr>
                    <w:pStyle w:val="114"/>
                    <w:spacing w:before="0" w:after="0"/>
                    <w:rPr>
                      <w:rFonts w:ascii="Times New Roman" w:hAnsi="Times New Roman" w:eastAsia="宋体"/>
                      <w:b w:val="0"/>
                      <w:bCs w:val="0"/>
                      <w:color w:val="auto"/>
                      <w:sz w:val="21"/>
                      <w:szCs w:val="21"/>
                    </w:rPr>
                  </w:pPr>
                  <w:r>
                    <w:rPr>
                      <w:rFonts w:ascii="Times New Roman" w:hAnsi="Times New Roman" w:eastAsia="宋体"/>
                      <w:b w:val="0"/>
                      <w:bCs w:val="0"/>
                      <w:color w:val="auto"/>
                      <w:sz w:val="21"/>
                      <w:szCs w:val="21"/>
                    </w:rPr>
                    <w:t>氨氮</w:t>
                  </w:r>
                </w:p>
              </w:tc>
              <w:tc>
                <w:tcPr>
                  <w:tcW w:w="1128" w:type="pct"/>
                  <w:vAlign w:val="center"/>
                </w:tcPr>
                <w:p w14:paraId="3A5FB916">
                  <w:pPr>
                    <w:pStyle w:val="109"/>
                    <w:adjustRightInd w:val="0"/>
                    <w:snapToGrid w:val="0"/>
                    <w:rPr>
                      <w:rFonts w:hint="eastAsia"/>
                      <w:color w:val="auto"/>
                      <w:sz w:val="21"/>
                      <w:szCs w:val="21"/>
                      <w:lang w:val="en-US" w:eastAsia="zh-CN"/>
                    </w:rPr>
                  </w:pPr>
                  <w:r>
                    <w:rPr>
                      <w:rFonts w:hint="eastAsia" w:cs="Times New Roman"/>
                      <w:color w:val="auto"/>
                      <w:kern w:val="0"/>
                      <w:sz w:val="21"/>
                      <w:szCs w:val="21"/>
                      <w:vertAlign w:val="baseline"/>
                      <w:lang w:val="en-US" w:eastAsia="zh-CN"/>
                    </w:rPr>
                    <w:t>0.065</w:t>
                  </w:r>
                </w:p>
              </w:tc>
            </w:tr>
            <w:tr w14:paraId="656811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1194" w:type="pct"/>
                  <w:gridSpan w:val="2"/>
                  <w:vMerge w:val="continue"/>
                  <w:vAlign w:val="center"/>
                </w:tcPr>
                <w:p w14:paraId="79FC4F96">
                  <w:pPr>
                    <w:pStyle w:val="62"/>
                    <w:rPr>
                      <w:rFonts w:ascii="Times New Roman" w:cs="Times New Roman"/>
                      <w:color w:val="auto"/>
                      <w:sz w:val="21"/>
                      <w:szCs w:val="21"/>
                    </w:rPr>
                  </w:pPr>
                </w:p>
              </w:tc>
              <w:tc>
                <w:tcPr>
                  <w:tcW w:w="2677" w:type="pct"/>
                  <w:gridSpan w:val="2"/>
                  <w:vAlign w:val="center"/>
                </w:tcPr>
                <w:p w14:paraId="5DA0A089">
                  <w:pPr>
                    <w:pStyle w:val="114"/>
                    <w:spacing w:before="0" w:after="0"/>
                    <w:rPr>
                      <w:rFonts w:ascii="Times New Roman" w:hAnsi="Times New Roman" w:eastAsia="宋体"/>
                      <w:b w:val="0"/>
                      <w:bCs w:val="0"/>
                      <w:color w:val="auto"/>
                      <w:sz w:val="21"/>
                      <w:szCs w:val="21"/>
                    </w:rPr>
                  </w:pPr>
                  <w:r>
                    <w:rPr>
                      <w:rFonts w:hint="eastAsia" w:cs="Times New Roman"/>
                      <w:color w:val="auto"/>
                      <w:spacing w:val="-10"/>
                      <w:szCs w:val="21"/>
                      <w:lang w:val="en-US" w:eastAsia="zh-CN"/>
                    </w:rPr>
                    <w:t>SS</w:t>
                  </w:r>
                </w:p>
              </w:tc>
              <w:tc>
                <w:tcPr>
                  <w:tcW w:w="1128" w:type="pct"/>
                  <w:vAlign w:val="center"/>
                </w:tcPr>
                <w:p w14:paraId="69F23BA4">
                  <w:pPr>
                    <w:pStyle w:val="109"/>
                    <w:adjustRightInd w:val="0"/>
                    <w:snapToGrid w:val="0"/>
                    <w:rPr>
                      <w:rFonts w:hint="eastAsia"/>
                      <w:color w:val="auto"/>
                      <w:sz w:val="21"/>
                      <w:szCs w:val="21"/>
                      <w:lang w:val="en-US" w:eastAsia="zh-CN"/>
                    </w:rPr>
                  </w:pPr>
                  <w:r>
                    <w:rPr>
                      <w:rFonts w:hint="eastAsia" w:cs="Times New Roman"/>
                      <w:color w:val="auto"/>
                      <w:kern w:val="0"/>
                      <w:sz w:val="21"/>
                      <w:szCs w:val="21"/>
                      <w:vertAlign w:val="baseline"/>
                      <w:lang w:val="en-US" w:eastAsia="zh-CN"/>
                    </w:rPr>
                    <w:t>0.397</w:t>
                  </w:r>
                </w:p>
              </w:tc>
            </w:tr>
          </w:tbl>
          <w:p w14:paraId="3471D899">
            <w:pPr>
              <w:widowControl/>
              <w:adjustRightInd w:val="0"/>
              <w:snapToGrid w:val="0"/>
              <w:spacing w:before="120" w:beforeLines="50" w:line="240" w:lineRule="exact"/>
              <w:jc w:val="center"/>
              <w:rPr>
                <w:b/>
                <w:color w:val="auto"/>
                <w:kern w:val="0"/>
                <w:sz w:val="24"/>
              </w:rPr>
            </w:pPr>
            <w:r>
              <w:rPr>
                <w:rFonts w:hint="default" w:ascii="Times New Roman" w:hAnsi="Times New Roman" w:eastAsia="宋体" w:cs="Times New Roman"/>
                <w:b/>
                <w:bCs/>
                <w:iCs/>
                <w:color w:val="auto"/>
                <w:kern w:val="0"/>
                <w:sz w:val="21"/>
                <w:szCs w:val="21"/>
                <w:highlight w:val="none"/>
                <w:lang w:val="en-US" w:eastAsia="zh-CN" w:bidi="ar-SA"/>
              </w:rPr>
              <w:t>表</w:t>
            </w:r>
            <w:r>
              <w:rPr>
                <w:rFonts w:hint="eastAsia" w:ascii="Times New Roman" w:hAnsi="Times New Roman" w:eastAsia="宋体" w:cs="Times New Roman"/>
                <w:b/>
                <w:bCs/>
                <w:iCs/>
                <w:color w:val="auto"/>
                <w:kern w:val="0"/>
                <w:sz w:val="21"/>
                <w:szCs w:val="21"/>
                <w:highlight w:val="none"/>
                <w:lang w:val="en-US" w:eastAsia="zh-CN" w:bidi="ar-SA"/>
              </w:rPr>
              <w:t>4-</w:t>
            </w:r>
            <w:r>
              <w:rPr>
                <w:rFonts w:hint="default" w:ascii="Times New Roman" w:hAnsi="Times New Roman" w:eastAsia="宋体" w:cs="Times New Roman"/>
                <w:b/>
                <w:bCs/>
                <w:iCs/>
                <w:color w:val="auto"/>
                <w:kern w:val="0"/>
                <w:sz w:val="21"/>
                <w:szCs w:val="21"/>
                <w:highlight w:val="none"/>
                <w:lang w:val="en-US" w:eastAsia="zh-CN" w:bidi="ar-SA"/>
              </w:rPr>
              <w:t>1</w:t>
            </w:r>
            <w:r>
              <w:rPr>
                <w:rFonts w:hint="eastAsia" w:cs="Times New Roman"/>
                <w:b/>
                <w:bCs/>
                <w:iCs/>
                <w:color w:val="auto"/>
                <w:kern w:val="0"/>
                <w:sz w:val="21"/>
                <w:szCs w:val="21"/>
                <w:highlight w:val="none"/>
                <w:lang w:val="en-US" w:eastAsia="zh-CN" w:bidi="ar-SA"/>
              </w:rPr>
              <w:t>1</w:t>
            </w:r>
            <w:r>
              <w:rPr>
                <w:rFonts w:hint="eastAsia" w:ascii="Times New Roman" w:hAnsi="Times New Roman" w:eastAsia="宋体" w:cs="Times New Roman"/>
                <w:b/>
                <w:bCs/>
                <w:iCs/>
                <w:color w:val="auto"/>
                <w:kern w:val="0"/>
                <w:sz w:val="21"/>
                <w:szCs w:val="21"/>
                <w:highlight w:val="none"/>
                <w:lang w:val="en-US" w:eastAsia="zh-CN" w:bidi="ar-SA"/>
              </w:rPr>
              <w:t xml:space="preserve">  </w:t>
            </w:r>
            <w:r>
              <w:rPr>
                <w:rFonts w:hint="default" w:ascii="Times New Roman" w:hAnsi="Times New Roman" w:eastAsia="宋体" w:cs="Times New Roman"/>
                <w:b/>
                <w:bCs/>
                <w:iCs/>
                <w:color w:val="auto"/>
                <w:kern w:val="0"/>
                <w:sz w:val="21"/>
                <w:szCs w:val="21"/>
                <w:highlight w:val="none"/>
                <w:lang w:val="en-US" w:eastAsia="zh-CN" w:bidi="ar-SA"/>
              </w:rPr>
              <w:t>废水间接排放口基本情况表</w:t>
            </w:r>
          </w:p>
          <w:tbl>
            <w:tblPr>
              <w:tblStyle w:val="3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60"/>
              <w:gridCol w:w="494"/>
              <w:gridCol w:w="1145"/>
              <w:gridCol w:w="1008"/>
              <w:gridCol w:w="687"/>
              <w:gridCol w:w="517"/>
              <w:gridCol w:w="945"/>
              <w:gridCol w:w="492"/>
              <w:gridCol w:w="594"/>
              <w:gridCol w:w="859"/>
              <w:gridCol w:w="1171"/>
            </w:tblGrid>
            <w:tr w14:paraId="63E296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trPr>
              <w:tc>
                <w:tcPr>
                  <w:tcW w:w="159" w:type="pct"/>
                  <w:vMerge w:val="restart"/>
                  <w:vAlign w:val="center"/>
                </w:tcPr>
                <w:p w14:paraId="23BBC6E7">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序号</w:t>
                  </w:r>
                </w:p>
              </w:tc>
              <w:tc>
                <w:tcPr>
                  <w:tcW w:w="302" w:type="pct"/>
                  <w:vMerge w:val="restart"/>
                  <w:vAlign w:val="center"/>
                </w:tcPr>
                <w:p w14:paraId="6E78DBBD">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排放口编号</w:t>
                  </w:r>
                </w:p>
              </w:tc>
              <w:tc>
                <w:tcPr>
                  <w:tcW w:w="1317" w:type="pct"/>
                  <w:gridSpan w:val="2"/>
                  <w:vAlign w:val="center"/>
                </w:tcPr>
                <w:p w14:paraId="20E53A26">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排放口地理坐标</w:t>
                  </w:r>
                </w:p>
                <w:p w14:paraId="6C8D973A">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（UTM坐标）</w:t>
                  </w:r>
                </w:p>
              </w:tc>
              <w:tc>
                <w:tcPr>
                  <w:tcW w:w="420" w:type="pct"/>
                  <w:vMerge w:val="restart"/>
                  <w:vAlign w:val="center"/>
                </w:tcPr>
                <w:p w14:paraId="7923E8BA">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废水排放量（</w:t>
                  </w:r>
                  <w:r>
                    <w:rPr>
                      <w:rFonts w:hint="eastAsia" w:cs="Times New Roman"/>
                      <w:color w:val="auto"/>
                      <w:sz w:val="18"/>
                      <w:szCs w:val="18"/>
                      <w:highlight w:val="none"/>
                      <w:lang w:val="en-US" w:eastAsia="zh-CN"/>
                    </w:rPr>
                    <w:t>t</w:t>
                  </w:r>
                  <w:r>
                    <w:rPr>
                      <w:rFonts w:hint="default" w:ascii="Times New Roman" w:hAnsi="Times New Roman" w:eastAsia="宋体" w:cs="Times New Roman"/>
                      <w:color w:val="auto"/>
                      <w:sz w:val="18"/>
                      <w:szCs w:val="18"/>
                      <w:highlight w:val="none"/>
                    </w:rPr>
                    <w:t>/a）</w:t>
                  </w:r>
                </w:p>
              </w:tc>
              <w:tc>
                <w:tcPr>
                  <w:tcW w:w="316" w:type="pct"/>
                  <w:vMerge w:val="restart"/>
                  <w:vAlign w:val="center"/>
                </w:tcPr>
                <w:p w14:paraId="704C599E">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w:t>
                  </w:r>
                </w:p>
                <w:p w14:paraId="2B866562">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去向</w:t>
                  </w:r>
                </w:p>
              </w:tc>
              <w:tc>
                <w:tcPr>
                  <w:tcW w:w="578" w:type="pct"/>
                  <w:vMerge w:val="restart"/>
                  <w:vAlign w:val="center"/>
                </w:tcPr>
                <w:p w14:paraId="43F6967F">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排放规律</w:t>
                  </w:r>
                </w:p>
              </w:tc>
              <w:tc>
                <w:tcPr>
                  <w:tcW w:w="301" w:type="pct"/>
                  <w:vMerge w:val="restart"/>
                  <w:vAlign w:val="center"/>
                </w:tcPr>
                <w:p w14:paraId="65383F4C">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间歇排放时段</w:t>
                  </w:r>
                </w:p>
              </w:tc>
              <w:tc>
                <w:tcPr>
                  <w:tcW w:w="1605" w:type="pct"/>
                  <w:gridSpan w:val="3"/>
                  <w:vAlign w:val="center"/>
                </w:tcPr>
                <w:p w14:paraId="694193F0">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受纳污水处理厂信息</w:t>
                  </w:r>
                </w:p>
              </w:tc>
            </w:tr>
            <w:tr w14:paraId="792D68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trPr>
              <w:tc>
                <w:tcPr>
                  <w:tcW w:w="159" w:type="pct"/>
                  <w:vMerge w:val="continue"/>
                  <w:vAlign w:val="center"/>
                </w:tcPr>
                <w:p w14:paraId="5F35BC50">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02" w:type="pct"/>
                  <w:vMerge w:val="continue"/>
                  <w:vAlign w:val="center"/>
                </w:tcPr>
                <w:p w14:paraId="2A1A804A">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700" w:type="pct"/>
                  <w:vAlign w:val="center"/>
                </w:tcPr>
                <w:p w14:paraId="79D99B9C">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经度</w:t>
                  </w:r>
                </w:p>
              </w:tc>
              <w:tc>
                <w:tcPr>
                  <w:tcW w:w="616" w:type="pct"/>
                  <w:vAlign w:val="center"/>
                </w:tcPr>
                <w:p w14:paraId="6325A937">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纬度</w:t>
                  </w:r>
                </w:p>
              </w:tc>
              <w:tc>
                <w:tcPr>
                  <w:tcW w:w="420" w:type="pct"/>
                  <w:vMerge w:val="continue"/>
                  <w:vAlign w:val="center"/>
                </w:tcPr>
                <w:p w14:paraId="418B65F7">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16" w:type="pct"/>
                  <w:vMerge w:val="continue"/>
                  <w:vAlign w:val="center"/>
                </w:tcPr>
                <w:p w14:paraId="65726767">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578" w:type="pct"/>
                  <w:vMerge w:val="continue"/>
                  <w:vAlign w:val="center"/>
                </w:tcPr>
                <w:p w14:paraId="517C6E95">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01" w:type="pct"/>
                  <w:vMerge w:val="continue"/>
                  <w:vAlign w:val="center"/>
                </w:tcPr>
                <w:p w14:paraId="18947636">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63" w:type="pct"/>
                  <w:vAlign w:val="center"/>
                </w:tcPr>
                <w:p w14:paraId="590E2CA2">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名称</w:t>
                  </w:r>
                </w:p>
              </w:tc>
              <w:tc>
                <w:tcPr>
                  <w:tcW w:w="525" w:type="pct"/>
                  <w:vAlign w:val="center"/>
                </w:tcPr>
                <w:p w14:paraId="59FD2F0C">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污染物种类</w:t>
                  </w:r>
                </w:p>
              </w:tc>
              <w:tc>
                <w:tcPr>
                  <w:tcW w:w="716" w:type="pct"/>
                  <w:vAlign w:val="center"/>
                </w:tcPr>
                <w:p w14:paraId="1F57851E">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污染物排放标准浓度限值/</w:t>
                  </w:r>
                  <w:r>
                    <w:rPr>
                      <w:rFonts w:hint="eastAsia"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mg/L</w:t>
                  </w:r>
                  <w:r>
                    <w:rPr>
                      <w:rFonts w:hint="eastAsia" w:cs="Times New Roman"/>
                      <w:color w:val="auto"/>
                      <w:sz w:val="18"/>
                      <w:szCs w:val="18"/>
                      <w:highlight w:val="none"/>
                      <w:lang w:eastAsia="zh-CN"/>
                    </w:rPr>
                    <w:t>）</w:t>
                  </w:r>
                </w:p>
              </w:tc>
            </w:tr>
            <w:tr w14:paraId="0E047C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00" w:hRule="atLeast"/>
              </w:trPr>
              <w:tc>
                <w:tcPr>
                  <w:tcW w:w="159" w:type="pct"/>
                  <w:vMerge w:val="restart"/>
                  <w:vAlign w:val="center"/>
                </w:tcPr>
                <w:p w14:paraId="57722F33">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302" w:type="pct"/>
                  <w:vMerge w:val="restart"/>
                  <w:vAlign w:val="center"/>
                </w:tcPr>
                <w:p w14:paraId="051CF7FA">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DW001</w:t>
                  </w:r>
                </w:p>
              </w:tc>
              <w:tc>
                <w:tcPr>
                  <w:tcW w:w="700" w:type="pct"/>
                  <w:vMerge w:val="restart"/>
                  <w:vAlign w:val="center"/>
                </w:tcPr>
                <w:p w14:paraId="77EF90ED">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131.17281704</w:t>
                  </w:r>
                </w:p>
              </w:tc>
              <w:tc>
                <w:tcPr>
                  <w:tcW w:w="616" w:type="pct"/>
                  <w:vMerge w:val="restart"/>
                  <w:vAlign w:val="center"/>
                </w:tcPr>
                <w:p w14:paraId="2695F0BF">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46.68985592</w:t>
                  </w:r>
                </w:p>
              </w:tc>
              <w:tc>
                <w:tcPr>
                  <w:tcW w:w="420" w:type="pct"/>
                  <w:vMerge w:val="restart"/>
                  <w:vAlign w:val="center"/>
                </w:tcPr>
                <w:p w14:paraId="10AA44BB">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lang w:val="en-US" w:eastAsia="zh-CN"/>
                    </w:rPr>
                    <w:t>3174.393</w:t>
                  </w:r>
                </w:p>
              </w:tc>
              <w:tc>
                <w:tcPr>
                  <w:tcW w:w="316" w:type="pct"/>
                  <w:vMerge w:val="restart"/>
                  <w:vAlign w:val="center"/>
                </w:tcPr>
                <w:p w14:paraId="5067E949">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双鸭山市污水处理厂</w:t>
                  </w:r>
                </w:p>
              </w:tc>
              <w:tc>
                <w:tcPr>
                  <w:tcW w:w="578" w:type="pct"/>
                  <w:vMerge w:val="restart"/>
                  <w:vAlign w:val="center"/>
                </w:tcPr>
                <w:p w14:paraId="7CA1FA16">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间断排放，排放期间流量不稳定，但有规律，且不属于非周期性规律</w:t>
                  </w:r>
                </w:p>
              </w:tc>
              <w:tc>
                <w:tcPr>
                  <w:tcW w:w="301" w:type="pct"/>
                  <w:vMerge w:val="restart"/>
                  <w:vAlign w:val="center"/>
                </w:tcPr>
                <w:p w14:paraId="412054BD">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8:00~17:00</w:t>
                  </w:r>
                </w:p>
              </w:tc>
              <w:tc>
                <w:tcPr>
                  <w:tcW w:w="363" w:type="pct"/>
                  <w:vMerge w:val="restart"/>
                  <w:vAlign w:val="center"/>
                </w:tcPr>
                <w:p w14:paraId="4F20409C">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双鸭山市污水处理厂</w:t>
                  </w:r>
                </w:p>
              </w:tc>
              <w:tc>
                <w:tcPr>
                  <w:tcW w:w="525" w:type="pct"/>
                  <w:vAlign w:val="center"/>
                </w:tcPr>
                <w:p w14:paraId="5CB7F641">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rPr>
                    <w:t>pH</w:t>
                  </w:r>
                </w:p>
              </w:tc>
              <w:tc>
                <w:tcPr>
                  <w:tcW w:w="716" w:type="pct"/>
                  <w:vAlign w:val="center"/>
                </w:tcPr>
                <w:p w14:paraId="24697F69">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rPr>
                    <w:t>6～9</w:t>
                  </w:r>
                </w:p>
              </w:tc>
            </w:tr>
            <w:tr w14:paraId="3FEF89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00" w:hRule="atLeast"/>
              </w:trPr>
              <w:tc>
                <w:tcPr>
                  <w:tcW w:w="159" w:type="pct"/>
                  <w:vMerge w:val="continue"/>
                  <w:vAlign w:val="center"/>
                </w:tcPr>
                <w:p w14:paraId="2DFD4BA0">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02" w:type="pct"/>
                  <w:vMerge w:val="continue"/>
                  <w:vAlign w:val="center"/>
                </w:tcPr>
                <w:p w14:paraId="4C8B4D3D">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700" w:type="pct"/>
                  <w:vMerge w:val="continue"/>
                  <w:vAlign w:val="center"/>
                </w:tcPr>
                <w:p w14:paraId="604E7A16">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616" w:type="pct"/>
                  <w:vMerge w:val="continue"/>
                  <w:vAlign w:val="center"/>
                </w:tcPr>
                <w:p w14:paraId="75059C2D">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420" w:type="pct"/>
                  <w:vMerge w:val="continue"/>
                  <w:vAlign w:val="center"/>
                </w:tcPr>
                <w:p w14:paraId="23AF30FB">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16" w:type="pct"/>
                  <w:vMerge w:val="continue"/>
                  <w:vAlign w:val="center"/>
                </w:tcPr>
                <w:p w14:paraId="5942C786">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578" w:type="pct"/>
                  <w:vMerge w:val="continue"/>
                  <w:vAlign w:val="center"/>
                </w:tcPr>
                <w:p w14:paraId="5F3A3AC0">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01" w:type="pct"/>
                  <w:vMerge w:val="continue"/>
                  <w:vAlign w:val="center"/>
                </w:tcPr>
                <w:p w14:paraId="3AB55E1E">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63" w:type="pct"/>
                  <w:vMerge w:val="continue"/>
                  <w:vAlign w:val="center"/>
                </w:tcPr>
                <w:p w14:paraId="291EEBF9">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525" w:type="pct"/>
                  <w:vAlign w:val="center"/>
                </w:tcPr>
                <w:p w14:paraId="60C0472D">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COD</w:t>
                  </w:r>
                </w:p>
              </w:tc>
              <w:tc>
                <w:tcPr>
                  <w:tcW w:w="716" w:type="pct"/>
                  <w:vAlign w:val="center"/>
                </w:tcPr>
                <w:p w14:paraId="1CC4C1FF">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50</w:t>
                  </w:r>
                </w:p>
              </w:tc>
            </w:tr>
            <w:tr w14:paraId="210893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00" w:hRule="atLeast"/>
              </w:trPr>
              <w:tc>
                <w:tcPr>
                  <w:tcW w:w="159" w:type="pct"/>
                  <w:vMerge w:val="continue"/>
                  <w:vAlign w:val="center"/>
                </w:tcPr>
                <w:p w14:paraId="5049221F">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02" w:type="pct"/>
                  <w:vMerge w:val="continue"/>
                  <w:vAlign w:val="center"/>
                </w:tcPr>
                <w:p w14:paraId="1FBC9839">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700" w:type="pct"/>
                  <w:vMerge w:val="continue"/>
                  <w:vAlign w:val="center"/>
                </w:tcPr>
                <w:p w14:paraId="43182EB3">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616" w:type="pct"/>
                  <w:vMerge w:val="continue"/>
                  <w:vAlign w:val="center"/>
                </w:tcPr>
                <w:p w14:paraId="0F796C52">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420" w:type="pct"/>
                  <w:vMerge w:val="continue"/>
                  <w:vAlign w:val="center"/>
                </w:tcPr>
                <w:p w14:paraId="3A1E367E">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16" w:type="pct"/>
                  <w:vMerge w:val="continue"/>
                  <w:vAlign w:val="center"/>
                </w:tcPr>
                <w:p w14:paraId="4F900E9D">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578" w:type="pct"/>
                  <w:vMerge w:val="continue"/>
                  <w:vAlign w:val="center"/>
                </w:tcPr>
                <w:p w14:paraId="35D50465">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01" w:type="pct"/>
                  <w:vMerge w:val="continue"/>
                  <w:vAlign w:val="center"/>
                </w:tcPr>
                <w:p w14:paraId="52A2A9F9">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63" w:type="pct"/>
                  <w:vMerge w:val="continue"/>
                  <w:vAlign w:val="center"/>
                </w:tcPr>
                <w:p w14:paraId="2AEAD350">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525" w:type="pct"/>
                  <w:vAlign w:val="center"/>
                </w:tcPr>
                <w:p w14:paraId="7F0EEF61">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BOD</w:t>
                  </w:r>
                  <w:r>
                    <w:rPr>
                      <w:rFonts w:hint="eastAsia" w:cs="Times New Roman"/>
                      <w:color w:val="auto"/>
                      <w:sz w:val="18"/>
                      <w:szCs w:val="18"/>
                      <w:highlight w:val="none"/>
                      <w:vertAlign w:val="subscript"/>
                      <w:lang w:val="en-US" w:eastAsia="zh-CN"/>
                    </w:rPr>
                    <w:t>5</w:t>
                  </w:r>
                </w:p>
              </w:tc>
              <w:tc>
                <w:tcPr>
                  <w:tcW w:w="716" w:type="pct"/>
                  <w:vAlign w:val="center"/>
                </w:tcPr>
                <w:p w14:paraId="12274B35">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r>
            <w:tr w14:paraId="081093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00" w:hRule="atLeast"/>
              </w:trPr>
              <w:tc>
                <w:tcPr>
                  <w:tcW w:w="159" w:type="pct"/>
                  <w:vMerge w:val="continue"/>
                  <w:vAlign w:val="center"/>
                </w:tcPr>
                <w:p w14:paraId="788BA2F1">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02" w:type="pct"/>
                  <w:vMerge w:val="continue"/>
                  <w:vAlign w:val="center"/>
                </w:tcPr>
                <w:p w14:paraId="7B272336">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700" w:type="pct"/>
                  <w:vMerge w:val="continue"/>
                  <w:vAlign w:val="center"/>
                </w:tcPr>
                <w:p w14:paraId="6D0BF049">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616" w:type="pct"/>
                  <w:vMerge w:val="continue"/>
                  <w:vAlign w:val="center"/>
                </w:tcPr>
                <w:p w14:paraId="289677C9">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420" w:type="pct"/>
                  <w:vMerge w:val="continue"/>
                  <w:vAlign w:val="center"/>
                </w:tcPr>
                <w:p w14:paraId="045A0D44">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16" w:type="pct"/>
                  <w:vMerge w:val="continue"/>
                  <w:vAlign w:val="center"/>
                </w:tcPr>
                <w:p w14:paraId="6A33B627">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578" w:type="pct"/>
                  <w:vMerge w:val="continue"/>
                  <w:vAlign w:val="center"/>
                </w:tcPr>
                <w:p w14:paraId="29E0C658">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01" w:type="pct"/>
                  <w:vMerge w:val="continue"/>
                  <w:vAlign w:val="center"/>
                </w:tcPr>
                <w:p w14:paraId="0DB39B88">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63" w:type="pct"/>
                  <w:vMerge w:val="continue"/>
                  <w:vAlign w:val="center"/>
                </w:tcPr>
                <w:p w14:paraId="14D965EC">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525" w:type="pct"/>
                  <w:vAlign w:val="center"/>
                </w:tcPr>
                <w:p w14:paraId="50525293">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SS</w:t>
                  </w:r>
                </w:p>
              </w:tc>
              <w:tc>
                <w:tcPr>
                  <w:tcW w:w="716" w:type="pct"/>
                  <w:vAlign w:val="center"/>
                </w:tcPr>
                <w:p w14:paraId="4C269FB4">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10</w:t>
                  </w:r>
                </w:p>
              </w:tc>
            </w:tr>
            <w:tr w14:paraId="3DE6C0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00" w:hRule="atLeast"/>
              </w:trPr>
              <w:tc>
                <w:tcPr>
                  <w:tcW w:w="159" w:type="pct"/>
                  <w:vMerge w:val="continue"/>
                  <w:vAlign w:val="center"/>
                </w:tcPr>
                <w:p w14:paraId="5F317CAD">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02" w:type="pct"/>
                  <w:vMerge w:val="continue"/>
                  <w:vAlign w:val="center"/>
                </w:tcPr>
                <w:p w14:paraId="52508FDF">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700" w:type="pct"/>
                  <w:vMerge w:val="continue"/>
                  <w:vAlign w:val="center"/>
                </w:tcPr>
                <w:p w14:paraId="23B79828">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616" w:type="pct"/>
                  <w:vMerge w:val="continue"/>
                  <w:vAlign w:val="center"/>
                </w:tcPr>
                <w:p w14:paraId="438B8E13">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420" w:type="pct"/>
                  <w:vMerge w:val="continue"/>
                  <w:vAlign w:val="center"/>
                </w:tcPr>
                <w:p w14:paraId="36932071">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16" w:type="pct"/>
                  <w:vMerge w:val="continue"/>
                  <w:vAlign w:val="center"/>
                </w:tcPr>
                <w:p w14:paraId="59A9D772">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578" w:type="pct"/>
                  <w:vMerge w:val="continue"/>
                  <w:vAlign w:val="center"/>
                </w:tcPr>
                <w:p w14:paraId="4E3B0358">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01" w:type="pct"/>
                  <w:vMerge w:val="continue"/>
                  <w:vAlign w:val="center"/>
                </w:tcPr>
                <w:p w14:paraId="05E9264D">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63" w:type="pct"/>
                  <w:vMerge w:val="continue"/>
                  <w:vAlign w:val="center"/>
                </w:tcPr>
                <w:p w14:paraId="394B56F7">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525" w:type="pct"/>
                  <w:vAlign w:val="center"/>
                </w:tcPr>
                <w:p w14:paraId="4D1B94ED">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氨氮</w:t>
                  </w:r>
                </w:p>
              </w:tc>
              <w:tc>
                <w:tcPr>
                  <w:tcW w:w="716" w:type="pct"/>
                  <w:vAlign w:val="center"/>
                </w:tcPr>
                <w:p w14:paraId="72EDD90F">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5（8）-</w:t>
                  </w:r>
                </w:p>
              </w:tc>
            </w:tr>
          </w:tbl>
          <w:p w14:paraId="084139D6">
            <w:pPr>
              <w:pStyle w:val="8"/>
              <w:keepNext w:val="0"/>
              <w:keepLines w:val="0"/>
              <w:suppressLineNumbers w:val="0"/>
              <w:spacing w:before="0" w:beforeAutospacing="0" w:after="0" w:afterAutospacing="0" w:line="360" w:lineRule="auto"/>
              <w:ind w:left="0" w:right="0"/>
              <w:rPr>
                <w:rFonts w:hint="default" w:ascii="Times New Roman" w:hAnsi="Times New Roman" w:eastAsia="宋体" w:cs="Times New Roman"/>
                <w:smallCaps w:val="0"/>
                <w:color w:val="auto"/>
                <w:kern w:val="2"/>
                <w:sz w:val="24"/>
                <w:szCs w:val="24"/>
                <w:highlight w:val="none"/>
                <w:lang w:val="en-US" w:eastAsia="zh-CN" w:bidi="ar-SA"/>
              </w:rPr>
            </w:pPr>
            <w:r>
              <w:rPr>
                <w:rFonts w:hint="eastAsia" w:cs="Times New Roman"/>
                <w:smallCaps w:val="0"/>
                <w:color w:val="auto"/>
                <w:kern w:val="2"/>
                <w:sz w:val="24"/>
                <w:szCs w:val="24"/>
                <w:highlight w:val="none"/>
                <w:lang w:val="en-US" w:eastAsia="zh-CN" w:bidi="ar-SA"/>
              </w:rPr>
              <w:t>2</w:t>
            </w:r>
            <w:r>
              <w:rPr>
                <w:rFonts w:hint="eastAsia" w:ascii="Times New Roman" w:hAnsi="Times New Roman" w:eastAsia="宋体" w:cs="Times New Roman"/>
                <w:smallCaps w:val="0"/>
                <w:color w:val="auto"/>
                <w:kern w:val="2"/>
                <w:sz w:val="24"/>
                <w:szCs w:val="24"/>
                <w:highlight w:val="none"/>
                <w:lang w:val="en-US" w:eastAsia="zh-CN" w:bidi="ar-SA"/>
              </w:rPr>
              <w:t>、环境影响分析</w:t>
            </w:r>
          </w:p>
          <w:p w14:paraId="38850B56">
            <w:pPr>
              <w:keepNext w:val="0"/>
              <w:keepLines w:val="0"/>
              <w:pageBreakBefore w:val="0"/>
              <w:suppressLineNumbers w:val="0"/>
              <w:wordWrap/>
              <w:bidi w:val="0"/>
              <w:spacing w:before="0" w:beforeAutospacing="0" w:after="0" w:afterAutospacing="0" w:line="360" w:lineRule="auto"/>
              <w:ind w:left="0" w:leftChars="0" w:right="0" w:firstLine="600" w:firstLineChars="250"/>
              <w:rPr>
                <w:rFonts w:hint="eastAsia" w:ascii="Times New Roman" w:hAnsi="Times New Roman" w:eastAsia="宋体" w:cs="Times New Roman"/>
                <w:smallCaps w:val="0"/>
                <w:color w:val="auto"/>
                <w:kern w:val="2"/>
                <w:sz w:val="24"/>
                <w:szCs w:val="24"/>
                <w:highlight w:val="none"/>
                <w:lang w:val="en-US" w:eastAsia="zh-CN" w:bidi="ar-SA"/>
              </w:rPr>
            </w:pPr>
            <w:r>
              <w:rPr>
                <w:rFonts w:hint="eastAsia"/>
                <w:color w:val="auto"/>
                <w:kern w:val="0"/>
                <w:sz w:val="24"/>
                <w:szCs w:val="28"/>
                <w:lang w:eastAsia="zh-CN"/>
              </w:rPr>
              <w:t>本项目营运期间产生的</w:t>
            </w:r>
            <w:r>
              <w:rPr>
                <w:rFonts w:hint="eastAsia"/>
                <w:color w:val="auto"/>
                <w:kern w:val="0"/>
                <w:sz w:val="24"/>
                <w:szCs w:val="28"/>
                <w:lang w:val="en-US" w:eastAsia="zh-CN"/>
              </w:rPr>
              <w:t>废水总排放</w:t>
            </w:r>
            <w:r>
              <w:rPr>
                <w:rFonts w:hint="eastAsia"/>
                <w:color w:val="auto"/>
                <w:kern w:val="0"/>
                <w:sz w:val="24"/>
                <w:szCs w:val="28"/>
                <w:lang w:eastAsia="zh-CN"/>
              </w:rPr>
              <w:t>量</w:t>
            </w:r>
            <w:r>
              <w:rPr>
                <w:rFonts w:hint="eastAsia" w:ascii="Times New Roman" w:hAnsi="Times New Roman" w:eastAsia="宋体" w:cs="Times New Roman"/>
                <w:color w:val="auto"/>
                <w:sz w:val="24"/>
                <w:lang w:val="en-US" w:eastAsia="zh-CN"/>
              </w:rPr>
              <w:t>为</w:t>
            </w:r>
            <w:r>
              <w:rPr>
                <w:rFonts w:hint="eastAsia"/>
                <w:color w:val="auto"/>
                <w:sz w:val="24"/>
                <w:lang w:val="en-US" w:eastAsia="zh-CN"/>
              </w:rPr>
              <w:t>3174.393t/a</w:t>
            </w:r>
            <w:r>
              <w:rPr>
                <w:rFonts w:hint="eastAsia"/>
                <w:color w:val="auto"/>
                <w:kern w:val="0"/>
                <w:sz w:val="24"/>
                <w:szCs w:val="28"/>
                <w:lang w:eastAsia="zh-CN"/>
              </w:rPr>
              <w:t>，</w:t>
            </w:r>
            <w:r>
              <w:rPr>
                <w:rFonts w:hint="eastAsia"/>
                <w:color w:val="auto"/>
                <w:sz w:val="24"/>
                <w:lang w:val="en-US" w:eastAsia="zh-CN"/>
              </w:rPr>
              <w:t>本项目建成后</w:t>
            </w:r>
            <w:r>
              <w:rPr>
                <w:rFonts w:hint="eastAsia"/>
                <w:color w:val="auto"/>
                <w:kern w:val="0"/>
                <w:sz w:val="24"/>
                <w:lang w:val="en-US" w:eastAsia="zh-CN"/>
              </w:rPr>
              <w:t>厂区综合废水</w:t>
            </w:r>
            <w:r>
              <w:rPr>
                <w:rFonts w:hint="eastAsia"/>
                <w:color w:val="auto"/>
                <w:sz w:val="24"/>
                <w:lang w:val="en-US" w:eastAsia="zh-CN"/>
              </w:rPr>
              <w:t>排入市政管网。</w:t>
            </w:r>
            <w:r>
              <w:rPr>
                <w:rFonts w:hint="eastAsia"/>
                <w:color w:val="auto"/>
                <w:kern w:val="0"/>
                <w:sz w:val="24"/>
                <w:szCs w:val="28"/>
                <w:lang w:eastAsia="zh-CN"/>
              </w:rPr>
              <w:t>厂区污水排放满足《污水综合排放标准》（GB8978-1996）中表</w:t>
            </w:r>
            <w:r>
              <w:rPr>
                <w:rFonts w:hint="eastAsia"/>
                <w:color w:val="auto"/>
                <w:kern w:val="0"/>
                <w:sz w:val="24"/>
                <w:szCs w:val="28"/>
                <w:lang w:val="en-US" w:eastAsia="zh-CN"/>
              </w:rPr>
              <w:t>4</w:t>
            </w:r>
            <w:r>
              <w:rPr>
                <w:rFonts w:hint="eastAsia"/>
                <w:color w:val="auto"/>
                <w:kern w:val="0"/>
                <w:sz w:val="24"/>
                <w:szCs w:val="28"/>
                <w:lang w:eastAsia="zh-CN"/>
              </w:rPr>
              <w:t>三级标准</w:t>
            </w:r>
            <w:r>
              <w:rPr>
                <w:rFonts w:hint="eastAsia"/>
                <w:color w:val="auto"/>
                <w:kern w:val="0"/>
                <w:sz w:val="24"/>
                <w:szCs w:val="28"/>
                <w:lang w:val="en-US" w:eastAsia="zh-CN"/>
              </w:rPr>
              <w:t>及双鸭山市污水处理厂进水指标</w:t>
            </w:r>
            <w:r>
              <w:rPr>
                <w:rFonts w:hint="eastAsia"/>
                <w:color w:val="auto"/>
                <w:kern w:val="0"/>
                <w:sz w:val="24"/>
                <w:szCs w:val="28"/>
                <w:lang w:eastAsia="zh-CN"/>
              </w:rPr>
              <w:t>，</w:t>
            </w:r>
            <w:r>
              <w:rPr>
                <w:rFonts w:hint="eastAsia"/>
                <w:color w:val="auto"/>
                <w:sz w:val="24"/>
                <w:lang w:val="en-US" w:eastAsia="zh-CN"/>
              </w:rPr>
              <w:t>经</w:t>
            </w:r>
            <w:r>
              <w:rPr>
                <w:rFonts w:hint="eastAsia" w:ascii="Times New Roman" w:hAnsi="Times New Roman" w:eastAsia="宋体" w:cs="Times New Roman"/>
                <w:color w:val="auto"/>
                <w:sz w:val="24"/>
                <w:lang w:val="en-US" w:eastAsia="zh-CN"/>
              </w:rPr>
              <w:t>双鸭山市污水处理厂处</w:t>
            </w:r>
            <w:r>
              <w:rPr>
                <w:rFonts w:hint="eastAsia"/>
                <w:color w:val="auto"/>
                <w:sz w:val="24"/>
                <w:lang w:val="en-US" w:eastAsia="zh-CN"/>
              </w:rPr>
              <w:t>理</w:t>
            </w:r>
            <w:r>
              <w:rPr>
                <w:rFonts w:hint="eastAsia"/>
                <w:color w:val="auto"/>
                <w:kern w:val="0"/>
                <w:sz w:val="24"/>
                <w:szCs w:val="28"/>
                <w:lang w:eastAsia="zh-CN"/>
              </w:rPr>
              <w:t>，处理后排入</w:t>
            </w:r>
            <w:r>
              <w:rPr>
                <w:rFonts w:hint="eastAsia"/>
                <w:color w:val="auto"/>
                <w:kern w:val="0"/>
                <w:sz w:val="24"/>
                <w:szCs w:val="28"/>
                <w:lang w:val="en-US" w:eastAsia="zh-CN"/>
              </w:rPr>
              <w:t>安邦河</w:t>
            </w:r>
            <w:r>
              <w:rPr>
                <w:rFonts w:hint="eastAsia"/>
                <w:color w:val="auto"/>
                <w:kern w:val="0"/>
                <w:sz w:val="24"/>
                <w:szCs w:val="28"/>
                <w:lang w:eastAsia="zh-CN"/>
              </w:rPr>
              <w:t>。</w:t>
            </w:r>
            <w:r>
              <w:rPr>
                <w:rFonts w:hint="eastAsia"/>
                <w:color w:val="auto"/>
                <w:kern w:val="0"/>
                <w:sz w:val="24"/>
                <w:szCs w:val="28"/>
                <w:lang w:val="en-US" w:eastAsia="zh-CN"/>
              </w:rPr>
              <w:t>本项目废水</w:t>
            </w:r>
            <w:r>
              <w:rPr>
                <w:rFonts w:hint="default"/>
                <w:color w:val="auto"/>
                <w:kern w:val="0"/>
                <w:sz w:val="24"/>
                <w:szCs w:val="28"/>
                <w:lang w:val="en-US" w:eastAsia="zh-CN"/>
              </w:rPr>
              <w:t>不会对周边地表水环境产生较大影响，是能够</w:t>
            </w:r>
            <w:r>
              <w:rPr>
                <w:rFonts w:hint="default" w:ascii="Times New Roman" w:hAnsi="Times New Roman" w:eastAsia="宋体" w:cs="Times New Roman"/>
                <w:smallCaps w:val="0"/>
                <w:color w:val="auto"/>
                <w:kern w:val="2"/>
                <w:sz w:val="24"/>
                <w:szCs w:val="24"/>
                <w:highlight w:val="none"/>
                <w:lang w:val="en-US" w:eastAsia="zh-CN" w:bidi="ar-SA"/>
              </w:rPr>
              <w:t>长期稳定运行的，具有较高的环境依托可行性</w:t>
            </w:r>
            <w:r>
              <w:rPr>
                <w:rFonts w:hint="eastAsia" w:ascii="Times New Roman" w:hAnsi="Times New Roman" w:eastAsia="宋体" w:cs="Times New Roman"/>
                <w:smallCaps w:val="0"/>
                <w:color w:val="auto"/>
                <w:kern w:val="2"/>
                <w:sz w:val="24"/>
                <w:szCs w:val="24"/>
                <w:highlight w:val="none"/>
                <w:lang w:val="en-US" w:eastAsia="zh-CN" w:bidi="ar-SA"/>
              </w:rPr>
              <w:t>。</w:t>
            </w:r>
          </w:p>
          <w:p w14:paraId="6F4D1672">
            <w:pPr>
              <w:pStyle w:val="27"/>
              <w:keepNext w:val="0"/>
              <w:keepLines w:val="0"/>
              <w:pageBreakBefore w:val="0"/>
              <w:suppressLineNumbers w:val="0"/>
              <w:wordWrap/>
              <w:bidi w:val="0"/>
              <w:spacing w:before="0" w:beforeAutospacing="0" w:after="0" w:afterAutospacing="0" w:line="360" w:lineRule="auto"/>
              <w:ind w:left="0" w:leftChars="0" w:right="0" w:firstLine="480"/>
              <w:rPr>
                <w:rFonts w:hint="eastAsia" w:ascii="Times New Roman" w:hAnsi="Times New Roman" w:eastAsia="宋体"/>
                <w:color w:val="auto"/>
                <w:szCs w:val="24"/>
                <w:highlight w:val="none"/>
                <w:lang w:val="en-US" w:eastAsia="zh-CN"/>
              </w:rPr>
            </w:pPr>
            <w:r>
              <w:rPr>
                <w:rFonts w:hint="eastAsia" w:ascii="Times New Roman" w:hAnsi="Times New Roman"/>
                <w:color w:val="auto"/>
                <w:szCs w:val="24"/>
                <w:highlight w:val="none"/>
                <w:lang w:val="en-US" w:eastAsia="zh-CN"/>
              </w:rPr>
              <w:t>3、</w:t>
            </w:r>
            <w:r>
              <w:rPr>
                <w:rFonts w:hint="eastAsia" w:ascii="Times New Roman" w:hAnsi="Times New Roman" w:eastAsia="宋体"/>
                <w:color w:val="auto"/>
                <w:szCs w:val="24"/>
                <w:highlight w:val="none"/>
                <w:lang w:val="en-US" w:eastAsia="zh-CN"/>
              </w:rPr>
              <w:t>监测计划</w:t>
            </w:r>
          </w:p>
          <w:p w14:paraId="39AF2DF7">
            <w:pPr>
              <w:pStyle w:val="27"/>
              <w:keepNext w:val="0"/>
              <w:keepLines w:val="0"/>
              <w:pageBreakBefore w:val="0"/>
              <w:suppressLineNumbers w:val="0"/>
              <w:wordWrap/>
              <w:bidi w:val="0"/>
              <w:spacing w:before="0" w:beforeAutospacing="0" w:after="0" w:afterAutospacing="0" w:line="360" w:lineRule="auto"/>
              <w:ind w:left="0" w:leftChars="0" w:right="0" w:firstLine="480"/>
              <w:rPr>
                <w:rFonts w:hint="eastAsia" w:ascii="Times New Roman" w:hAnsi="Times New Roman" w:eastAsia="宋体"/>
                <w:color w:val="auto"/>
                <w:szCs w:val="24"/>
                <w:highlight w:val="none"/>
                <w:lang w:val="en-US" w:eastAsia="zh-CN"/>
              </w:rPr>
            </w:pPr>
            <w:r>
              <w:rPr>
                <w:rFonts w:hint="eastAsia" w:ascii="Times New Roman" w:hAnsi="Times New Roman" w:eastAsia="宋体"/>
                <w:color w:val="auto"/>
                <w:szCs w:val="24"/>
                <w:highlight w:val="none"/>
                <w:lang w:val="en-US" w:eastAsia="zh-CN"/>
              </w:rPr>
              <w:t>根据</w:t>
            </w:r>
            <w:r>
              <w:rPr>
                <w:rFonts w:hint="default" w:ascii="Times New Roman" w:hAnsi="Times New Roman" w:cs="Times New Roman"/>
                <w:bCs/>
                <w:color w:val="auto"/>
                <w:kern w:val="0"/>
                <w:sz w:val="24"/>
              </w:rPr>
              <w:t>《排污单位自行监测技术指南 总则》（HJ819-2017）、</w:t>
            </w:r>
            <w:r>
              <w:rPr>
                <w:rFonts w:hint="default" w:ascii="Times New Roman" w:hAnsi="Times New Roman" w:cs="Times New Roman"/>
                <w:bCs/>
                <w:color w:val="auto"/>
                <w:spacing w:val="-10"/>
                <w:sz w:val="24"/>
              </w:rPr>
              <w:t>《排污单位自行监测技术指南 火力发电及锅炉》（HJ820-2017）</w:t>
            </w:r>
            <w:r>
              <w:rPr>
                <w:rFonts w:hint="eastAsia" w:ascii="Times New Roman" w:hAnsi="Times New Roman" w:eastAsia="宋体"/>
                <w:color w:val="auto"/>
                <w:szCs w:val="24"/>
                <w:highlight w:val="none"/>
                <w:lang w:val="en-US" w:eastAsia="zh-CN"/>
              </w:rPr>
              <w:t>，结合项目特点，环境监测应包括对废水例行监测。监测的实施可以根据实际情况由厂方自测或委托有资质的环境监测单位监测。</w:t>
            </w:r>
          </w:p>
          <w:p w14:paraId="453A874C">
            <w:pPr>
              <w:widowControl/>
              <w:adjustRightInd w:val="0"/>
              <w:snapToGrid w:val="0"/>
              <w:spacing w:before="120" w:beforeLines="50" w:line="240" w:lineRule="exact"/>
              <w:jc w:val="center"/>
              <w:rPr>
                <w:rFonts w:hint="default" w:ascii="Times New Roman" w:hAnsi="Times New Roman" w:eastAsia="宋体" w:cs="Times New Roman"/>
                <w:b/>
                <w:bCs/>
                <w:iCs/>
                <w:color w:val="auto"/>
                <w:kern w:val="0"/>
                <w:sz w:val="21"/>
                <w:szCs w:val="21"/>
                <w:highlight w:val="none"/>
                <w:lang w:val="en-US" w:eastAsia="zh-CN" w:bidi="ar-SA"/>
              </w:rPr>
            </w:pPr>
            <w:r>
              <w:rPr>
                <w:rFonts w:hint="default" w:ascii="Times New Roman" w:hAnsi="Times New Roman" w:eastAsia="宋体" w:cs="Times New Roman"/>
                <w:b/>
                <w:bCs/>
                <w:iCs/>
                <w:color w:val="auto"/>
                <w:kern w:val="0"/>
                <w:sz w:val="21"/>
                <w:szCs w:val="21"/>
                <w:highlight w:val="none"/>
                <w:lang w:val="en-US" w:eastAsia="zh-CN" w:bidi="ar-SA"/>
              </w:rPr>
              <w:t>表</w:t>
            </w:r>
            <w:r>
              <w:rPr>
                <w:rFonts w:hint="eastAsia" w:ascii="Times New Roman" w:hAnsi="Times New Roman" w:eastAsia="宋体" w:cs="Times New Roman"/>
                <w:b/>
                <w:bCs/>
                <w:iCs/>
                <w:color w:val="auto"/>
                <w:kern w:val="0"/>
                <w:sz w:val="21"/>
                <w:szCs w:val="21"/>
                <w:highlight w:val="none"/>
                <w:lang w:val="en-US" w:eastAsia="zh-CN" w:bidi="ar-SA"/>
              </w:rPr>
              <w:t>4-</w:t>
            </w:r>
            <w:r>
              <w:rPr>
                <w:rFonts w:hint="default" w:ascii="Times New Roman" w:hAnsi="Times New Roman" w:eastAsia="宋体" w:cs="Times New Roman"/>
                <w:b/>
                <w:bCs/>
                <w:iCs/>
                <w:color w:val="auto"/>
                <w:kern w:val="0"/>
                <w:sz w:val="21"/>
                <w:szCs w:val="21"/>
                <w:highlight w:val="none"/>
                <w:lang w:val="en-US" w:eastAsia="zh-CN" w:bidi="ar-SA"/>
              </w:rPr>
              <w:t>1</w:t>
            </w:r>
            <w:r>
              <w:rPr>
                <w:rFonts w:hint="eastAsia" w:cs="Times New Roman"/>
                <w:b/>
                <w:bCs/>
                <w:iCs/>
                <w:color w:val="auto"/>
                <w:kern w:val="0"/>
                <w:sz w:val="21"/>
                <w:szCs w:val="21"/>
                <w:highlight w:val="none"/>
                <w:lang w:val="en-US" w:eastAsia="zh-CN" w:bidi="ar-SA"/>
              </w:rPr>
              <w:t>2</w:t>
            </w:r>
            <w:r>
              <w:rPr>
                <w:rFonts w:hint="eastAsia" w:ascii="Times New Roman" w:hAnsi="Times New Roman" w:eastAsia="宋体" w:cs="Times New Roman"/>
                <w:b/>
                <w:bCs/>
                <w:iCs/>
                <w:color w:val="auto"/>
                <w:kern w:val="0"/>
                <w:sz w:val="21"/>
                <w:szCs w:val="21"/>
                <w:highlight w:val="none"/>
                <w:lang w:val="en-US" w:eastAsia="zh-CN" w:bidi="ar-SA"/>
              </w:rPr>
              <w:t xml:space="preserve">  </w:t>
            </w:r>
            <w:r>
              <w:rPr>
                <w:rFonts w:hint="default" w:ascii="Times New Roman" w:hAnsi="Times New Roman" w:eastAsia="宋体" w:cs="Times New Roman"/>
                <w:b/>
                <w:bCs/>
                <w:iCs/>
                <w:color w:val="auto"/>
                <w:kern w:val="0"/>
                <w:sz w:val="21"/>
                <w:szCs w:val="21"/>
                <w:highlight w:val="none"/>
                <w:lang w:val="en-US" w:eastAsia="zh-CN" w:bidi="ar-SA"/>
              </w:rPr>
              <w:t>项目</w:t>
            </w:r>
            <w:r>
              <w:rPr>
                <w:rFonts w:hint="eastAsia" w:ascii="Times New Roman" w:hAnsi="Times New Roman" w:eastAsia="宋体" w:cs="Times New Roman"/>
                <w:b/>
                <w:bCs/>
                <w:iCs/>
                <w:color w:val="auto"/>
                <w:kern w:val="0"/>
                <w:sz w:val="21"/>
                <w:szCs w:val="21"/>
                <w:highlight w:val="none"/>
                <w:lang w:val="en-US" w:eastAsia="zh-CN" w:bidi="ar-SA"/>
              </w:rPr>
              <w:t>废水</w:t>
            </w:r>
            <w:r>
              <w:rPr>
                <w:rFonts w:hint="default" w:ascii="Times New Roman" w:hAnsi="Times New Roman" w:eastAsia="宋体" w:cs="Times New Roman"/>
                <w:b/>
                <w:bCs/>
                <w:iCs/>
                <w:color w:val="auto"/>
                <w:kern w:val="0"/>
                <w:sz w:val="21"/>
                <w:szCs w:val="21"/>
                <w:highlight w:val="none"/>
                <w:lang w:val="en-US" w:eastAsia="zh-CN" w:bidi="ar-SA"/>
              </w:rPr>
              <w:t>监测方案</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Layout w:type="fixed"/>
              <w:tblCellMar>
                <w:top w:w="0" w:type="dxa"/>
                <w:left w:w="108" w:type="dxa"/>
                <w:bottom w:w="0" w:type="dxa"/>
                <w:right w:w="108" w:type="dxa"/>
              </w:tblCellMar>
            </w:tblPr>
            <w:tblGrid>
              <w:gridCol w:w="1782"/>
              <w:gridCol w:w="1830"/>
              <w:gridCol w:w="1170"/>
              <w:gridCol w:w="3389"/>
            </w:tblGrid>
            <w:tr w14:paraId="672E989A">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PrEx>
              <w:trPr>
                <w:trHeight w:val="340" w:hRule="atLeast"/>
                <w:jc w:val="center"/>
              </w:trPr>
              <w:tc>
                <w:tcPr>
                  <w:tcW w:w="1090" w:type="pct"/>
                  <w:vAlign w:val="center"/>
                </w:tcPr>
                <w:p w14:paraId="1019075A">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监测点位</w:t>
                  </w:r>
                </w:p>
              </w:tc>
              <w:tc>
                <w:tcPr>
                  <w:tcW w:w="1119" w:type="pct"/>
                  <w:vAlign w:val="center"/>
                </w:tcPr>
                <w:p w14:paraId="078BF2E9">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监测指标</w:t>
                  </w:r>
                </w:p>
              </w:tc>
              <w:tc>
                <w:tcPr>
                  <w:tcW w:w="715" w:type="pct"/>
                  <w:vAlign w:val="center"/>
                </w:tcPr>
                <w:p w14:paraId="2A099647">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监测频次</w:t>
                  </w:r>
                </w:p>
              </w:tc>
              <w:tc>
                <w:tcPr>
                  <w:tcW w:w="2073" w:type="pct"/>
                  <w:vAlign w:val="center"/>
                </w:tcPr>
                <w:p w14:paraId="0FCEFE29">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执行排放标准</w:t>
                  </w:r>
                </w:p>
              </w:tc>
            </w:tr>
            <w:tr w14:paraId="0F4D17E3">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340" w:hRule="atLeast"/>
                <w:jc w:val="center"/>
              </w:trPr>
              <w:tc>
                <w:tcPr>
                  <w:tcW w:w="1090" w:type="pct"/>
                  <w:vAlign w:val="center"/>
                </w:tcPr>
                <w:p w14:paraId="307C0C3D">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企业污水</w:t>
                  </w:r>
                  <w:r>
                    <w:rPr>
                      <w:rFonts w:hint="eastAsia" w:cs="Times New Roman"/>
                      <w:color w:val="auto"/>
                      <w:sz w:val="21"/>
                      <w:szCs w:val="21"/>
                      <w:highlight w:val="none"/>
                      <w:lang w:val="en-US" w:eastAsia="zh-CN"/>
                    </w:rPr>
                    <w:t>总</w:t>
                  </w:r>
                  <w:r>
                    <w:rPr>
                      <w:rFonts w:hint="eastAsia" w:ascii="Times New Roman" w:hAnsi="Times New Roman" w:eastAsia="宋体" w:cs="Times New Roman"/>
                      <w:color w:val="auto"/>
                      <w:sz w:val="21"/>
                      <w:szCs w:val="21"/>
                      <w:highlight w:val="none"/>
                    </w:rPr>
                    <w:t>排口</w:t>
                  </w:r>
                </w:p>
              </w:tc>
              <w:tc>
                <w:tcPr>
                  <w:tcW w:w="1119" w:type="pct"/>
                  <w:vAlign w:val="center"/>
                </w:tcPr>
                <w:p w14:paraId="29528A96">
                  <w:pPr>
                    <w:contextualSpacing/>
                    <w:jc w:val="center"/>
                    <w:rPr>
                      <w:rFonts w:hint="default" w:ascii="Times New Roman" w:hAnsi="Times New Roman" w:eastAsia="宋体" w:cs="Times New Roman"/>
                      <w:color w:val="auto"/>
                      <w:sz w:val="21"/>
                      <w:szCs w:val="21"/>
                      <w:highlight w:val="none"/>
                      <w:lang w:val="en-US" w:eastAsia="zh-CN"/>
                    </w:rPr>
                  </w:pPr>
                  <w:r>
                    <w:rPr>
                      <w:rFonts w:hint="eastAsia"/>
                      <w:color w:val="auto"/>
                      <w:szCs w:val="21"/>
                    </w:rPr>
                    <w:t>pH、</w:t>
                  </w:r>
                  <w:r>
                    <w:rPr>
                      <w:color w:val="auto"/>
                      <w:spacing w:val="-10"/>
                      <w:szCs w:val="21"/>
                    </w:rPr>
                    <w:t>COD</w:t>
                  </w:r>
                  <w:r>
                    <w:rPr>
                      <w:color w:val="auto"/>
                      <w:szCs w:val="21"/>
                    </w:rPr>
                    <w:t>、</w:t>
                  </w:r>
                  <w:r>
                    <w:rPr>
                      <w:color w:val="auto"/>
                      <w:spacing w:val="-10"/>
                      <w:szCs w:val="21"/>
                    </w:rPr>
                    <w:t>BOD</w:t>
                  </w:r>
                  <w:r>
                    <w:rPr>
                      <w:color w:val="auto"/>
                      <w:spacing w:val="-10"/>
                      <w:szCs w:val="21"/>
                      <w:vertAlign w:val="subscript"/>
                    </w:rPr>
                    <w:t>5</w:t>
                  </w:r>
                  <w:r>
                    <w:rPr>
                      <w:color w:val="auto"/>
                      <w:szCs w:val="21"/>
                    </w:rPr>
                    <w:t>、</w:t>
                  </w:r>
                  <w:r>
                    <w:rPr>
                      <w:color w:val="auto"/>
                      <w:spacing w:val="-10"/>
                      <w:szCs w:val="21"/>
                    </w:rPr>
                    <w:t>SS</w:t>
                  </w:r>
                  <w:r>
                    <w:rPr>
                      <w:color w:val="auto"/>
                      <w:szCs w:val="21"/>
                    </w:rPr>
                    <w:t>、氨氮</w:t>
                  </w:r>
                </w:p>
              </w:tc>
              <w:tc>
                <w:tcPr>
                  <w:tcW w:w="715" w:type="pct"/>
                  <w:vAlign w:val="center"/>
                </w:tcPr>
                <w:p w14:paraId="0EBF139E">
                  <w:pPr>
                    <w:contextualSpacing/>
                    <w:jc w:val="center"/>
                    <w:rPr>
                      <w:rFonts w:hint="default" w:ascii="Times New Roman" w:hAnsi="Times New Roman" w:eastAsia="宋体" w:cs="Times New Roman"/>
                      <w:color w:val="auto"/>
                      <w:sz w:val="21"/>
                      <w:szCs w:val="21"/>
                      <w:highlight w:val="none"/>
                    </w:rPr>
                  </w:pPr>
                  <w:r>
                    <w:rPr>
                      <w:color w:val="auto"/>
                      <w:szCs w:val="21"/>
                    </w:rPr>
                    <w:t>1次/半年</w:t>
                  </w:r>
                </w:p>
              </w:tc>
              <w:tc>
                <w:tcPr>
                  <w:tcW w:w="2073" w:type="pct"/>
                  <w:vAlign w:val="center"/>
                </w:tcPr>
                <w:p w14:paraId="3D402361">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《污水综合排放标准》（GB8978-1996）中表</w:t>
                  </w:r>
                  <w:r>
                    <w:rPr>
                      <w:rFonts w:hint="eastAsia" w:ascii="Times New Roman" w:hAnsi="Times New Roman" w:eastAsia="宋体" w:cs="Times New Roman"/>
                      <w:color w:val="auto"/>
                      <w:sz w:val="21"/>
                      <w:szCs w:val="21"/>
                      <w:highlight w:val="none"/>
                      <w:lang w:val="en-US" w:eastAsia="zh-CN"/>
                    </w:rPr>
                    <w:t>4三级排放标准</w:t>
                  </w:r>
                </w:p>
              </w:tc>
            </w:tr>
          </w:tbl>
          <w:p w14:paraId="5495F756">
            <w:pPr>
              <w:pStyle w:val="27"/>
              <w:keepNext w:val="0"/>
              <w:keepLines w:val="0"/>
              <w:pageBreakBefore w:val="0"/>
              <w:suppressLineNumbers w:val="0"/>
              <w:wordWrap/>
              <w:bidi w:val="0"/>
              <w:spacing w:before="0" w:beforeAutospacing="0" w:after="0" w:afterAutospacing="0" w:line="360" w:lineRule="auto"/>
              <w:ind w:left="0" w:leftChars="0" w:right="0" w:firstLine="480"/>
              <w:rPr>
                <w:rFonts w:hint="eastAsia" w:ascii="Times New Roman" w:hAnsi="Times New Roman" w:eastAsia="宋体"/>
                <w:color w:val="auto"/>
                <w:szCs w:val="24"/>
                <w:highlight w:val="none"/>
                <w:lang w:val="en-US" w:eastAsia="zh-CN"/>
              </w:rPr>
            </w:pPr>
            <w:r>
              <w:rPr>
                <w:rFonts w:hint="eastAsia" w:ascii="Times New Roman" w:hAnsi="Times New Roman"/>
                <w:color w:val="auto"/>
                <w:szCs w:val="24"/>
                <w:highlight w:val="none"/>
                <w:lang w:val="en-US" w:eastAsia="zh-CN"/>
              </w:rPr>
              <w:t>4、</w:t>
            </w:r>
            <w:r>
              <w:rPr>
                <w:rFonts w:hint="eastAsia" w:ascii="Times New Roman" w:hAnsi="Times New Roman" w:eastAsia="宋体"/>
                <w:color w:val="auto"/>
                <w:szCs w:val="24"/>
                <w:highlight w:val="none"/>
                <w:lang w:val="en-US" w:eastAsia="zh-CN"/>
              </w:rPr>
              <w:t>依托污水处理设施的环境可行性分析</w:t>
            </w:r>
          </w:p>
          <w:p w14:paraId="616198AB">
            <w:pPr>
              <w:adjustRightInd w:val="0"/>
              <w:snapToGrid w:val="0"/>
              <w:spacing w:line="360" w:lineRule="auto"/>
              <w:ind w:firstLine="480" w:firstLineChars="200"/>
              <w:rPr>
                <w:rFonts w:hint="eastAsia"/>
                <w:color w:val="auto"/>
                <w:kern w:val="0"/>
                <w:sz w:val="24"/>
                <w:lang w:val="en-US" w:eastAsia="zh-CN"/>
              </w:rPr>
            </w:pPr>
            <w:r>
              <w:rPr>
                <w:rFonts w:hint="eastAsia"/>
                <w:color w:val="auto"/>
                <w:kern w:val="0"/>
                <w:sz w:val="24"/>
                <w:lang w:val="en-US" w:eastAsia="zh-CN"/>
              </w:rPr>
              <w:t>本项目厂区综合废水</w:t>
            </w:r>
            <w:r>
              <w:rPr>
                <w:rFonts w:hint="eastAsia"/>
                <w:color w:val="auto"/>
                <w:sz w:val="24"/>
                <w:lang w:val="en-US" w:eastAsia="zh-CN"/>
              </w:rPr>
              <w:t>排入市政管网，经</w:t>
            </w:r>
            <w:r>
              <w:rPr>
                <w:rFonts w:hint="eastAsia" w:ascii="Times New Roman" w:hAnsi="Times New Roman" w:eastAsia="宋体" w:cs="Times New Roman"/>
                <w:color w:val="auto"/>
                <w:sz w:val="24"/>
                <w:lang w:val="en-US" w:eastAsia="zh-CN"/>
              </w:rPr>
              <w:t>双鸭山市污水处理厂处</w:t>
            </w:r>
            <w:r>
              <w:rPr>
                <w:rFonts w:hint="eastAsia"/>
                <w:color w:val="auto"/>
                <w:sz w:val="24"/>
                <w:lang w:val="en-US" w:eastAsia="zh-CN"/>
              </w:rPr>
              <w:t>理达标后排放。</w:t>
            </w:r>
            <w:r>
              <w:rPr>
                <w:rFonts w:hint="eastAsia" w:ascii="Times New Roman" w:hAnsi="Times New Roman" w:eastAsia="宋体" w:cs="Times New Roman"/>
                <w:color w:val="auto"/>
                <w:kern w:val="0"/>
                <w:sz w:val="24"/>
                <w:lang w:val="en-US" w:eastAsia="zh-CN"/>
              </w:rPr>
              <w:t>双鸭山市污水处理厂</w:t>
            </w:r>
            <w:r>
              <w:rPr>
                <w:rFonts w:hint="eastAsia"/>
                <w:color w:val="auto"/>
                <w:kern w:val="0"/>
                <w:sz w:val="24"/>
                <w:lang w:val="en-US" w:eastAsia="zh-CN"/>
              </w:rPr>
              <w:t>设计处理规模10万m</w:t>
            </w:r>
            <w:r>
              <w:rPr>
                <w:rFonts w:hint="eastAsia"/>
                <w:color w:val="auto"/>
                <w:kern w:val="0"/>
                <w:sz w:val="24"/>
                <w:vertAlign w:val="superscript"/>
                <w:lang w:val="en-US" w:eastAsia="zh-CN"/>
              </w:rPr>
              <w:t>3</w:t>
            </w:r>
            <w:r>
              <w:rPr>
                <w:rFonts w:hint="eastAsia"/>
                <w:color w:val="auto"/>
                <w:kern w:val="0"/>
                <w:sz w:val="24"/>
                <w:lang w:val="en-US" w:eastAsia="zh-CN"/>
              </w:rPr>
              <w:t>/d，采用污水处理工艺为：A</w:t>
            </w:r>
            <w:r>
              <w:rPr>
                <w:rFonts w:hint="eastAsia"/>
                <w:color w:val="auto"/>
                <w:kern w:val="0"/>
                <w:sz w:val="24"/>
                <w:vertAlign w:val="superscript"/>
                <w:lang w:val="en-US" w:eastAsia="zh-CN"/>
              </w:rPr>
              <w:t>2</w:t>
            </w:r>
            <w:r>
              <w:rPr>
                <w:rFonts w:hint="eastAsia"/>
                <w:color w:val="auto"/>
                <w:kern w:val="0"/>
                <w:sz w:val="24"/>
                <w:lang w:val="en-US" w:eastAsia="zh-CN"/>
              </w:rPr>
              <w:t>/O工艺，入厂废水经处理达到一级A标准后排入</w:t>
            </w:r>
            <w:r>
              <w:rPr>
                <w:rFonts w:hint="eastAsia"/>
                <w:color w:val="auto"/>
                <w:kern w:val="0"/>
                <w:sz w:val="24"/>
                <w:szCs w:val="28"/>
                <w:lang w:val="en-US" w:eastAsia="zh-CN"/>
              </w:rPr>
              <w:t>安邦河</w:t>
            </w:r>
            <w:r>
              <w:rPr>
                <w:rFonts w:hint="eastAsia"/>
                <w:color w:val="auto"/>
                <w:kern w:val="0"/>
                <w:sz w:val="24"/>
                <w:lang w:val="en-US" w:eastAsia="zh-CN"/>
              </w:rPr>
              <w:t>；本项目新增废水量为</w:t>
            </w:r>
            <w:r>
              <w:rPr>
                <w:rFonts w:hint="eastAsia" w:cs="Times New Roman"/>
                <w:color w:val="auto"/>
                <w:sz w:val="24"/>
                <w:lang w:val="en-US" w:eastAsia="zh-CN"/>
              </w:rPr>
              <w:t>105.813t</w:t>
            </w:r>
            <w:r>
              <w:rPr>
                <w:rFonts w:hint="eastAsia"/>
                <w:color w:val="auto"/>
                <w:sz w:val="24"/>
              </w:rPr>
              <w:t>/</w:t>
            </w:r>
            <w:r>
              <w:rPr>
                <w:rFonts w:hint="eastAsia"/>
                <w:color w:val="auto"/>
                <w:sz w:val="24"/>
                <w:lang w:val="en-US" w:eastAsia="zh-CN"/>
              </w:rPr>
              <w:t>d</w:t>
            </w:r>
            <w:r>
              <w:rPr>
                <w:rFonts w:hint="eastAsia"/>
                <w:color w:val="auto"/>
                <w:kern w:val="0"/>
                <w:sz w:val="24"/>
                <w:lang w:val="en-US" w:eastAsia="zh-CN"/>
              </w:rPr>
              <w:t>，负荷量很小，水质不复杂，本项目排水水质符合</w:t>
            </w:r>
            <w:r>
              <w:rPr>
                <w:rFonts w:hint="eastAsia" w:ascii="Times New Roman" w:hAnsi="Times New Roman" w:eastAsia="宋体" w:cs="Times New Roman"/>
                <w:color w:val="auto"/>
                <w:kern w:val="0"/>
                <w:sz w:val="24"/>
                <w:lang w:val="en-US" w:eastAsia="zh-CN"/>
              </w:rPr>
              <w:t>双鸭山市污水处理厂</w:t>
            </w:r>
            <w:r>
              <w:rPr>
                <w:rFonts w:hint="eastAsia"/>
                <w:color w:val="auto"/>
                <w:kern w:val="0"/>
                <w:sz w:val="24"/>
                <w:lang w:val="en-US" w:eastAsia="zh-CN"/>
              </w:rPr>
              <w:t>进水水质要求。因此，本项目废水进入</w:t>
            </w:r>
            <w:r>
              <w:rPr>
                <w:rFonts w:hint="eastAsia" w:ascii="Times New Roman" w:hAnsi="Times New Roman" w:eastAsia="宋体" w:cs="Times New Roman"/>
                <w:color w:val="auto"/>
                <w:kern w:val="0"/>
                <w:sz w:val="24"/>
                <w:lang w:val="en-US" w:eastAsia="zh-CN"/>
              </w:rPr>
              <w:t>双鸭山市污水处理厂</w:t>
            </w:r>
            <w:r>
              <w:rPr>
                <w:rFonts w:hint="eastAsia"/>
                <w:color w:val="auto"/>
                <w:kern w:val="0"/>
                <w:sz w:val="24"/>
                <w:lang w:val="en-US" w:eastAsia="zh-CN"/>
              </w:rPr>
              <w:t>处理是可行的。</w:t>
            </w:r>
          </w:p>
          <w:p w14:paraId="414C52A4">
            <w:pPr>
              <w:pStyle w:val="27"/>
              <w:keepNext w:val="0"/>
              <w:keepLines w:val="0"/>
              <w:pageBreakBefore w:val="0"/>
              <w:suppressLineNumbers w:val="0"/>
              <w:wordWrap/>
              <w:bidi w:val="0"/>
              <w:spacing w:before="0" w:beforeAutospacing="0" w:after="0" w:afterAutospacing="0" w:line="360" w:lineRule="auto"/>
              <w:ind w:left="0" w:leftChars="0" w:right="0" w:firstLine="480"/>
              <w:rPr>
                <w:rFonts w:hint="eastAsia"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（1）废水水量接管可行性分析</w:t>
            </w:r>
          </w:p>
          <w:p w14:paraId="4BC47146">
            <w:pPr>
              <w:pStyle w:val="27"/>
              <w:keepNext w:val="0"/>
              <w:keepLines w:val="0"/>
              <w:pageBreakBefore w:val="0"/>
              <w:suppressLineNumbers w:val="0"/>
              <w:wordWrap/>
              <w:bidi w:val="0"/>
              <w:spacing w:before="0" w:beforeAutospacing="0" w:after="0" w:afterAutospacing="0" w:line="360" w:lineRule="auto"/>
              <w:ind w:left="0" w:leftChars="0" w:right="0" w:firstLine="480"/>
              <w:rPr>
                <w:rFonts w:hint="eastAsia"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建设项目</w:t>
            </w:r>
            <w:r>
              <w:rPr>
                <w:rFonts w:hint="eastAsia" w:ascii="Times New Roman" w:hAnsi="Times New Roman" w:cs="Times New Roman"/>
                <w:color w:val="auto"/>
                <w:szCs w:val="24"/>
                <w:highlight w:val="none"/>
                <w:lang w:val="en-US" w:eastAsia="zh-CN"/>
              </w:rPr>
              <w:t>综合</w:t>
            </w:r>
            <w:r>
              <w:rPr>
                <w:rFonts w:hint="eastAsia" w:ascii="Times New Roman" w:hAnsi="Times New Roman" w:eastAsia="宋体" w:cs="Times New Roman"/>
                <w:color w:val="auto"/>
                <w:szCs w:val="24"/>
                <w:highlight w:val="none"/>
                <w:lang w:val="en-US" w:eastAsia="zh-CN"/>
              </w:rPr>
              <w:t>废水各污染物均可达到《污水综合排放标准》（GB8978-1996）中表4三级排放标准</w:t>
            </w:r>
            <w:r>
              <w:rPr>
                <w:rFonts w:hint="eastAsia"/>
                <w:color w:val="auto"/>
                <w:kern w:val="0"/>
                <w:sz w:val="24"/>
                <w:szCs w:val="28"/>
                <w:lang w:val="en-US" w:eastAsia="zh-CN"/>
              </w:rPr>
              <w:t>及双鸭山市污水处理厂进水指标</w:t>
            </w:r>
            <w:r>
              <w:rPr>
                <w:rFonts w:hint="eastAsia" w:ascii="Times New Roman" w:hAnsi="Times New Roman" w:eastAsia="宋体" w:cs="Times New Roman"/>
                <w:color w:val="auto"/>
                <w:szCs w:val="24"/>
                <w:highlight w:val="none"/>
                <w:lang w:val="en-US" w:eastAsia="zh-CN"/>
              </w:rPr>
              <w:t>，废水的接管总量为3174.393t/a，105.813t/d。双</w:t>
            </w:r>
            <w:r>
              <w:rPr>
                <w:rFonts w:hint="eastAsia" w:ascii="Times New Roman" w:hAnsi="Times New Roman" w:eastAsia="宋体" w:cs="Times New Roman"/>
                <w:color w:val="auto"/>
                <w:kern w:val="0"/>
                <w:sz w:val="24"/>
                <w:lang w:val="en-US" w:eastAsia="zh-CN"/>
              </w:rPr>
              <w:t>鸭山市污水处理厂</w:t>
            </w:r>
            <w:r>
              <w:rPr>
                <w:rFonts w:hint="eastAsia" w:ascii="Times New Roman" w:hAnsi="Times New Roman" w:eastAsia="宋体" w:cs="Times New Roman"/>
                <w:color w:val="auto"/>
                <w:szCs w:val="24"/>
                <w:highlight w:val="none"/>
                <w:lang w:val="en-US" w:eastAsia="zh-CN"/>
              </w:rPr>
              <w:t>设计处理能力10万m</w:t>
            </w:r>
            <w:r>
              <w:rPr>
                <w:rFonts w:hint="eastAsia" w:ascii="Times New Roman" w:hAnsi="Times New Roman" w:eastAsia="宋体" w:cs="Times New Roman"/>
                <w:color w:val="auto"/>
                <w:szCs w:val="24"/>
                <w:highlight w:val="none"/>
                <w:vertAlign w:val="superscript"/>
                <w:lang w:val="en-US" w:eastAsia="zh-CN"/>
              </w:rPr>
              <w:t>3</w:t>
            </w:r>
            <w:r>
              <w:rPr>
                <w:rFonts w:hint="eastAsia" w:ascii="Times New Roman" w:hAnsi="Times New Roman" w:eastAsia="宋体" w:cs="Times New Roman"/>
                <w:color w:val="auto"/>
                <w:szCs w:val="24"/>
                <w:highlight w:val="none"/>
                <w:lang w:val="en-US" w:eastAsia="zh-CN"/>
              </w:rPr>
              <w:t>/d，有足够余量满足建设项目废水量。</w:t>
            </w:r>
          </w:p>
          <w:p w14:paraId="625898BA">
            <w:pPr>
              <w:pStyle w:val="27"/>
              <w:keepNext w:val="0"/>
              <w:keepLines w:val="0"/>
              <w:pageBreakBefore w:val="0"/>
              <w:suppressLineNumbers w:val="0"/>
              <w:wordWrap/>
              <w:bidi w:val="0"/>
              <w:spacing w:before="0" w:beforeAutospacing="0" w:after="0" w:afterAutospacing="0" w:line="360" w:lineRule="auto"/>
              <w:ind w:left="0" w:leftChars="0" w:right="0" w:firstLine="480"/>
              <w:rPr>
                <w:rFonts w:hint="eastAsia"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（2）废水污染物水质接管可行性分析</w:t>
            </w:r>
          </w:p>
          <w:p w14:paraId="20CCC577">
            <w:pPr>
              <w:pStyle w:val="27"/>
              <w:keepNext w:val="0"/>
              <w:keepLines w:val="0"/>
              <w:pageBreakBefore w:val="0"/>
              <w:suppressLineNumbers w:val="0"/>
              <w:wordWrap/>
              <w:bidi w:val="0"/>
              <w:spacing w:before="0" w:beforeAutospacing="0" w:after="0" w:afterAutospacing="0" w:line="360" w:lineRule="auto"/>
              <w:ind w:left="0" w:leftChars="0" w:right="0" w:firstLine="480"/>
              <w:rPr>
                <w:rFonts w:hint="eastAsia"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建设项目废水</w:t>
            </w:r>
            <w:r>
              <w:rPr>
                <w:rFonts w:hint="eastAsia" w:ascii="Times New Roman" w:hAnsi="Times New Roman" w:cs="Times New Roman"/>
                <w:color w:val="auto"/>
                <w:szCs w:val="24"/>
                <w:highlight w:val="none"/>
                <w:lang w:val="en-US" w:eastAsia="zh-CN"/>
              </w:rPr>
              <w:t>排放</w:t>
            </w:r>
            <w:r>
              <w:rPr>
                <w:rFonts w:hint="eastAsia" w:ascii="Times New Roman" w:hAnsi="Times New Roman" w:eastAsia="宋体" w:cs="Times New Roman"/>
                <w:color w:val="auto"/>
                <w:szCs w:val="24"/>
                <w:highlight w:val="none"/>
                <w:lang w:val="en-US" w:eastAsia="zh-CN"/>
              </w:rPr>
              <w:t>满足《污水综合排放标准》（GB8978-1996）中表4三级排放标准</w:t>
            </w:r>
            <w:r>
              <w:rPr>
                <w:rFonts w:hint="eastAsia"/>
                <w:color w:val="auto"/>
                <w:kern w:val="0"/>
                <w:sz w:val="24"/>
                <w:szCs w:val="28"/>
                <w:lang w:val="en-US" w:eastAsia="zh-CN"/>
              </w:rPr>
              <w:t>及双鸭山市污水处理厂进水指标</w:t>
            </w:r>
            <w:r>
              <w:rPr>
                <w:rFonts w:hint="eastAsia" w:ascii="Times New Roman" w:hAnsi="Times New Roman" w:eastAsia="宋体" w:cs="Times New Roman"/>
                <w:color w:val="auto"/>
                <w:szCs w:val="24"/>
                <w:highlight w:val="none"/>
                <w:lang w:val="en-US" w:eastAsia="zh-CN"/>
              </w:rPr>
              <w:t>，不会对污水处理厂的正常运行造成冲击。</w:t>
            </w:r>
          </w:p>
          <w:p w14:paraId="5895BA0D">
            <w:pPr>
              <w:pStyle w:val="27"/>
              <w:keepNext w:val="0"/>
              <w:keepLines w:val="0"/>
              <w:pageBreakBefore w:val="0"/>
              <w:suppressLineNumbers w:val="0"/>
              <w:wordWrap/>
              <w:bidi w:val="0"/>
              <w:spacing w:before="0" w:beforeAutospacing="0" w:after="0" w:afterAutospacing="0" w:line="360" w:lineRule="auto"/>
              <w:ind w:left="0" w:leftChars="0" w:right="0" w:firstLine="480"/>
              <w:rPr>
                <w:rFonts w:hint="eastAsia"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综上所述，本项目</w:t>
            </w:r>
            <w:r>
              <w:rPr>
                <w:rFonts w:hint="eastAsia" w:ascii="Times New Roman" w:hAnsi="Times New Roman" w:cs="Times New Roman"/>
                <w:color w:val="auto"/>
                <w:szCs w:val="24"/>
                <w:highlight w:val="none"/>
                <w:lang w:val="en-US" w:eastAsia="zh-CN"/>
              </w:rPr>
              <w:t>厂区综合</w:t>
            </w:r>
            <w:r>
              <w:rPr>
                <w:rFonts w:hint="eastAsia" w:ascii="Times New Roman" w:hAnsi="Times New Roman" w:eastAsia="宋体" w:cs="Times New Roman"/>
                <w:color w:val="auto"/>
                <w:szCs w:val="24"/>
                <w:highlight w:val="none"/>
                <w:lang w:val="en-US" w:eastAsia="zh-CN"/>
              </w:rPr>
              <w:t>废水</w:t>
            </w:r>
            <w:r>
              <w:rPr>
                <w:rFonts w:hint="eastAsia"/>
                <w:color w:val="auto"/>
                <w:sz w:val="24"/>
                <w:lang w:val="en-US" w:eastAsia="zh-CN"/>
              </w:rPr>
              <w:t>排入市政管网，废水污染物排放</w:t>
            </w:r>
            <w:r>
              <w:rPr>
                <w:rFonts w:hint="eastAsia" w:ascii="Times New Roman" w:hAnsi="Times New Roman" w:eastAsia="宋体" w:cs="Times New Roman"/>
                <w:color w:val="auto"/>
                <w:szCs w:val="24"/>
                <w:highlight w:val="none"/>
                <w:lang w:val="en-US" w:eastAsia="zh-CN"/>
              </w:rPr>
              <w:t>满足《污水综合排放标准》（GB8978-1996）中表4三级排放标准</w:t>
            </w:r>
            <w:r>
              <w:rPr>
                <w:rFonts w:hint="eastAsia"/>
                <w:color w:val="auto"/>
                <w:kern w:val="0"/>
                <w:sz w:val="24"/>
                <w:szCs w:val="28"/>
                <w:lang w:val="en-US" w:eastAsia="zh-CN"/>
              </w:rPr>
              <w:t>及双鸭山市污水处理厂进水指标</w:t>
            </w:r>
            <w:r>
              <w:rPr>
                <w:rFonts w:hint="eastAsia" w:ascii="Times New Roman" w:hAnsi="Times New Roman" w:eastAsia="宋体" w:cs="Times New Roman"/>
                <w:color w:val="auto"/>
                <w:szCs w:val="24"/>
                <w:highlight w:val="none"/>
                <w:lang w:val="en-US" w:eastAsia="zh-CN"/>
              </w:rPr>
              <w:t>，</w:t>
            </w:r>
            <w:r>
              <w:rPr>
                <w:rFonts w:hint="eastAsia"/>
                <w:color w:val="auto"/>
                <w:sz w:val="24"/>
                <w:lang w:val="en-US" w:eastAsia="zh-CN"/>
              </w:rPr>
              <w:t>经</w:t>
            </w:r>
            <w:r>
              <w:rPr>
                <w:rFonts w:hint="eastAsia" w:ascii="Times New Roman" w:hAnsi="Times New Roman" w:eastAsia="宋体" w:cs="Times New Roman"/>
                <w:color w:val="auto"/>
                <w:sz w:val="24"/>
                <w:lang w:val="en-US" w:eastAsia="zh-CN"/>
              </w:rPr>
              <w:t>双鸭山市污水处理厂处</w:t>
            </w:r>
            <w:r>
              <w:rPr>
                <w:rFonts w:hint="eastAsia"/>
                <w:color w:val="auto"/>
                <w:sz w:val="24"/>
                <w:lang w:val="en-US" w:eastAsia="zh-CN"/>
              </w:rPr>
              <w:t>理达标后排放。</w:t>
            </w:r>
            <w:r>
              <w:rPr>
                <w:rFonts w:hint="eastAsia" w:ascii="Times New Roman" w:hAnsi="Times New Roman" w:eastAsia="宋体" w:cs="Times New Roman"/>
                <w:color w:val="auto"/>
                <w:szCs w:val="24"/>
                <w:highlight w:val="none"/>
                <w:lang w:val="en-US" w:eastAsia="zh-CN"/>
              </w:rPr>
              <w:t>所依托</w:t>
            </w:r>
            <w:r>
              <w:rPr>
                <w:rFonts w:hint="eastAsia" w:ascii="Times New Roman" w:hAnsi="Times New Roman" w:eastAsia="宋体" w:cs="Times New Roman"/>
                <w:color w:val="auto"/>
                <w:kern w:val="0"/>
                <w:sz w:val="24"/>
                <w:lang w:val="en-US" w:eastAsia="zh-CN"/>
              </w:rPr>
              <w:t>双鸭山市污水处理厂</w:t>
            </w:r>
            <w:r>
              <w:rPr>
                <w:rFonts w:hint="eastAsia" w:ascii="Times New Roman" w:hAnsi="Times New Roman" w:eastAsia="宋体" w:cs="Times New Roman"/>
                <w:color w:val="auto"/>
                <w:szCs w:val="24"/>
                <w:highlight w:val="none"/>
                <w:lang w:val="en-US" w:eastAsia="zh-CN"/>
              </w:rPr>
              <w:t>有足够的处理余量收纳本项目废水，采用污水处理工艺为：A</w:t>
            </w:r>
            <w:r>
              <w:rPr>
                <w:rFonts w:hint="eastAsia" w:ascii="Times New Roman" w:hAnsi="Times New Roman" w:eastAsia="宋体" w:cs="Times New Roman"/>
                <w:color w:val="auto"/>
                <w:szCs w:val="24"/>
                <w:highlight w:val="none"/>
                <w:vertAlign w:val="superscript"/>
                <w:lang w:val="en-US" w:eastAsia="zh-CN"/>
              </w:rPr>
              <w:t>2</w:t>
            </w:r>
            <w:r>
              <w:rPr>
                <w:rFonts w:hint="eastAsia" w:ascii="Times New Roman" w:hAnsi="Times New Roman" w:eastAsia="宋体" w:cs="Times New Roman"/>
                <w:color w:val="auto"/>
                <w:szCs w:val="24"/>
                <w:highlight w:val="none"/>
                <w:lang w:val="en-US" w:eastAsia="zh-CN"/>
              </w:rPr>
              <w:t>/O工艺，能够处理建设项目废水，处理后出水满足《城镇污水处理厂污染物排放标准》(GB18918-2002)一级A标准，具有环境可行性。</w:t>
            </w:r>
          </w:p>
          <w:p w14:paraId="20E63FFE">
            <w:pPr>
              <w:pStyle w:val="27"/>
              <w:keepNext w:val="0"/>
              <w:keepLines w:val="0"/>
              <w:pageBreakBefore w:val="0"/>
              <w:suppressLineNumbers w:val="0"/>
              <w:wordWrap/>
              <w:bidi w:val="0"/>
              <w:spacing w:before="0" w:beforeAutospacing="0" w:after="0" w:afterAutospacing="0" w:line="360" w:lineRule="auto"/>
              <w:ind w:left="0" w:leftChars="0" w:right="0" w:firstLine="482" w:firstLineChars="200"/>
              <w:rPr>
                <w:rFonts w:hint="default" w:ascii="Times New Roman" w:hAnsi="Times New Roman" w:eastAsia="宋体"/>
                <w:b/>
                <w:bCs/>
                <w:color w:val="auto"/>
                <w:szCs w:val="24"/>
                <w:highlight w:val="none"/>
              </w:rPr>
            </w:pPr>
            <w:r>
              <w:rPr>
                <w:rFonts w:hint="eastAsia" w:ascii="Times New Roman" w:hAnsi="Times New Roman" w:eastAsia="宋体"/>
                <w:b/>
                <w:bCs/>
                <w:color w:val="auto"/>
                <w:szCs w:val="24"/>
                <w:highlight w:val="none"/>
                <w:lang w:eastAsia="zh-CN"/>
              </w:rPr>
              <w:t>三</w:t>
            </w:r>
            <w:r>
              <w:rPr>
                <w:rFonts w:hint="eastAsia" w:ascii="Times New Roman" w:hAnsi="Times New Roman" w:eastAsia="宋体"/>
                <w:b/>
                <w:bCs/>
                <w:color w:val="auto"/>
                <w:szCs w:val="24"/>
                <w:highlight w:val="none"/>
              </w:rPr>
              <w:t>、</w:t>
            </w:r>
            <w:r>
              <w:rPr>
                <w:rFonts w:hint="default" w:ascii="Times New Roman" w:hAnsi="Times New Roman" w:eastAsia="宋体"/>
                <w:b/>
                <w:bCs/>
                <w:color w:val="auto"/>
                <w:szCs w:val="24"/>
                <w:highlight w:val="none"/>
              </w:rPr>
              <w:t>噪声</w:t>
            </w:r>
          </w:p>
          <w:p w14:paraId="404E8F3F">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olor w:val="auto"/>
                <w:szCs w:val="24"/>
                <w:highlight w:val="none"/>
              </w:rPr>
            </w:pPr>
            <w:r>
              <w:rPr>
                <w:rFonts w:hint="eastAsia" w:ascii="Times New Roman" w:hAnsi="Times New Roman" w:eastAsia="宋体"/>
                <w:color w:val="auto"/>
                <w:szCs w:val="24"/>
                <w:highlight w:val="none"/>
                <w:lang w:val="en-US" w:eastAsia="zh-CN"/>
              </w:rPr>
              <w:t>1、</w:t>
            </w:r>
            <w:r>
              <w:rPr>
                <w:rFonts w:hint="eastAsia" w:ascii="Times New Roman" w:hAnsi="Times New Roman" w:eastAsia="宋体"/>
                <w:color w:val="auto"/>
                <w:szCs w:val="24"/>
                <w:highlight w:val="none"/>
              </w:rPr>
              <w:t>源强核算及达标排放情况</w:t>
            </w:r>
          </w:p>
          <w:p w14:paraId="2D40EC73">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b/>
                <w:color w:val="auto"/>
                <w:szCs w:val="24"/>
                <w:highlight w:val="none"/>
              </w:rPr>
            </w:pPr>
            <w:r>
              <w:rPr>
                <w:rFonts w:hint="default"/>
                <w:color w:val="auto"/>
                <w:highlight w:val="none"/>
              </w:rPr>
              <w:t>本项目投产后</w:t>
            </w:r>
            <w:r>
              <w:rPr>
                <w:rFonts w:hint="default"/>
                <w:color w:val="auto"/>
                <w:szCs w:val="24"/>
                <w:highlight w:val="none"/>
              </w:rPr>
              <w:t>噪声源主要由各种运转设备产生，主要来自</w:t>
            </w:r>
            <w:r>
              <w:rPr>
                <w:rFonts w:hint="eastAsia"/>
                <w:color w:val="auto"/>
                <w:szCs w:val="21"/>
                <w:highlight w:val="none"/>
                <w:lang w:val="en-US" w:eastAsia="zh-CN"/>
              </w:rPr>
              <w:t>制冷机组、玉米扒皮机、玉米切头机、玉米清洗机、给袋式包装机、杀菌锅、水处理设备、燃生物质蒸汽锅炉、螺杆机、冷却塔、风机</w:t>
            </w:r>
            <w:r>
              <w:rPr>
                <w:rFonts w:hint="default"/>
                <w:color w:val="auto"/>
                <w:szCs w:val="24"/>
                <w:highlight w:val="none"/>
              </w:rPr>
              <w:t>等设备产生的噪声。</w:t>
            </w:r>
            <w:r>
              <w:rPr>
                <w:rFonts w:hint="default"/>
                <w:color w:val="auto"/>
                <w:highlight w:val="none"/>
              </w:rPr>
              <w:t>根据同类型</w:t>
            </w:r>
            <w:r>
              <w:rPr>
                <w:rFonts w:hint="eastAsia"/>
                <w:color w:val="auto"/>
                <w:highlight w:val="none"/>
                <w:lang w:eastAsia="zh-CN"/>
              </w:rPr>
              <w:t>机械加工生产线</w:t>
            </w:r>
            <w:r>
              <w:rPr>
                <w:rFonts w:hint="default"/>
                <w:color w:val="auto"/>
                <w:highlight w:val="none"/>
              </w:rPr>
              <w:t>的调查，主要设备噪声声压级见表4-</w:t>
            </w:r>
            <w:r>
              <w:rPr>
                <w:rFonts w:hint="eastAsia"/>
                <w:color w:val="auto"/>
                <w:highlight w:val="none"/>
                <w:lang w:val="en-US" w:eastAsia="zh-CN"/>
              </w:rPr>
              <w:t>13、4-14</w:t>
            </w:r>
            <w:r>
              <w:rPr>
                <w:rFonts w:hint="default"/>
                <w:color w:val="auto"/>
                <w:highlight w:val="none"/>
              </w:rPr>
              <w:t>。</w:t>
            </w:r>
          </w:p>
          <w:p w14:paraId="66D798B3">
            <w:pPr>
              <w:keepNext w:val="0"/>
              <w:keepLines w:val="0"/>
              <w:pageBreakBefore w:val="0"/>
              <w:suppressLineNumbers w:val="0"/>
              <w:wordWrap/>
              <w:bidi w:val="0"/>
              <w:spacing w:before="0" w:beforeAutospacing="0" w:after="0" w:afterAutospacing="0" w:line="240" w:lineRule="auto"/>
              <w:ind w:left="0" w:leftChars="0" w:right="0"/>
              <w:jc w:val="center"/>
              <w:rPr>
                <w:rFonts w:hint="eastAsia" w:ascii="Times New Roman" w:hAnsi="Times New Roman" w:eastAsia="宋体" w:cs="Times New Roman"/>
                <w:b/>
                <w:bCs/>
                <w:iCs/>
                <w:color w:val="auto"/>
                <w:kern w:val="0"/>
                <w:sz w:val="21"/>
                <w:szCs w:val="21"/>
                <w:highlight w:val="none"/>
                <w:lang w:val="en-US" w:eastAsia="zh-CN" w:bidi="ar-SA"/>
              </w:rPr>
            </w:pPr>
            <w:r>
              <w:rPr>
                <w:rFonts w:hint="default" w:ascii="Times New Roman" w:hAnsi="Times New Roman" w:eastAsia="宋体" w:cs="Times New Roman"/>
                <w:b/>
                <w:bCs/>
                <w:iCs/>
                <w:color w:val="auto"/>
                <w:kern w:val="0"/>
                <w:sz w:val="21"/>
                <w:szCs w:val="21"/>
                <w:highlight w:val="none"/>
                <w:lang w:val="en-US" w:eastAsia="zh-CN" w:bidi="ar-SA"/>
              </w:rPr>
              <w:t>表</w:t>
            </w:r>
            <w:r>
              <w:rPr>
                <w:rFonts w:hint="eastAsia" w:ascii="Times New Roman" w:hAnsi="Times New Roman" w:eastAsia="宋体" w:cs="Times New Roman"/>
                <w:b/>
                <w:bCs/>
                <w:iCs/>
                <w:color w:val="auto"/>
                <w:kern w:val="0"/>
                <w:sz w:val="21"/>
                <w:szCs w:val="21"/>
                <w:highlight w:val="none"/>
                <w:lang w:val="en-US" w:eastAsia="zh-CN" w:bidi="ar-SA"/>
              </w:rPr>
              <w:t>4-</w:t>
            </w:r>
            <w:r>
              <w:rPr>
                <w:rFonts w:hint="eastAsia" w:cs="Times New Roman"/>
                <w:b/>
                <w:bCs/>
                <w:iCs/>
                <w:color w:val="auto"/>
                <w:kern w:val="0"/>
                <w:sz w:val="21"/>
                <w:szCs w:val="21"/>
                <w:highlight w:val="none"/>
                <w:lang w:val="en-US" w:eastAsia="zh-CN" w:bidi="ar-SA"/>
              </w:rPr>
              <w:t xml:space="preserve">13 </w:t>
            </w:r>
            <w:r>
              <w:rPr>
                <w:rFonts w:hint="default" w:ascii="Times New Roman" w:hAnsi="Times New Roman" w:eastAsia="宋体" w:cs="Times New Roman"/>
                <w:b/>
                <w:bCs/>
                <w:iCs/>
                <w:color w:val="auto"/>
                <w:kern w:val="0"/>
                <w:sz w:val="21"/>
                <w:szCs w:val="21"/>
                <w:highlight w:val="none"/>
                <w:lang w:val="en-US" w:eastAsia="zh-CN" w:bidi="ar-SA"/>
              </w:rPr>
              <w:t xml:space="preserve"> 噪声污染源源强核算结果及相关参数一览表</w:t>
            </w:r>
            <w:r>
              <w:rPr>
                <w:rFonts w:hint="eastAsia" w:ascii="Times New Roman" w:hAnsi="Times New Roman" w:eastAsia="宋体" w:cs="Times New Roman"/>
                <w:b/>
                <w:bCs/>
                <w:iCs/>
                <w:color w:val="auto"/>
                <w:kern w:val="0"/>
                <w:sz w:val="21"/>
                <w:szCs w:val="21"/>
                <w:highlight w:val="none"/>
                <w:lang w:val="en-US" w:eastAsia="zh-CN" w:bidi="ar-SA"/>
              </w:rPr>
              <w:t>（室内声源）</w:t>
            </w:r>
          </w:p>
          <w:tbl>
            <w:tblPr>
              <w:tblStyle w:val="33"/>
              <w:tblW w:w="80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3"/>
              <w:gridCol w:w="657"/>
              <w:gridCol w:w="945"/>
              <w:gridCol w:w="420"/>
              <w:gridCol w:w="465"/>
              <w:gridCol w:w="498"/>
              <w:gridCol w:w="510"/>
              <w:gridCol w:w="510"/>
              <w:gridCol w:w="510"/>
              <w:gridCol w:w="510"/>
              <w:gridCol w:w="510"/>
              <w:gridCol w:w="510"/>
              <w:gridCol w:w="510"/>
              <w:gridCol w:w="510"/>
              <w:gridCol w:w="516"/>
            </w:tblGrid>
            <w:tr w14:paraId="6DD75B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473" w:type="dxa"/>
                  <w:vMerge w:val="restart"/>
                  <w:tcBorders>
                    <w:tl2br w:val="nil"/>
                    <w:tr2bl w:val="nil"/>
                  </w:tcBorders>
                  <w:noWrap w:val="0"/>
                  <w:vAlign w:val="center"/>
                </w:tcPr>
                <w:p w14:paraId="029C064D">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eastAsia="zh-CN"/>
                    </w:rPr>
                  </w:pPr>
                  <w:r>
                    <w:rPr>
                      <w:rFonts w:hint="default" w:ascii="Times New Roman" w:hAnsi="Times New Roman" w:eastAsia="宋体" w:cs="Times New Roman"/>
                      <w:b w:val="0"/>
                      <w:bCs/>
                      <w:color w:val="auto"/>
                      <w:kern w:val="0"/>
                      <w:sz w:val="18"/>
                      <w:szCs w:val="18"/>
                      <w:highlight w:val="none"/>
                      <w:vertAlign w:val="baseline"/>
                      <w:lang w:eastAsia="zh-CN"/>
                    </w:rPr>
                    <w:t>序号</w:t>
                  </w:r>
                </w:p>
              </w:tc>
              <w:tc>
                <w:tcPr>
                  <w:tcW w:w="657" w:type="dxa"/>
                  <w:vMerge w:val="restart"/>
                  <w:tcBorders>
                    <w:tl2br w:val="nil"/>
                    <w:tr2bl w:val="nil"/>
                  </w:tcBorders>
                  <w:noWrap w:val="0"/>
                  <w:vAlign w:val="center"/>
                </w:tcPr>
                <w:p w14:paraId="7F6424C2">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eastAsia="zh-CN"/>
                    </w:rPr>
                  </w:pPr>
                  <w:r>
                    <w:rPr>
                      <w:rFonts w:hint="default" w:ascii="Times New Roman" w:hAnsi="Times New Roman" w:eastAsia="宋体" w:cs="Times New Roman"/>
                      <w:b w:val="0"/>
                      <w:bCs/>
                      <w:color w:val="auto"/>
                      <w:kern w:val="0"/>
                      <w:sz w:val="18"/>
                      <w:szCs w:val="18"/>
                      <w:highlight w:val="none"/>
                      <w:vertAlign w:val="baseline"/>
                      <w:lang w:eastAsia="zh-CN"/>
                    </w:rPr>
                    <w:t>建筑物名称</w:t>
                  </w:r>
                </w:p>
              </w:tc>
              <w:tc>
                <w:tcPr>
                  <w:tcW w:w="945" w:type="dxa"/>
                  <w:vMerge w:val="restart"/>
                  <w:tcBorders>
                    <w:tl2br w:val="nil"/>
                    <w:tr2bl w:val="nil"/>
                  </w:tcBorders>
                  <w:noWrap w:val="0"/>
                  <w:vAlign w:val="center"/>
                </w:tcPr>
                <w:p w14:paraId="4B72F514">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eastAsia="zh-CN"/>
                    </w:rPr>
                  </w:pPr>
                  <w:r>
                    <w:rPr>
                      <w:rFonts w:hint="default" w:ascii="Times New Roman" w:hAnsi="Times New Roman" w:eastAsia="宋体" w:cs="Times New Roman"/>
                      <w:b w:val="0"/>
                      <w:bCs/>
                      <w:color w:val="auto"/>
                      <w:kern w:val="0"/>
                      <w:sz w:val="18"/>
                      <w:szCs w:val="18"/>
                      <w:highlight w:val="none"/>
                      <w:vertAlign w:val="baseline"/>
                      <w:lang w:eastAsia="zh-CN"/>
                    </w:rPr>
                    <w:t>声源名称</w:t>
                  </w:r>
                </w:p>
              </w:tc>
              <w:tc>
                <w:tcPr>
                  <w:tcW w:w="885" w:type="dxa"/>
                  <w:gridSpan w:val="2"/>
                  <w:tcBorders>
                    <w:tl2br w:val="nil"/>
                    <w:tr2bl w:val="nil"/>
                  </w:tcBorders>
                  <w:noWrap w:val="0"/>
                  <w:vAlign w:val="center"/>
                </w:tcPr>
                <w:p w14:paraId="777631E6">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default" w:ascii="Times New Roman" w:hAnsi="Times New Roman" w:eastAsia="宋体" w:cs="Times New Roman"/>
                      <w:b w:val="0"/>
                      <w:bCs/>
                      <w:color w:val="auto"/>
                      <w:kern w:val="0"/>
                      <w:sz w:val="18"/>
                      <w:szCs w:val="18"/>
                      <w:highlight w:val="none"/>
                      <w:vertAlign w:val="baseline"/>
                      <w:lang w:eastAsia="zh-CN"/>
                    </w:rPr>
                    <w:t>声源源强</w:t>
                  </w:r>
                </w:p>
              </w:tc>
              <w:tc>
                <w:tcPr>
                  <w:tcW w:w="498" w:type="dxa"/>
                  <w:vMerge w:val="restart"/>
                  <w:tcBorders>
                    <w:tl2br w:val="nil"/>
                    <w:tr2bl w:val="nil"/>
                  </w:tcBorders>
                  <w:noWrap w:val="0"/>
                  <w:vAlign w:val="center"/>
                </w:tcPr>
                <w:p w14:paraId="4B729FEC">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eastAsia="zh-CN"/>
                    </w:rPr>
                  </w:pPr>
                  <w:r>
                    <w:rPr>
                      <w:rFonts w:hint="default" w:ascii="Times New Roman" w:hAnsi="Times New Roman" w:eastAsia="宋体" w:cs="Times New Roman"/>
                      <w:b w:val="0"/>
                      <w:bCs/>
                      <w:color w:val="auto"/>
                      <w:kern w:val="0"/>
                      <w:sz w:val="18"/>
                      <w:szCs w:val="18"/>
                      <w:highlight w:val="none"/>
                      <w:vertAlign w:val="baseline"/>
                      <w:lang w:eastAsia="zh-CN"/>
                    </w:rPr>
                    <w:t>声源控制措施</w:t>
                  </w:r>
                </w:p>
              </w:tc>
              <w:tc>
                <w:tcPr>
                  <w:tcW w:w="1530" w:type="dxa"/>
                  <w:gridSpan w:val="3"/>
                  <w:tcBorders>
                    <w:tl2br w:val="nil"/>
                    <w:tr2bl w:val="nil"/>
                  </w:tcBorders>
                  <w:noWrap w:val="0"/>
                  <w:vAlign w:val="center"/>
                </w:tcPr>
                <w:p w14:paraId="7E10984E">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default" w:ascii="Times New Roman" w:hAnsi="Times New Roman" w:eastAsia="宋体" w:cs="Times New Roman"/>
                      <w:b w:val="0"/>
                      <w:bCs/>
                      <w:color w:val="auto"/>
                      <w:kern w:val="0"/>
                      <w:sz w:val="18"/>
                      <w:szCs w:val="18"/>
                      <w:highlight w:val="none"/>
                      <w:vertAlign w:val="baseline"/>
                      <w:lang w:eastAsia="zh-CN"/>
                    </w:rPr>
                    <w:t>空间相对位置</w:t>
                  </w:r>
                  <w:r>
                    <w:rPr>
                      <w:rFonts w:hint="default" w:ascii="Times New Roman" w:hAnsi="Times New Roman" w:eastAsia="宋体" w:cs="Times New Roman"/>
                      <w:b w:val="0"/>
                      <w:bCs/>
                      <w:color w:val="auto"/>
                      <w:kern w:val="0"/>
                      <w:sz w:val="18"/>
                      <w:szCs w:val="18"/>
                      <w:highlight w:val="none"/>
                      <w:vertAlign w:val="baseline"/>
                      <w:lang w:val="en-US" w:eastAsia="zh-CN"/>
                    </w:rPr>
                    <w:t>/m</w:t>
                  </w:r>
                </w:p>
              </w:tc>
              <w:tc>
                <w:tcPr>
                  <w:tcW w:w="510" w:type="dxa"/>
                  <w:vMerge w:val="restart"/>
                  <w:tcBorders>
                    <w:tl2br w:val="nil"/>
                    <w:tr2bl w:val="nil"/>
                  </w:tcBorders>
                  <w:noWrap w:val="0"/>
                  <w:vAlign w:val="center"/>
                </w:tcPr>
                <w:p w14:paraId="55406063">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default" w:ascii="Times New Roman" w:hAnsi="Times New Roman" w:eastAsia="宋体" w:cs="Times New Roman"/>
                      <w:b w:val="0"/>
                      <w:bCs/>
                      <w:color w:val="auto"/>
                      <w:kern w:val="0"/>
                      <w:sz w:val="18"/>
                      <w:szCs w:val="18"/>
                      <w:highlight w:val="none"/>
                      <w:vertAlign w:val="baseline"/>
                      <w:lang w:val="en-US" w:eastAsia="zh-CN"/>
                    </w:rPr>
                    <w:t>距室内边界距离</w:t>
                  </w:r>
                </w:p>
              </w:tc>
              <w:tc>
                <w:tcPr>
                  <w:tcW w:w="510" w:type="dxa"/>
                  <w:vMerge w:val="restart"/>
                  <w:tcBorders>
                    <w:tl2br w:val="nil"/>
                    <w:tr2bl w:val="nil"/>
                  </w:tcBorders>
                  <w:noWrap w:val="0"/>
                  <w:vAlign w:val="center"/>
                </w:tcPr>
                <w:p w14:paraId="05EB5C93">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eastAsia="zh-CN"/>
                    </w:rPr>
                  </w:pPr>
                  <w:r>
                    <w:rPr>
                      <w:rFonts w:hint="default" w:ascii="Times New Roman" w:hAnsi="Times New Roman" w:eastAsia="宋体" w:cs="Times New Roman"/>
                      <w:b w:val="0"/>
                      <w:bCs/>
                      <w:color w:val="auto"/>
                      <w:kern w:val="0"/>
                      <w:sz w:val="18"/>
                      <w:szCs w:val="18"/>
                      <w:highlight w:val="none"/>
                      <w:vertAlign w:val="baseline"/>
                      <w:lang w:eastAsia="zh-CN"/>
                    </w:rPr>
                    <w:t>室内边界声级</w:t>
                  </w:r>
                  <w:r>
                    <w:rPr>
                      <w:rFonts w:hint="default" w:ascii="Times New Roman" w:hAnsi="Times New Roman" w:eastAsia="宋体" w:cs="Times New Roman"/>
                      <w:b w:val="0"/>
                      <w:bCs/>
                      <w:color w:val="auto"/>
                      <w:kern w:val="0"/>
                      <w:sz w:val="18"/>
                      <w:szCs w:val="18"/>
                      <w:highlight w:val="none"/>
                      <w:vertAlign w:val="baseline"/>
                      <w:lang w:val="en-US" w:eastAsia="zh-CN"/>
                    </w:rPr>
                    <w:t>/dB(A)</w:t>
                  </w:r>
                </w:p>
              </w:tc>
              <w:tc>
                <w:tcPr>
                  <w:tcW w:w="510" w:type="dxa"/>
                  <w:vMerge w:val="restart"/>
                  <w:tcBorders>
                    <w:tl2br w:val="nil"/>
                    <w:tr2bl w:val="nil"/>
                  </w:tcBorders>
                  <w:noWrap w:val="0"/>
                  <w:vAlign w:val="center"/>
                </w:tcPr>
                <w:p w14:paraId="35DCEDF1">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default" w:ascii="Times New Roman" w:hAnsi="Times New Roman" w:eastAsia="宋体" w:cs="Times New Roman"/>
                      <w:b w:val="0"/>
                      <w:bCs/>
                      <w:color w:val="auto"/>
                      <w:kern w:val="0"/>
                      <w:sz w:val="18"/>
                      <w:szCs w:val="18"/>
                      <w:highlight w:val="none"/>
                      <w:vertAlign w:val="baseline"/>
                      <w:lang w:val="en-US" w:eastAsia="zh-CN"/>
                    </w:rPr>
                    <w:t>运行时段</w:t>
                  </w:r>
                </w:p>
              </w:tc>
              <w:tc>
                <w:tcPr>
                  <w:tcW w:w="510" w:type="dxa"/>
                  <w:vMerge w:val="restart"/>
                  <w:tcBorders>
                    <w:tl2br w:val="nil"/>
                    <w:tr2bl w:val="nil"/>
                  </w:tcBorders>
                  <w:noWrap w:val="0"/>
                  <w:vAlign w:val="center"/>
                </w:tcPr>
                <w:p w14:paraId="58E4A00F">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eastAsia="zh-CN"/>
                    </w:rPr>
                  </w:pPr>
                  <w:r>
                    <w:rPr>
                      <w:rFonts w:hint="default" w:ascii="Times New Roman" w:hAnsi="Times New Roman" w:eastAsia="宋体" w:cs="Times New Roman"/>
                      <w:b w:val="0"/>
                      <w:bCs/>
                      <w:color w:val="auto"/>
                      <w:kern w:val="0"/>
                      <w:sz w:val="18"/>
                      <w:szCs w:val="18"/>
                      <w:highlight w:val="none"/>
                      <w:vertAlign w:val="baseline"/>
                      <w:lang w:eastAsia="zh-CN"/>
                    </w:rPr>
                    <w:t>建筑物插入损失</w:t>
                  </w:r>
                  <w:r>
                    <w:rPr>
                      <w:rFonts w:hint="default" w:ascii="Times New Roman" w:hAnsi="Times New Roman" w:eastAsia="宋体" w:cs="Times New Roman"/>
                      <w:b w:val="0"/>
                      <w:bCs/>
                      <w:color w:val="auto"/>
                      <w:kern w:val="0"/>
                      <w:sz w:val="18"/>
                      <w:szCs w:val="18"/>
                      <w:highlight w:val="none"/>
                      <w:vertAlign w:val="baseline"/>
                      <w:lang w:val="en-US" w:eastAsia="zh-CN"/>
                    </w:rPr>
                    <w:t>/dB(A)</w:t>
                  </w:r>
                </w:p>
              </w:tc>
              <w:tc>
                <w:tcPr>
                  <w:tcW w:w="1026" w:type="dxa"/>
                  <w:gridSpan w:val="2"/>
                  <w:tcBorders>
                    <w:tl2br w:val="nil"/>
                    <w:tr2bl w:val="nil"/>
                  </w:tcBorders>
                  <w:noWrap w:val="0"/>
                  <w:vAlign w:val="center"/>
                </w:tcPr>
                <w:p w14:paraId="1A2C87C0">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eastAsia="zh-CN"/>
                    </w:rPr>
                  </w:pPr>
                  <w:r>
                    <w:rPr>
                      <w:rFonts w:hint="default" w:ascii="Times New Roman" w:hAnsi="Times New Roman" w:eastAsia="宋体" w:cs="Times New Roman"/>
                      <w:b w:val="0"/>
                      <w:bCs/>
                      <w:color w:val="auto"/>
                      <w:kern w:val="0"/>
                      <w:sz w:val="18"/>
                      <w:szCs w:val="18"/>
                      <w:highlight w:val="none"/>
                      <w:vertAlign w:val="baseline"/>
                      <w:lang w:eastAsia="zh-CN"/>
                    </w:rPr>
                    <w:t>建筑物外噪声</w:t>
                  </w:r>
                </w:p>
              </w:tc>
            </w:tr>
            <w:tr w14:paraId="05716E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86" w:hRule="atLeast"/>
                <w:jc w:val="center"/>
              </w:trPr>
              <w:tc>
                <w:tcPr>
                  <w:tcW w:w="473" w:type="dxa"/>
                  <w:vMerge w:val="continue"/>
                  <w:tcBorders>
                    <w:tl2br w:val="nil"/>
                    <w:tr2bl w:val="nil"/>
                  </w:tcBorders>
                  <w:noWrap w:val="0"/>
                  <w:vAlign w:val="center"/>
                </w:tcPr>
                <w:p w14:paraId="7613AD66">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657" w:type="dxa"/>
                  <w:vMerge w:val="continue"/>
                  <w:tcBorders>
                    <w:tl2br w:val="nil"/>
                    <w:tr2bl w:val="nil"/>
                  </w:tcBorders>
                  <w:noWrap w:val="0"/>
                  <w:vAlign w:val="center"/>
                </w:tcPr>
                <w:p w14:paraId="6A7D1B41">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945" w:type="dxa"/>
                  <w:vMerge w:val="continue"/>
                  <w:tcBorders>
                    <w:tl2br w:val="nil"/>
                    <w:tr2bl w:val="nil"/>
                  </w:tcBorders>
                  <w:noWrap w:val="0"/>
                  <w:vAlign w:val="center"/>
                </w:tcPr>
                <w:p w14:paraId="33DBB2DA">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420" w:type="dxa"/>
                  <w:tcBorders>
                    <w:tl2br w:val="nil"/>
                    <w:tr2bl w:val="nil"/>
                  </w:tcBorders>
                  <w:noWrap w:val="0"/>
                  <w:vAlign w:val="center"/>
                </w:tcPr>
                <w:p w14:paraId="7B6D0F63">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r>
                    <w:rPr>
                      <w:rFonts w:hint="default" w:ascii="Times New Roman" w:hAnsi="Times New Roman" w:eastAsia="宋体" w:cs="Times New Roman"/>
                      <w:b w:val="0"/>
                      <w:bCs/>
                      <w:color w:val="auto"/>
                      <w:kern w:val="0"/>
                      <w:sz w:val="18"/>
                      <w:szCs w:val="18"/>
                      <w:highlight w:val="none"/>
                      <w:vertAlign w:val="baseline"/>
                      <w:lang w:val="en-US" w:eastAsia="zh-CN"/>
                    </w:rPr>
                    <w:t>声压级/dB(A)</w:t>
                  </w:r>
                </w:p>
              </w:tc>
              <w:tc>
                <w:tcPr>
                  <w:tcW w:w="465" w:type="dxa"/>
                  <w:tcBorders>
                    <w:tl2br w:val="nil"/>
                    <w:tr2bl w:val="nil"/>
                  </w:tcBorders>
                  <w:noWrap w:val="0"/>
                  <w:vAlign w:val="center"/>
                </w:tcPr>
                <w:p w14:paraId="07F645EF">
                  <w:pPr>
                    <w:keepNext w:val="0"/>
                    <w:keepLines w:val="0"/>
                    <w:pageBreakBefore w:val="0"/>
                    <w:widowControl/>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default" w:ascii="Times New Roman" w:hAnsi="Times New Roman" w:eastAsia="宋体" w:cs="Times New Roman"/>
                      <w:b w:val="0"/>
                      <w:bCs/>
                      <w:color w:val="auto"/>
                      <w:kern w:val="0"/>
                      <w:sz w:val="18"/>
                      <w:szCs w:val="18"/>
                      <w:highlight w:val="none"/>
                      <w:vertAlign w:val="baseline"/>
                      <w:lang w:val="en-US" w:eastAsia="zh-CN" w:bidi="ar-SA"/>
                    </w:rPr>
                    <w:t>距声源</w:t>
                  </w:r>
                </w:p>
                <w:p w14:paraId="2D58A00B">
                  <w:pPr>
                    <w:keepNext w:val="0"/>
                    <w:keepLines w:val="0"/>
                    <w:pageBreakBefore w:val="0"/>
                    <w:widowControl/>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r>
                    <w:rPr>
                      <w:rFonts w:hint="default" w:ascii="Times New Roman" w:hAnsi="Times New Roman" w:eastAsia="宋体" w:cs="Times New Roman"/>
                      <w:b w:val="0"/>
                      <w:bCs/>
                      <w:color w:val="auto"/>
                      <w:kern w:val="0"/>
                      <w:sz w:val="18"/>
                      <w:szCs w:val="18"/>
                      <w:highlight w:val="none"/>
                      <w:vertAlign w:val="baseline"/>
                      <w:lang w:val="en-US" w:eastAsia="zh-CN" w:bidi="ar-SA"/>
                    </w:rPr>
                    <w:t>距离/m</w:t>
                  </w:r>
                </w:p>
              </w:tc>
              <w:tc>
                <w:tcPr>
                  <w:tcW w:w="498" w:type="dxa"/>
                  <w:vMerge w:val="continue"/>
                  <w:tcBorders>
                    <w:tl2br w:val="nil"/>
                    <w:tr2bl w:val="nil"/>
                  </w:tcBorders>
                  <w:noWrap w:val="0"/>
                  <w:vAlign w:val="center"/>
                </w:tcPr>
                <w:p w14:paraId="3C41485A">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tcBorders>
                    <w:tl2br w:val="nil"/>
                    <w:tr2bl w:val="nil"/>
                  </w:tcBorders>
                  <w:noWrap w:val="0"/>
                  <w:vAlign w:val="center"/>
                </w:tcPr>
                <w:p w14:paraId="40DCC301">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default" w:ascii="Times New Roman" w:hAnsi="Times New Roman" w:eastAsia="宋体" w:cs="Times New Roman"/>
                      <w:b w:val="0"/>
                      <w:bCs/>
                      <w:color w:val="auto"/>
                      <w:kern w:val="0"/>
                      <w:sz w:val="18"/>
                      <w:szCs w:val="18"/>
                      <w:highlight w:val="none"/>
                      <w:vertAlign w:val="baseline"/>
                      <w:lang w:val="en-US" w:eastAsia="zh-CN"/>
                    </w:rPr>
                    <w:t>X</w:t>
                  </w:r>
                </w:p>
              </w:tc>
              <w:tc>
                <w:tcPr>
                  <w:tcW w:w="510" w:type="dxa"/>
                  <w:tcBorders>
                    <w:tl2br w:val="nil"/>
                    <w:tr2bl w:val="nil"/>
                  </w:tcBorders>
                  <w:noWrap w:val="0"/>
                  <w:vAlign w:val="center"/>
                </w:tcPr>
                <w:p w14:paraId="1C914304">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default" w:ascii="Times New Roman" w:hAnsi="Times New Roman" w:eastAsia="宋体" w:cs="Times New Roman"/>
                      <w:b w:val="0"/>
                      <w:bCs/>
                      <w:color w:val="auto"/>
                      <w:kern w:val="0"/>
                      <w:sz w:val="18"/>
                      <w:szCs w:val="18"/>
                      <w:highlight w:val="none"/>
                      <w:vertAlign w:val="baseline"/>
                      <w:lang w:val="en-US" w:eastAsia="zh-CN"/>
                    </w:rPr>
                    <w:t>Y</w:t>
                  </w:r>
                </w:p>
              </w:tc>
              <w:tc>
                <w:tcPr>
                  <w:tcW w:w="510" w:type="dxa"/>
                  <w:tcBorders>
                    <w:tl2br w:val="nil"/>
                    <w:tr2bl w:val="nil"/>
                  </w:tcBorders>
                  <w:noWrap w:val="0"/>
                  <w:vAlign w:val="center"/>
                </w:tcPr>
                <w:p w14:paraId="0776C9B7">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default" w:ascii="Times New Roman" w:hAnsi="Times New Roman" w:eastAsia="宋体" w:cs="Times New Roman"/>
                      <w:b w:val="0"/>
                      <w:bCs/>
                      <w:color w:val="auto"/>
                      <w:kern w:val="0"/>
                      <w:sz w:val="18"/>
                      <w:szCs w:val="18"/>
                      <w:highlight w:val="none"/>
                      <w:vertAlign w:val="baseline"/>
                      <w:lang w:val="en-US" w:eastAsia="zh-CN"/>
                    </w:rPr>
                    <w:t>Z</w:t>
                  </w:r>
                </w:p>
              </w:tc>
              <w:tc>
                <w:tcPr>
                  <w:tcW w:w="510" w:type="dxa"/>
                  <w:vMerge w:val="continue"/>
                  <w:tcBorders>
                    <w:tl2br w:val="nil"/>
                    <w:tr2bl w:val="nil"/>
                  </w:tcBorders>
                  <w:noWrap w:val="0"/>
                  <w:vAlign w:val="center"/>
                </w:tcPr>
                <w:p w14:paraId="0343C335">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vMerge w:val="continue"/>
                  <w:tcBorders>
                    <w:tl2br w:val="nil"/>
                    <w:tr2bl w:val="nil"/>
                  </w:tcBorders>
                  <w:noWrap w:val="0"/>
                  <w:vAlign w:val="center"/>
                </w:tcPr>
                <w:p w14:paraId="16D0410B">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vMerge w:val="continue"/>
                  <w:tcBorders>
                    <w:tl2br w:val="nil"/>
                    <w:tr2bl w:val="nil"/>
                  </w:tcBorders>
                  <w:noWrap w:val="0"/>
                  <w:vAlign w:val="center"/>
                </w:tcPr>
                <w:p w14:paraId="35E305A4">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vMerge w:val="continue"/>
                  <w:tcBorders>
                    <w:tl2br w:val="nil"/>
                    <w:tr2bl w:val="nil"/>
                  </w:tcBorders>
                  <w:noWrap w:val="0"/>
                  <w:vAlign w:val="center"/>
                </w:tcPr>
                <w:p w14:paraId="78262ED4">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tcBorders>
                    <w:tl2br w:val="nil"/>
                    <w:tr2bl w:val="nil"/>
                  </w:tcBorders>
                  <w:noWrap w:val="0"/>
                  <w:vAlign w:val="center"/>
                </w:tcPr>
                <w:p w14:paraId="6C61F435">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r>
                    <w:rPr>
                      <w:rFonts w:hint="default" w:ascii="Times New Roman" w:hAnsi="Times New Roman" w:eastAsia="宋体" w:cs="Times New Roman"/>
                      <w:b w:val="0"/>
                      <w:bCs/>
                      <w:color w:val="auto"/>
                      <w:kern w:val="0"/>
                      <w:sz w:val="18"/>
                      <w:szCs w:val="18"/>
                      <w:highlight w:val="none"/>
                      <w:vertAlign w:val="baseline"/>
                      <w:lang w:val="en-US" w:eastAsia="zh-CN"/>
                    </w:rPr>
                    <w:t>声压级/dB(A)</w:t>
                  </w:r>
                </w:p>
              </w:tc>
              <w:tc>
                <w:tcPr>
                  <w:tcW w:w="516" w:type="dxa"/>
                  <w:tcBorders>
                    <w:tl2br w:val="nil"/>
                    <w:tr2bl w:val="nil"/>
                  </w:tcBorders>
                  <w:noWrap w:val="0"/>
                  <w:vAlign w:val="center"/>
                </w:tcPr>
                <w:p w14:paraId="402B23A2">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eastAsia="zh-CN"/>
                    </w:rPr>
                  </w:pPr>
                  <w:r>
                    <w:rPr>
                      <w:rFonts w:hint="default" w:ascii="Times New Roman" w:hAnsi="Times New Roman" w:eastAsia="宋体" w:cs="Times New Roman"/>
                      <w:b w:val="0"/>
                      <w:bCs/>
                      <w:color w:val="auto"/>
                      <w:kern w:val="0"/>
                      <w:sz w:val="18"/>
                      <w:szCs w:val="18"/>
                      <w:highlight w:val="none"/>
                      <w:vertAlign w:val="baseline"/>
                      <w:lang w:eastAsia="zh-CN"/>
                    </w:rPr>
                    <w:t>建筑物外距离</w:t>
                  </w:r>
                </w:p>
              </w:tc>
            </w:tr>
            <w:tr w14:paraId="69ED70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3" w:hRule="atLeast"/>
                <w:jc w:val="center"/>
              </w:trPr>
              <w:tc>
                <w:tcPr>
                  <w:tcW w:w="473" w:type="dxa"/>
                  <w:tcBorders>
                    <w:tl2br w:val="nil"/>
                    <w:tr2bl w:val="nil"/>
                  </w:tcBorders>
                  <w:noWrap w:val="0"/>
                  <w:vAlign w:val="center"/>
                </w:tcPr>
                <w:p w14:paraId="7890CC38">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1</w:t>
                  </w:r>
                </w:p>
              </w:tc>
              <w:tc>
                <w:tcPr>
                  <w:tcW w:w="657" w:type="dxa"/>
                  <w:vMerge w:val="restart"/>
                  <w:tcBorders>
                    <w:tl2br w:val="nil"/>
                    <w:tr2bl w:val="nil"/>
                  </w:tcBorders>
                  <w:shd w:val="clear" w:color="auto" w:fill="auto"/>
                  <w:noWrap w:val="0"/>
                  <w:vAlign w:val="center"/>
                </w:tcPr>
                <w:p w14:paraId="7BBD3E7A">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cs="Times New Roman"/>
                      <w:b w:val="0"/>
                      <w:bCs/>
                      <w:color w:val="auto"/>
                      <w:kern w:val="0"/>
                      <w:sz w:val="18"/>
                      <w:szCs w:val="18"/>
                      <w:highlight w:val="none"/>
                      <w:vertAlign w:val="baseline"/>
                      <w:lang w:val="en-US" w:eastAsia="zh-CN"/>
                    </w:rPr>
                    <w:t>加工间</w:t>
                  </w:r>
                </w:p>
              </w:tc>
              <w:tc>
                <w:tcPr>
                  <w:tcW w:w="945" w:type="dxa"/>
                  <w:tcBorders>
                    <w:tl2br w:val="nil"/>
                    <w:tr2bl w:val="nil"/>
                  </w:tcBorders>
                  <w:shd w:val="clear" w:color="auto" w:fill="auto"/>
                  <w:noWrap w:val="0"/>
                  <w:vAlign w:val="center"/>
                </w:tcPr>
                <w:p w14:paraId="679EA2F6">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rPr>
                    <w:t>给袋式包装机</w:t>
                  </w:r>
                </w:p>
              </w:tc>
              <w:tc>
                <w:tcPr>
                  <w:tcW w:w="420" w:type="dxa"/>
                  <w:tcBorders>
                    <w:tl2br w:val="nil"/>
                    <w:tr2bl w:val="nil"/>
                  </w:tcBorders>
                  <w:noWrap w:val="0"/>
                  <w:vAlign w:val="center"/>
                </w:tcPr>
                <w:p w14:paraId="189D590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75</w:t>
                  </w:r>
                </w:p>
              </w:tc>
              <w:tc>
                <w:tcPr>
                  <w:tcW w:w="465" w:type="dxa"/>
                  <w:tcBorders>
                    <w:tl2br w:val="nil"/>
                    <w:tr2bl w:val="nil"/>
                  </w:tcBorders>
                  <w:noWrap w:val="0"/>
                  <w:vAlign w:val="center"/>
                </w:tcPr>
                <w:p w14:paraId="28CE5DE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1</w:t>
                  </w:r>
                </w:p>
              </w:tc>
              <w:tc>
                <w:tcPr>
                  <w:tcW w:w="498" w:type="dxa"/>
                  <w:vMerge w:val="restart"/>
                  <w:tcBorders>
                    <w:tl2br w:val="nil"/>
                    <w:tr2bl w:val="nil"/>
                  </w:tcBorders>
                  <w:noWrap w:val="0"/>
                  <w:vAlign w:val="center"/>
                </w:tcPr>
                <w:p w14:paraId="5F926B54">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已选用低噪声设备，加装减震、隔声设施</w:t>
                  </w:r>
                </w:p>
              </w:tc>
              <w:tc>
                <w:tcPr>
                  <w:tcW w:w="510" w:type="dxa"/>
                  <w:tcBorders>
                    <w:tl2br w:val="nil"/>
                    <w:tr2bl w:val="nil"/>
                  </w:tcBorders>
                  <w:noWrap w:val="0"/>
                  <w:vAlign w:val="center"/>
                </w:tcPr>
                <w:p w14:paraId="0D83D693">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-38</w:t>
                  </w:r>
                </w:p>
              </w:tc>
              <w:tc>
                <w:tcPr>
                  <w:tcW w:w="510" w:type="dxa"/>
                  <w:tcBorders>
                    <w:tl2br w:val="nil"/>
                    <w:tr2bl w:val="nil"/>
                  </w:tcBorders>
                  <w:noWrap w:val="0"/>
                  <w:vAlign w:val="center"/>
                </w:tcPr>
                <w:p w14:paraId="3E1A5E15">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10</w:t>
                  </w:r>
                </w:p>
              </w:tc>
              <w:tc>
                <w:tcPr>
                  <w:tcW w:w="510" w:type="dxa"/>
                  <w:tcBorders>
                    <w:tl2br w:val="nil"/>
                    <w:tr2bl w:val="nil"/>
                  </w:tcBorders>
                  <w:noWrap w:val="0"/>
                  <w:vAlign w:val="center"/>
                </w:tcPr>
                <w:p w14:paraId="53DB144F">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1.5</w:t>
                  </w:r>
                </w:p>
              </w:tc>
              <w:tc>
                <w:tcPr>
                  <w:tcW w:w="510" w:type="dxa"/>
                  <w:tcBorders>
                    <w:tl2br w:val="nil"/>
                    <w:tr2bl w:val="nil"/>
                  </w:tcBorders>
                  <w:noWrap w:val="0"/>
                  <w:vAlign w:val="center"/>
                </w:tcPr>
                <w:p w14:paraId="1E827CB8">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3</w:t>
                  </w:r>
                </w:p>
              </w:tc>
              <w:tc>
                <w:tcPr>
                  <w:tcW w:w="510" w:type="dxa"/>
                  <w:tcBorders>
                    <w:tl2br w:val="nil"/>
                    <w:tr2bl w:val="nil"/>
                  </w:tcBorders>
                  <w:noWrap w:val="0"/>
                  <w:vAlign w:val="center"/>
                </w:tcPr>
                <w:p w14:paraId="1CCBD692">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71</w:t>
                  </w:r>
                </w:p>
              </w:tc>
              <w:tc>
                <w:tcPr>
                  <w:tcW w:w="510" w:type="dxa"/>
                  <w:vMerge w:val="restart"/>
                  <w:tcBorders>
                    <w:tl2br w:val="nil"/>
                    <w:tr2bl w:val="nil"/>
                  </w:tcBorders>
                  <w:noWrap w:val="0"/>
                  <w:vAlign w:val="center"/>
                </w:tcPr>
                <w:p w14:paraId="044FF27C">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300</w:t>
                  </w:r>
                </w:p>
              </w:tc>
              <w:tc>
                <w:tcPr>
                  <w:tcW w:w="510" w:type="dxa"/>
                  <w:tcBorders>
                    <w:tl2br w:val="nil"/>
                    <w:tr2bl w:val="nil"/>
                  </w:tcBorders>
                  <w:noWrap w:val="0"/>
                  <w:vAlign w:val="center"/>
                </w:tcPr>
                <w:p w14:paraId="7DF30B45">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ascii="Times New Roman" w:hAnsi="Times New Roman" w:eastAsia="宋体"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220FB90C">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51</w:t>
                  </w:r>
                </w:p>
              </w:tc>
              <w:tc>
                <w:tcPr>
                  <w:tcW w:w="516" w:type="dxa"/>
                  <w:tcBorders>
                    <w:tl2br w:val="nil"/>
                    <w:tr2bl w:val="nil"/>
                  </w:tcBorders>
                  <w:noWrap w:val="0"/>
                  <w:vAlign w:val="center"/>
                </w:tcPr>
                <w:p w14:paraId="3CDF298B">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1</w:t>
                  </w:r>
                </w:p>
              </w:tc>
            </w:tr>
            <w:tr w14:paraId="67F940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8" w:hRule="atLeast"/>
                <w:jc w:val="center"/>
              </w:trPr>
              <w:tc>
                <w:tcPr>
                  <w:tcW w:w="473" w:type="dxa"/>
                  <w:tcBorders>
                    <w:tl2br w:val="nil"/>
                    <w:tr2bl w:val="nil"/>
                  </w:tcBorders>
                  <w:noWrap w:val="0"/>
                  <w:vAlign w:val="center"/>
                </w:tcPr>
                <w:p w14:paraId="6B6791F4">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2</w:t>
                  </w:r>
                </w:p>
              </w:tc>
              <w:tc>
                <w:tcPr>
                  <w:tcW w:w="657" w:type="dxa"/>
                  <w:vMerge w:val="continue"/>
                  <w:tcBorders>
                    <w:tl2br w:val="nil"/>
                    <w:tr2bl w:val="nil"/>
                  </w:tcBorders>
                  <w:shd w:val="clear" w:color="auto" w:fill="auto"/>
                  <w:noWrap w:val="0"/>
                  <w:vAlign w:val="center"/>
                </w:tcPr>
                <w:p w14:paraId="6D47EC86">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p>
              </w:tc>
              <w:tc>
                <w:tcPr>
                  <w:tcW w:w="945" w:type="dxa"/>
                  <w:tcBorders>
                    <w:tl2br w:val="nil"/>
                    <w:tr2bl w:val="nil"/>
                  </w:tcBorders>
                  <w:shd w:val="clear" w:color="auto" w:fill="auto"/>
                  <w:noWrap w:val="0"/>
                  <w:vAlign w:val="center"/>
                </w:tcPr>
                <w:p w14:paraId="637E0797">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给袋式包装机</w:t>
                  </w:r>
                </w:p>
              </w:tc>
              <w:tc>
                <w:tcPr>
                  <w:tcW w:w="420" w:type="dxa"/>
                  <w:tcBorders>
                    <w:tl2br w:val="nil"/>
                    <w:tr2bl w:val="nil"/>
                  </w:tcBorders>
                  <w:noWrap w:val="0"/>
                  <w:vAlign w:val="center"/>
                </w:tcPr>
                <w:p w14:paraId="4A787D3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eastAsia" w:cs="Times New Roman"/>
                      <w:snapToGrid w:val="0"/>
                      <w:color w:val="auto"/>
                      <w:sz w:val="18"/>
                      <w:szCs w:val="18"/>
                      <w:highlight w:val="none"/>
                      <w:lang w:val="en-US" w:eastAsia="zh-CN"/>
                    </w:rPr>
                    <w:t>75</w:t>
                  </w:r>
                </w:p>
              </w:tc>
              <w:tc>
                <w:tcPr>
                  <w:tcW w:w="465" w:type="dxa"/>
                  <w:tcBorders>
                    <w:tl2br w:val="nil"/>
                    <w:tr2bl w:val="nil"/>
                  </w:tcBorders>
                  <w:noWrap w:val="0"/>
                  <w:vAlign w:val="center"/>
                </w:tcPr>
                <w:p w14:paraId="11F7346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1</w:t>
                  </w:r>
                </w:p>
              </w:tc>
              <w:tc>
                <w:tcPr>
                  <w:tcW w:w="498" w:type="dxa"/>
                  <w:vMerge w:val="continue"/>
                  <w:tcBorders>
                    <w:tl2br w:val="nil"/>
                    <w:tr2bl w:val="nil"/>
                  </w:tcBorders>
                  <w:noWrap w:val="0"/>
                  <w:vAlign w:val="center"/>
                </w:tcPr>
                <w:p w14:paraId="77D6BF6A">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7C70737C">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cs="Times New Roman"/>
                      <w:b w:val="0"/>
                      <w:bCs/>
                      <w:color w:val="auto"/>
                      <w:kern w:val="0"/>
                      <w:sz w:val="18"/>
                      <w:szCs w:val="18"/>
                      <w:highlight w:val="none"/>
                      <w:vertAlign w:val="baseline"/>
                      <w:lang w:val="en-US" w:eastAsia="zh-CN" w:bidi="ar-SA"/>
                    </w:rPr>
                    <w:t>-38</w:t>
                  </w:r>
                </w:p>
              </w:tc>
              <w:tc>
                <w:tcPr>
                  <w:tcW w:w="510" w:type="dxa"/>
                  <w:tcBorders>
                    <w:tl2br w:val="nil"/>
                    <w:tr2bl w:val="nil"/>
                  </w:tcBorders>
                  <w:noWrap w:val="0"/>
                  <w:vAlign w:val="center"/>
                </w:tcPr>
                <w:p w14:paraId="7C09D81C">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cs="Times New Roman"/>
                      <w:b w:val="0"/>
                      <w:bCs/>
                      <w:color w:val="auto"/>
                      <w:kern w:val="0"/>
                      <w:sz w:val="18"/>
                      <w:szCs w:val="18"/>
                      <w:highlight w:val="none"/>
                      <w:vertAlign w:val="baseline"/>
                      <w:lang w:val="en-US" w:eastAsia="zh-CN" w:bidi="ar-SA"/>
                    </w:rPr>
                    <w:t>12</w:t>
                  </w:r>
                </w:p>
              </w:tc>
              <w:tc>
                <w:tcPr>
                  <w:tcW w:w="510" w:type="dxa"/>
                  <w:tcBorders>
                    <w:tl2br w:val="nil"/>
                    <w:tr2bl w:val="nil"/>
                  </w:tcBorders>
                  <w:noWrap w:val="0"/>
                  <w:vAlign w:val="center"/>
                </w:tcPr>
                <w:p w14:paraId="7C6D2867">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cs="Times New Roman"/>
                      <w:b w:val="0"/>
                      <w:bCs/>
                      <w:color w:val="auto"/>
                      <w:kern w:val="0"/>
                      <w:sz w:val="18"/>
                      <w:szCs w:val="18"/>
                      <w:highlight w:val="none"/>
                      <w:vertAlign w:val="baseline"/>
                      <w:lang w:val="en-US" w:eastAsia="zh-CN" w:bidi="ar-SA"/>
                    </w:rPr>
                    <w:t>1.5</w:t>
                  </w:r>
                </w:p>
              </w:tc>
              <w:tc>
                <w:tcPr>
                  <w:tcW w:w="510" w:type="dxa"/>
                  <w:tcBorders>
                    <w:tl2br w:val="nil"/>
                    <w:tr2bl w:val="nil"/>
                  </w:tcBorders>
                  <w:noWrap w:val="0"/>
                  <w:vAlign w:val="center"/>
                </w:tcPr>
                <w:p w14:paraId="5E806E77">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cs="Times New Roman"/>
                      <w:b w:val="0"/>
                      <w:bCs/>
                      <w:color w:val="auto"/>
                      <w:kern w:val="0"/>
                      <w:sz w:val="18"/>
                      <w:szCs w:val="18"/>
                      <w:highlight w:val="none"/>
                      <w:vertAlign w:val="baseline"/>
                      <w:lang w:val="en-US" w:eastAsia="zh-CN"/>
                    </w:rPr>
                    <w:t>3</w:t>
                  </w:r>
                </w:p>
              </w:tc>
              <w:tc>
                <w:tcPr>
                  <w:tcW w:w="510" w:type="dxa"/>
                  <w:tcBorders>
                    <w:tl2br w:val="nil"/>
                    <w:tr2bl w:val="nil"/>
                  </w:tcBorders>
                  <w:noWrap w:val="0"/>
                  <w:vAlign w:val="center"/>
                </w:tcPr>
                <w:p w14:paraId="7DF3530B">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71</w:t>
                  </w:r>
                </w:p>
              </w:tc>
              <w:tc>
                <w:tcPr>
                  <w:tcW w:w="510" w:type="dxa"/>
                  <w:vMerge w:val="continue"/>
                  <w:tcBorders>
                    <w:tl2br w:val="nil"/>
                    <w:tr2bl w:val="nil"/>
                  </w:tcBorders>
                  <w:noWrap w:val="0"/>
                  <w:vAlign w:val="center"/>
                </w:tcPr>
                <w:p w14:paraId="45ACFF85">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32015B60">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4169D085">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cs="Times New Roman"/>
                      <w:b w:val="0"/>
                      <w:bCs/>
                      <w:color w:val="auto"/>
                      <w:kern w:val="0"/>
                      <w:sz w:val="18"/>
                      <w:szCs w:val="18"/>
                      <w:highlight w:val="none"/>
                      <w:vertAlign w:val="baseline"/>
                      <w:lang w:val="en-US" w:eastAsia="zh-CN"/>
                    </w:rPr>
                    <w:t>51</w:t>
                  </w:r>
                </w:p>
              </w:tc>
              <w:tc>
                <w:tcPr>
                  <w:tcW w:w="516" w:type="dxa"/>
                  <w:tcBorders>
                    <w:tl2br w:val="nil"/>
                    <w:tr2bl w:val="nil"/>
                  </w:tcBorders>
                  <w:noWrap w:val="0"/>
                  <w:vAlign w:val="center"/>
                </w:tcPr>
                <w:p w14:paraId="78E3C7FF">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cs="Times New Roman"/>
                      <w:b w:val="0"/>
                      <w:bCs/>
                      <w:color w:val="auto"/>
                      <w:kern w:val="0"/>
                      <w:sz w:val="18"/>
                      <w:szCs w:val="18"/>
                      <w:highlight w:val="none"/>
                      <w:vertAlign w:val="baseline"/>
                      <w:lang w:val="en-US" w:eastAsia="zh-CN"/>
                    </w:rPr>
                    <w:t>1</w:t>
                  </w:r>
                </w:p>
              </w:tc>
            </w:tr>
            <w:tr w14:paraId="2102DC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473" w:type="dxa"/>
                  <w:tcBorders>
                    <w:tl2br w:val="nil"/>
                    <w:tr2bl w:val="nil"/>
                  </w:tcBorders>
                  <w:noWrap w:val="0"/>
                  <w:vAlign w:val="center"/>
                </w:tcPr>
                <w:p w14:paraId="40283836">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eastAsia="宋体" w:cs="Times New Roman"/>
                      <w:smallCaps w:val="0"/>
                      <w:color w:val="auto"/>
                      <w:kern w:val="2"/>
                      <w:sz w:val="21"/>
                      <w:szCs w:val="21"/>
                      <w:highlight w:val="none"/>
                      <w:lang w:val="en-US" w:eastAsia="zh-CN" w:bidi="ar-SA"/>
                    </w:rPr>
                  </w:pPr>
                  <w:r>
                    <w:rPr>
                      <w:rFonts w:hint="default" w:ascii="Times New Roman" w:hAnsi="Times New Roman" w:eastAsia="宋体" w:cs="Times New Roman"/>
                      <w:smallCaps w:val="0"/>
                      <w:color w:val="auto"/>
                      <w:kern w:val="2"/>
                      <w:sz w:val="21"/>
                      <w:szCs w:val="21"/>
                      <w:highlight w:val="none"/>
                      <w:lang w:val="en-US" w:eastAsia="zh-CN" w:bidi="ar-SA"/>
                    </w:rPr>
                    <w:t>3</w:t>
                  </w:r>
                </w:p>
              </w:tc>
              <w:tc>
                <w:tcPr>
                  <w:tcW w:w="657" w:type="dxa"/>
                  <w:vMerge w:val="continue"/>
                  <w:tcBorders>
                    <w:tl2br w:val="nil"/>
                    <w:tr2bl w:val="nil"/>
                  </w:tcBorders>
                  <w:shd w:val="clear" w:color="auto" w:fill="auto"/>
                  <w:noWrap w:val="0"/>
                  <w:vAlign w:val="center"/>
                </w:tcPr>
                <w:p w14:paraId="39942CC1">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p>
              </w:tc>
              <w:tc>
                <w:tcPr>
                  <w:tcW w:w="945" w:type="dxa"/>
                  <w:tcBorders>
                    <w:tl2br w:val="nil"/>
                    <w:tr2bl w:val="nil"/>
                  </w:tcBorders>
                  <w:shd w:val="clear" w:color="auto" w:fill="auto"/>
                  <w:noWrap w:val="0"/>
                  <w:vAlign w:val="center"/>
                </w:tcPr>
                <w:p w14:paraId="658C7E2B">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给袋式包装机</w:t>
                  </w:r>
                </w:p>
              </w:tc>
              <w:tc>
                <w:tcPr>
                  <w:tcW w:w="420" w:type="dxa"/>
                  <w:tcBorders>
                    <w:tl2br w:val="nil"/>
                    <w:tr2bl w:val="nil"/>
                  </w:tcBorders>
                  <w:noWrap w:val="0"/>
                  <w:vAlign w:val="center"/>
                </w:tcPr>
                <w:p w14:paraId="0F14676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75</w:t>
                  </w:r>
                </w:p>
              </w:tc>
              <w:tc>
                <w:tcPr>
                  <w:tcW w:w="465" w:type="dxa"/>
                  <w:tcBorders>
                    <w:tl2br w:val="nil"/>
                    <w:tr2bl w:val="nil"/>
                  </w:tcBorders>
                  <w:noWrap w:val="0"/>
                  <w:vAlign w:val="center"/>
                </w:tcPr>
                <w:p w14:paraId="48AF3E2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1</w:t>
                  </w:r>
                </w:p>
              </w:tc>
              <w:tc>
                <w:tcPr>
                  <w:tcW w:w="498" w:type="dxa"/>
                  <w:vMerge w:val="continue"/>
                  <w:tcBorders>
                    <w:tl2br w:val="nil"/>
                    <w:tr2bl w:val="nil"/>
                  </w:tcBorders>
                  <w:noWrap w:val="0"/>
                  <w:vAlign w:val="center"/>
                </w:tcPr>
                <w:p w14:paraId="664EFA71">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0F0EFD5B">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-36</w:t>
                  </w:r>
                </w:p>
              </w:tc>
              <w:tc>
                <w:tcPr>
                  <w:tcW w:w="510" w:type="dxa"/>
                  <w:tcBorders>
                    <w:tl2br w:val="nil"/>
                    <w:tr2bl w:val="nil"/>
                  </w:tcBorders>
                  <w:noWrap w:val="0"/>
                  <w:vAlign w:val="center"/>
                </w:tcPr>
                <w:p w14:paraId="12DEBDD8">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11</w:t>
                  </w:r>
                </w:p>
              </w:tc>
              <w:tc>
                <w:tcPr>
                  <w:tcW w:w="510" w:type="dxa"/>
                  <w:tcBorders>
                    <w:tl2br w:val="nil"/>
                    <w:tr2bl w:val="nil"/>
                  </w:tcBorders>
                  <w:noWrap w:val="0"/>
                  <w:vAlign w:val="center"/>
                </w:tcPr>
                <w:p w14:paraId="7790B86B">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1.5</w:t>
                  </w:r>
                </w:p>
              </w:tc>
              <w:tc>
                <w:tcPr>
                  <w:tcW w:w="510" w:type="dxa"/>
                  <w:tcBorders>
                    <w:tl2br w:val="nil"/>
                    <w:tr2bl w:val="nil"/>
                  </w:tcBorders>
                  <w:noWrap w:val="0"/>
                  <w:vAlign w:val="center"/>
                </w:tcPr>
                <w:p w14:paraId="3416E33E">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3</w:t>
                  </w:r>
                </w:p>
              </w:tc>
              <w:tc>
                <w:tcPr>
                  <w:tcW w:w="510" w:type="dxa"/>
                  <w:tcBorders>
                    <w:tl2br w:val="nil"/>
                    <w:tr2bl w:val="nil"/>
                  </w:tcBorders>
                  <w:noWrap w:val="0"/>
                  <w:vAlign w:val="center"/>
                </w:tcPr>
                <w:p w14:paraId="6DDEB4EB">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71</w:t>
                  </w:r>
                </w:p>
              </w:tc>
              <w:tc>
                <w:tcPr>
                  <w:tcW w:w="510" w:type="dxa"/>
                  <w:vMerge w:val="continue"/>
                  <w:tcBorders>
                    <w:tl2br w:val="nil"/>
                    <w:tr2bl w:val="nil"/>
                  </w:tcBorders>
                  <w:noWrap w:val="0"/>
                  <w:vAlign w:val="center"/>
                </w:tcPr>
                <w:p w14:paraId="32F8E7D6">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42AE53AF">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val="en-US" w:eastAsia="zh-CN"/>
                    </w:rPr>
                  </w:pPr>
                  <w:r>
                    <w:rPr>
                      <w:rFonts w:hint="eastAsia" w:ascii="Times New Roman" w:hAnsi="Times New Roman" w:eastAsia="宋体"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62D39A37">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51</w:t>
                  </w:r>
                </w:p>
              </w:tc>
              <w:tc>
                <w:tcPr>
                  <w:tcW w:w="516" w:type="dxa"/>
                  <w:tcBorders>
                    <w:tl2br w:val="nil"/>
                    <w:tr2bl w:val="nil"/>
                  </w:tcBorders>
                  <w:noWrap w:val="0"/>
                  <w:vAlign w:val="center"/>
                </w:tcPr>
                <w:p w14:paraId="51EA9E7D">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1</w:t>
                  </w:r>
                </w:p>
              </w:tc>
            </w:tr>
            <w:tr w14:paraId="684FBA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473" w:type="dxa"/>
                  <w:tcBorders>
                    <w:tl2br w:val="nil"/>
                    <w:tr2bl w:val="nil"/>
                  </w:tcBorders>
                  <w:noWrap w:val="0"/>
                  <w:vAlign w:val="center"/>
                </w:tcPr>
                <w:p w14:paraId="5E4C5414">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4</w:t>
                  </w:r>
                </w:p>
              </w:tc>
              <w:tc>
                <w:tcPr>
                  <w:tcW w:w="657" w:type="dxa"/>
                  <w:vMerge w:val="continue"/>
                  <w:tcBorders>
                    <w:tl2br w:val="nil"/>
                    <w:tr2bl w:val="nil"/>
                  </w:tcBorders>
                  <w:shd w:val="clear" w:color="auto" w:fill="auto"/>
                  <w:noWrap w:val="0"/>
                  <w:vAlign w:val="center"/>
                </w:tcPr>
                <w:p w14:paraId="79A81295">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945" w:type="dxa"/>
                  <w:tcBorders>
                    <w:tl2br w:val="nil"/>
                    <w:tr2bl w:val="nil"/>
                  </w:tcBorders>
                  <w:shd w:val="clear" w:color="auto" w:fill="auto"/>
                  <w:noWrap w:val="0"/>
                  <w:vAlign w:val="center"/>
                </w:tcPr>
                <w:p w14:paraId="0751EEF5">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给袋式包装机</w:t>
                  </w:r>
                </w:p>
              </w:tc>
              <w:tc>
                <w:tcPr>
                  <w:tcW w:w="420" w:type="dxa"/>
                  <w:tcBorders>
                    <w:tl2br w:val="nil"/>
                    <w:tr2bl w:val="nil"/>
                  </w:tcBorders>
                  <w:noWrap w:val="0"/>
                  <w:vAlign w:val="center"/>
                </w:tcPr>
                <w:p w14:paraId="515379F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75</w:t>
                  </w:r>
                </w:p>
              </w:tc>
              <w:tc>
                <w:tcPr>
                  <w:tcW w:w="465" w:type="dxa"/>
                  <w:tcBorders>
                    <w:tl2br w:val="nil"/>
                    <w:tr2bl w:val="nil"/>
                  </w:tcBorders>
                  <w:noWrap w:val="0"/>
                  <w:vAlign w:val="center"/>
                </w:tcPr>
                <w:p w14:paraId="62A6F31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1</w:t>
                  </w:r>
                </w:p>
              </w:tc>
              <w:tc>
                <w:tcPr>
                  <w:tcW w:w="498" w:type="dxa"/>
                  <w:vMerge w:val="continue"/>
                  <w:tcBorders>
                    <w:tl2br w:val="nil"/>
                    <w:tr2bl w:val="nil"/>
                  </w:tcBorders>
                  <w:noWrap w:val="0"/>
                  <w:vAlign w:val="center"/>
                </w:tcPr>
                <w:p w14:paraId="57922119">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1AEC38AC">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-38</w:t>
                  </w:r>
                </w:p>
              </w:tc>
              <w:tc>
                <w:tcPr>
                  <w:tcW w:w="510" w:type="dxa"/>
                  <w:tcBorders>
                    <w:tl2br w:val="nil"/>
                    <w:tr2bl w:val="nil"/>
                  </w:tcBorders>
                  <w:noWrap w:val="0"/>
                  <w:vAlign w:val="center"/>
                </w:tcPr>
                <w:p w14:paraId="098D0CA8">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14</w:t>
                  </w:r>
                </w:p>
              </w:tc>
              <w:tc>
                <w:tcPr>
                  <w:tcW w:w="510" w:type="dxa"/>
                  <w:tcBorders>
                    <w:tl2br w:val="nil"/>
                    <w:tr2bl w:val="nil"/>
                  </w:tcBorders>
                  <w:noWrap w:val="0"/>
                  <w:vAlign w:val="center"/>
                </w:tcPr>
                <w:p w14:paraId="3F4E3557">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1.5</w:t>
                  </w:r>
                </w:p>
              </w:tc>
              <w:tc>
                <w:tcPr>
                  <w:tcW w:w="510" w:type="dxa"/>
                  <w:tcBorders>
                    <w:tl2br w:val="nil"/>
                    <w:tr2bl w:val="nil"/>
                  </w:tcBorders>
                  <w:noWrap w:val="0"/>
                  <w:vAlign w:val="center"/>
                </w:tcPr>
                <w:p w14:paraId="624B5035">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3</w:t>
                  </w:r>
                </w:p>
              </w:tc>
              <w:tc>
                <w:tcPr>
                  <w:tcW w:w="510" w:type="dxa"/>
                  <w:tcBorders>
                    <w:tl2br w:val="nil"/>
                    <w:tr2bl w:val="nil"/>
                  </w:tcBorders>
                  <w:noWrap w:val="0"/>
                  <w:vAlign w:val="center"/>
                </w:tcPr>
                <w:p w14:paraId="5CB083AB">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cs="Times New Roman"/>
                      <w:b w:val="0"/>
                      <w:bCs/>
                      <w:color w:val="auto"/>
                      <w:kern w:val="0"/>
                      <w:sz w:val="18"/>
                      <w:szCs w:val="18"/>
                      <w:highlight w:val="none"/>
                      <w:vertAlign w:val="baseline"/>
                      <w:lang w:val="en-US" w:eastAsia="zh-CN"/>
                    </w:rPr>
                    <w:t>71</w:t>
                  </w:r>
                </w:p>
              </w:tc>
              <w:tc>
                <w:tcPr>
                  <w:tcW w:w="510" w:type="dxa"/>
                  <w:vMerge w:val="continue"/>
                  <w:tcBorders>
                    <w:tl2br w:val="nil"/>
                    <w:tr2bl w:val="nil"/>
                  </w:tcBorders>
                  <w:noWrap w:val="0"/>
                  <w:vAlign w:val="center"/>
                </w:tcPr>
                <w:p w14:paraId="50CDD928">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10201EB6">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26E6BAC4">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51</w:t>
                  </w:r>
                </w:p>
              </w:tc>
              <w:tc>
                <w:tcPr>
                  <w:tcW w:w="516" w:type="dxa"/>
                  <w:tcBorders>
                    <w:tl2br w:val="nil"/>
                    <w:tr2bl w:val="nil"/>
                  </w:tcBorders>
                  <w:noWrap w:val="0"/>
                  <w:vAlign w:val="center"/>
                </w:tcPr>
                <w:p w14:paraId="01E4014A">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r w14:paraId="13656F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473" w:type="dxa"/>
                  <w:tcBorders>
                    <w:tl2br w:val="nil"/>
                    <w:tr2bl w:val="nil"/>
                  </w:tcBorders>
                  <w:noWrap w:val="0"/>
                  <w:vAlign w:val="center"/>
                </w:tcPr>
                <w:p w14:paraId="2394618B">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5</w:t>
                  </w:r>
                </w:p>
              </w:tc>
              <w:tc>
                <w:tcPr>
                  <w:tcW w:w="657" w:type="dxa"/>
                  <w:vMerge w:val="continue"/>
                  <w:tcBorders>
                    <w:tl2br w:val="nil"/>
                    <w:tr2bl w:val="nil"/>
                  </w:tcBorders>
                  <w:shd w:val="clear" w:color="auto" w:fill="auto"/>
                  <w:noWrap w:val="0"/>
                  <w:vAlign w:val="center"/>
                </w:tcPr>
                <w:p w14:paraId="68CD23CE">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p>
              </w:tc>
              <w:tc>
                <w:tcPr>
                  <w:tcW w:w="945" w:type="dxa"/>
                  <w:tcBorders>
                    <w:tl2br w:val="nil"/>
                    <w:tr2bl w:val="nil"/>
                  </w:tcBorders>
                  <w:shd w:val="clear" w:color="auto" w:fill="auto"/>
                  <w:noWrap w:val="0"/>
                  <w:vAlign w:val="center"/>
                </w:tcPr>
                <w:p w14:paraId="63623EC9">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杀菌锅</w:t>
                  </w:r>
                </w:p>
              </w:tc>
              <w:tc>
                <w:tcPr>
                  <w:tcW w:w="420" w:type="dxa"/>
                  <w:tcBorders>
                    <w:tl2br w:val="nil"/>
                    <w:tr2bl w:val="nil"/>
                  </w:tcBorders>
                  <w:noWrap w:val="0"/>
                  <w:vAlign w:val="center"/>
                </w:tcPr>
                <w:p w14:paraId="61339F8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80</w:t>
                  </w:r>
                </w:p>
              </w:tc>
              <w:tc>
                <w:tcPr>
                  <w:tcW w:w="465" w:type="dxa"/>
                  <w:tcBorders>
                    <w:tl2br w:val="nil"/>
                    <w:tr2bl w:val="nil"/>
                  </w:tcBorders>
                  <w:noWrap w:val="0"/>
                  <w:vAlign w:val="center"/>
                </w:tcPr>
                <w:p w14:paraId="1C6C021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1</w:t>
                  </w:r>
                </w:p>
              </w:tc>
              <w:tc>
                <w:tcPr>
                  <w:tcW w:w="498" w:type="dxa"/>
                  <w:vMerge w:val="continue"/>
                  <w:tcBorders>
                    <w:tl2br w:val="nil"/>
                    <w:tr2bl w:val="nil"/>
                  </w:tcBorders>
                  <w:noWrap w:val="0"/>
                  <w:vAlign w:val="center"/>
                </w:tcPr>
                <w:p w14:paraId="4A5D143E">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3E85353D">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-47</w:t>
                  </w:r>
                </w:p>
              </w:tc>
              <w:tc>
                <w:tcPr>
                  <w:tcW w:w="510" w:type="dxa"/>
                  <w:tcBorders>
                    <w:tl2br w:val="nil"/>
                    <w:tr2bl w:val="nil"/>
                  </w:tcBorders>
                  <w:noWrap w:val="0"/>
                  <w:vAlign w:val="center"/>
                </w:tcPr>
                <w:p w14:paraId="01204A8D">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-7</w:t>
                  </w:r>
                </w:p>
              </w:tc>
              <w:tc>
                <w:tcPr>
                  <w:tcW w:w="510" w:type="dxa"/>
                  <w:tcBorders>
                    <w:tl2br w:val="nil"/>
                    <w:tr2bl w:val="nil"/>
                  </w:tcBorders>
                  <w:noWrap w:val="0"/>
                  <w:vAlign w:val="center"/>
                </w:tcPr>
                <w:p w14:paraId="423B73CA">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1.5</w:t>
                  </w:r>
                </w:p>
              </w:tc>
              <w:tc>
                <w:tcPr>
                  <w:tcW w:w="510" w:type="dxa"/>
                  <w:tcBorders>
                    <w:tl2br w:val="nil"/>
                    <w:tr2bl w:val="nil"/>
                  </w:tcBorders>
                  <w:noWrap w:val="0"/>
                  <w:vAlign w:val="center"/>
                </w:tcPr>
                <w:p w14:paraId="1223971E">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2</w:t>
                  </w:r>
                </w:p>
              </w:tc>
              <w:tc>
                <w:tcPr>
                  <w:tcW w:w="510" w:type="dxa"/>
                  <w:tcBorders>
                    <w:tl2br w:val="nil"/>
                    <w:tr2bl w:val="nil"/>
                  </w:tcBorders>
                  <w:noWrap w:val="0"/>
                  <w:vAlign w:val="center"/>
                </w:tcPr>
                <w:p w14:paraId="4C8E1E8D">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cs="Times New Roman"/>
                      <w:b w:val="0"/>
                      <w:bCs/>
                      <w:color w:val="auto"/>
                      <w:kern w:val="0"/>
                      <w:sz w:val="18"/>
                      <w:szCs w:val="18"/>
                      <w:highlight w:val="none"/>
                      <w:vertAlign w:val="baseline"/>
                      <w:lang w:val="en-US" w:eastAsia="zh-CN" w:bidi="ar-SA"/>
                    </w:rPr>
                    <w:t>79</w:t>
                  </w:r>
                </w:p>
              </w:tc>
              <w:tc>
                <w:tcPr>
                  <w:tcW w:w="510" w:type="dxa"/>
                  <w:vMerge w:val="continue"/>
                  <w:tcBorders>
                    <w:tl2br w:val="nil"/>
                    <w:tr2bl w:val="nil"/>
                  </w:tcBorders>
                  <w:noWrap w:val="0"/>
                  <w:vAlign w:val="center"/>
                </w:tcPr>
                <w:p w14:paraId="3A0527A9">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46B64755">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5755BDC9">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59</w:t>
                  </w:r>
                </w:p>
              </w:tc>
              <w:tc>
                <w:tcPr>
                  <w:tcW w:w="516" w:type="dxa"/>
                  <w:tcBorders>
                    <w:tl2br w:val="nil"/>
                    <w:tr2bl w:val="nil"/>
                  </w:tcBorders>
                  <w:noWrap w:val="0"/>
                  <w:vAlign w:val="center"/>
                </w:tcPr>
                <w:p w14:paraId="7E0F834A">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r w14:paraId="3C8AEF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473" w:type="dxa"/>
                  <w:tcBorders>
                    <w:tl2br w:val="nil"/>
                    <w:tr2bl w:val="nil"/>
                  </w:tcBorders>
                  <w:noWrap w:val="0"/>
                  <w:vAlign w:val="center"/>
                </w:tcPr>
                <w:p w14:paraId="624558D8">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6</w:t>
                  </w:r>
                </w:p>
              </w:tc>
              <w:tc>
                <w:tcPr>
                  <w:tcW w:w="657" w:type="dxa"/>
                  <w:vMerge w:val="continue"/>
                  <w:tcBorders>
                    <w:tl2br w:val="nil"/>
                    <w:tr2bl w:val="nil"/>
                  </w:tcBorders>
                  <w:shd w:val="clear" w:color="auto" w:fill="auto"/>
                  <w:noWrap w:val="0"/>
                  <w:vAlign w:val="center"/>
                </w:tcPr>
                <w:p w14:paraId="7736CC76">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p>
              </w:tc>
              <w:tc>
                <w:tcPr>
                  <w:tcW w:w="945" w:type="dxa"/>
                  <w:tcBorders>
                    <w:tl2br w:val="nil"/>
                    <w:tr2bl w:val="nil"/>
                  </w:tcBorders>
                  <w:shd w:val="clear" w:color="auto" w:fill="auto"/>
                  <w:noWrap w:val="0"/>
                  <w:vAlign w:val="center"/>
                </w:tcPr>
                <w:p w14:paraId="408C4623">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杀菌锅</w:t>
                  </w:r>
                </w:p>
              </w:tc>
              <w:tc>
                <w:tcPr>
                  <w:tcW w:w="420" w:type="dxa"/>
                  <w:tcBorders>
                    <w:tl2br w:val="nil"/>
                    <w:tr2bl w:val="nil"/>
                  </w:tcBorders>
                  <w:noWrap w:val="0"/>
                  <w:vAlign w:val="center"/>
                </w:tcPr>
                <w:p w14:paraId="569DDBE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80</w:t>
                  </w:r>
                </w:p>
              </w:tc>
              <w:tc>
                <w:tcPr>
                  <w:tcW w:w="465" w:type="dxa"/>
                  <w:tcBorders>
                    <w:tl2br w:val="nil"/>
                    <w:tr2bl w:val="nil"/>
                  </w:tcBorders>
                  <w:noWrap w:val="0"/>
                  <w:vAlign w:val="center"/>
                </w:tcPr>
                <w:p w14:paraId="1974AD76">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1</w:t>
                  </w:r>
                </w:p>
              </w:tc>
              <w:tc>
                <w:tcPr>
                  <w:tcW w:w="498" w:type="dxa"/>
                  <w:vMerge w:val="continue"/>
                  <w:tcBorders>
                    <w:tl2br w:val="nil"/>
                    <w:tr2bl w:val="nil"/>
                  </w:tcBorders>
                  <w:noWrap w:val="0"/>
                  <w:vAlign w:val="center"/>
                </w:tcPr>
                <w:p w14:paraId="62FFD275">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43BA912B">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-45</w:t>
                  </w:r>
                </w:p>
              </w:tc>
              <w:tc>
                <w:tcPr>
                  <w:tcW w:w="510" w:type="dxa"/>
                  <w:tcBorders>
                    <w:tl2br w:val="nil"/>
                    <w:tr2bl w:val="nil"/>
                  </w:tcBorders>
                  <w:noWrap w:val="0"/>
                  <w:vAlign w:val="center"/>
                </w:tcPr>
                <w:p w14:paraId="28BA974E">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-8</w:t>
                  </w:r>
                </w:p>
              </w:tc>
              <w:tc>
                <w:tcPr>
                  <w:tcW w:w="510" w:type="dxa"/>
                  <w:tcBorders>
                    <w:tl2br w:val="nil"/>
                    <w:tr2bl w:val="nil"/>
                  </w:tcBorders>
                  <w:noWrap w:val="0"/>
                  <w:vAlign w:val="center"/>
                </w:tcPr>
                <w:p w14:paraId="126E3E10">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1.5</w:t>
                  </w:r>
                </w:p>
              </w:tc>
              <w:tc>
                <w:tcPr>
                  <w:tcW w:w="510" w:type="dxa"/>
                  <w:tcBorders>
                    <w:tl2br w:val="nil"/>
                    <w:tr2bl w:val="nil"/>
                  </w:tcBorders>
                  <w:noWrap w:val="0"/>
                  <w:vAlign w:val="center"/>
                </w:tcPr>
                <w:p w14:paraId="55C68E81">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2</w:t>
                  </w:r>
                </w:p>
              </w:tc>
              <w:tc>
                <w:tcPr>
                  <w:tcW w:w="510" w:type="dxa"/>
                  <w:tcBorders>
                    <w:tl2br w:val="nil"/>
                    <w:tr2bl w:val="nil"/>
                  </w:tcBorders>
                  <w:noWrap w:val="0"/>
                  <w:vAlign w:val="center"/>
                </w:tcPr>
                <w:p w14:paraId="15C30A1B">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bidi="ar-SA"/>
                    </w:rPr>
                    <w:t>79</w:t>
                  </w:r>
                </w:p>
              </w:tc>
              <w:tc>
                <w:tcPr>
                  <w:tcW w:w="510" w:type="dxa"/>
                  <w:vMerge w:val="continue"/>
                  <w:tcBorders>
                    <w:tl2br w:val="nil"/>
                    <w:tr2bl w:val="nil"/>
                  </w:tcBorders>
                  <w:noWrap w:val="0"/>
                  <w:vAlign w:val="center"/>
                </w:tcPr>
                <w:p w14:paraId="7E771182">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27991276">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68ACA41C">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59</w:t>
                  </w:r>
                </w:p>
              </w:tc>
              <w:tc>
                <w:tcPr>
                  <w:tcW w:w="516" w:type="dxa"/>
                  <w:tcBorders>
                    <w:tl2br w:val="nil"/>
                    <w:tr2bl w:val="nil"/>
                  </w:tcBorders>
                  <w:noWrap w:val="0"/>
                  <w:vAlign w:val="center"/>
                </w:tcPr>
                <w:p w14:paraId="5BFD04E4">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r w14:paraId="7959ED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473" w:type="dxa"/>
                  <w:tcBorders>
                    <w:tl2br w:val="nil"/>
                    <w:tr2bl w:val="nil"/>
                  </w:tcBorders>
                  <w:noWrap w:val="0"/>
                  <w:vAlign w:val="center"/>
                </w:tcPr>
                <w:p w14:paraId="3629CB15">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7</w:t>
                  </w:r>
                </w:p>
              </w:tc>
              <w:tc>
                <w:tcPr>
                  <w:tcW w:w="657" w:type="dxa"/>
                  <w:vMerge w:val="continue"/>
                  <w:tcBorders>
                    <w:tl2br w:val="nil"/>
                    <w:tr2bl w:val="nil"/>
                  </w:tcBorders>
                  <w:shd w:val="clear" w:color="auto" w:fill="auto"/>
                  <w:noWrap w:val="0"/>
                  <w:vAlign w:val="center"/>
                </w:tcPr>
                <w:p w14:paraId="6E4D0DAD">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945" w:type="dxa"/>
                  <w:tcBorders>
                    <w:tl2br w:val="nil"/>
                    <w:tr2bl w:val="nil"/>
                  </w:tcBorders>
                  <w:shd w:val="clear" w:color="auto" w:fill="auto"/>
                  <w:noWrap w:val="0"/>
                  <w:vAlign w:val="center"/>
                </w:tcPr>
                <w:p w14:paraId="7B056682">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杀菌锅</w:t>
                  </w:r>
                </w:p>
              </w:tc>
              <w:tc>
                <w:tcPr>
                  <w:tcW w:w="420" w:type="dxa"/>
                  <w:tcBorders>
                    <w:tl2br w:val="nil"/>
                    <w:tr2bl w:val="nil"/>
                  </w:tcBorders>
                  <w:noWrap w:val="0"/>
                  <w:vAlign w:val="center"/>
                </w:tcPr>
                <w:p w14:paraId="022C5706">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80</w:t>
                  </w:r>
                </w:p>
              </w:tc>
              <w:tc>
                <w:tcPr>
                  <w:tcW w:w="465" w:type="dxa"/>
                  <w:tcBorders>
                    <w:tl2br w:val="nil"/>
                    <w:tr2bl w:val="nil"/>
                  </w:tcBorders>
                  <w:noWrap w:val="0"/>
                  <w:vAlign w:val="center"/>
                </w:tcPr>
                <w:p w14:paraId="37F1AAF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1</w:t>
                  </w:r>
                </w:p>
              </w:tc>
              <w:tc>
                <w:tcPr>
                  <w:tcW w:w="498" w:type="dxa"/>
                  <w:vMerge w:val="continue"/>
                  <w:tcBorders>
                    <w:tl2br w:val="nil"/>
                    <w:tr2bl w:val="nil"/>
                  </w:tcBorders>
                  <w:noWrap w:val="0"/>
                  <w:vAlign w:val="center"/>
                </w:tcPr>
                <w:p w14:paraId="6EB4B729">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1D1ACED9">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-46</w:t>
                  </w:r>
                </w:p>
              </w:tc>
              <w:tc>
                <w:tcPr>
                  <w:tcW w:w="510" w:type="dxa"/>
                  <w:tcBorders>
                    <w:tl2br w:val="nil"/>
                    <w:tr2bl w:val="nil"/>
                  </w:tcBorders>
                  <w:noWrap w:val="0"/>
                  <w:vAlign w:val="center"/>
                </w:tcPr>
                <w:p w14:paraId="3033DD3F">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-9</w:t>
                  </w:r>
                </w:p>
              </w:tc>
              <w:tc>
                <w:tcPr>
                  <w:tcW w:w="510" w:type="dxa"/>
                  <w:tcBorders>
                    <w:tl2br w:val="nil"/>
                    <w:tr2bl w:val="nil"/>
                  </w:tcBorders>
                  <w:noWrap w:val="0"/>
                  <w:vAlign w:val="center"/>
                </w:tcPr>
                <w:p w14:paraId="188AF60A">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1.5</w:t>
                  </w:r>
                </w:p>
              </w:tc>
              <w:tc>
                <w:tcPr>
                  <w:tcW w:w="510" w:type="dxa"/>
                  <w:tcBorders>
                    <w:tl2br w:val="nil"/>
                    <w:tr2bl w:val="nil"/>
                  </w:tcBorders>
                  <w:noWrap w:val="0"/>
                  <w:vAlign w:val="center"/>
                </w:tcPr>
                <w:p w14:paraId="5BC024D0">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2</w:t>
                  </w:r>
                </w:p>
              </w:tc>
              <w:tc>
                <w:tcPr>
                  <w:tcW w:w="510" w:type="dxa"/>
                  <w:tcBorders>
                    <w:tl2br w:val="nil"/>
                    <w:tr2bl w:val="nil"/>
                  </w:tcBorders>
                  <w:noWrap w:val="0"/>
                  <w:vAlign w:val="center"/>
                </w:tcPr>
                <w:p w14:paraId="5B2B4E92">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bidi="ar-SA"/>
                    </w:rPr>
                    <w:t>79</w:t>
                  </w:r>
                </w:p>
              </w:tc>
              <w:tc>
                <w:tcPr>
                  <w:tcW w:w="510" w:type="dxa"/>
                  <w:vMerge w:val="continue"/>
                  <w:tcBorders>
                    <w:tl2br w:val="nil"/>
                    <w:tr2bl w:val="nil"/>
                  </w:tcBorders>
                  <w:noWrap w:val="0"/>
                  <w:vAlign w:val="center"/>
                </w:tcPr>
                <w:p w14:paraId="51F97602">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56D6B474">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257D4FDD">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59</w:t>
                  </w:r>
                </w:p>
              </w:tc>
              <w:tc>
                <w:tcPr>
                  <w:tcW w:w="516" w:type="dxa"/>
                  <w:tcBorders>
                    <w:tl2br w:val="nil"/>
                    <w:tr2bl w:val="nil"/>
                  </w:tcBorders>
                  <w:noWrap w:val="0"/>
                  <w:vAlign w:val="center"/>
                </w:tcPr>
                <w:p w14:paraId="0D7EEC63">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r w14:paraId="72D703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473" w:type="dxa"/>
                  <w:tcBorders>
                    <w:tl2br w:val="nil"/>
                    <w:tr2bl w:val="nil"/>
                  </w:tcBorders>
                  <w:noWrap w:val="0"/>
                  <w:vAlign w:val="center"/>
                </w:tcPr>
                <w:p w14:paraId="2ABF4A9E">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宋体" w:eastAsia="宋体" w:cs="Times New Roman"/>
                      <w:b w:val="0"/>
                      <w:bCs/>
                      <w:color w:val="auto"/>
                      <w:kern w:val="0"/>
                      <w:sz w:val="18"/>
                      <w:szCs w:val="18"/>
                      <w:highlight w:val="none"/>
                      <w:vertAlign w:val="baseline"/>
                      <w:lang w:val="en-US" w:eastAsia="zh-CN" w:bidi="ar-SA"/>
                    </w:rPr>
                  </w:pPr>
                  <w:r>
                    <w:rPr>
                      <w:rFonts w:hint="eastAsia" w:ascii="Times New Roman" w:cs="Times New Roman"/>
                      <w:b w:val="0"/>
                      <w:bCs/>
                      <w:color w:val="auto"/>
                      <w:kern w:val="0"/>
                      <w:sz w:val="18"/>
                      <w:szCs w:val="18"/>
                      <w:highlight w:val="none"/>
                      <w:vertAlign w:val="baseline"/>
                      <w:lang w:val="en-US" w:eastAsia="zh-CN"/>
                    </w:rPr>
                    <w:t>8</w:t>
                  </w:r>
                </w:p>
              </w:tc>
              <w:tc>
                <w:tcPr>
                  <w:tcW w:w="657" w:type="dxa"/>
                  <w:vMerge w:val="continue"/>
                  <w:tcBorders>
                    <w:tl2br w:val="nil"/>
                    <w:tr2bl w:val="nil"/>
                  </w:tcBorders>
                  <w:shd w:val="clear" w:color="auto" w:fill="auto"/>
                  <w:noWrap w:val="0"/>
                  <w:vAlign w:val="center"/>
                </w:tcPr>
                <w:p w14:paraId="341DE998">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p>
              </w:tc>
              <w:tc>
                <w:tcPr>
                  <w:tcW w:w="945" w:type="dxa"/>
                  <w:tcBorders>
                    <w:tl2br w:val="nil"/>
                    <w:tr2bl w:val="nil"/>
                  </w:tcBorders>
                  <w:shd w:val="clear" w:color="auto" w:fill="auto"/>
                  <w:noWrap w:val="0"/>
                  <w:vAlign w:val="center"/>
                </w:tcPr>
                <w:p w14:paraId="7DF8907E">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螺杆机</w:t>
                  </w:r>
                </w:p>
              </w:tc>
              <w:tc>
                <w:tcPr>
                  <w:tcW w:w="420" w:type="dxa"/>
                  <w:tcBorders>
                    <w:tl2br w:val="nil"/>
                    <w:tr2bl w:val="nil"/>
                  </w:tcBorders>
                  <w:noWrap w:val="0"/>
                  <w:vAlign w:val="center"/>
                </w:tcPr>
                <w:p w14:paraId="69AC48B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80</w:t>
                  </w:r>
                </w:p>
              </w:tc>
              <w:tc>
                <w:tcPr>
                  <w:tcW w:w="465" w:type="dxa"/>
                  <w:tcBorders>
                    <w:tl2br w:val="nil"/>
                    <w:tr2bl w:val="nil"/>
                  </w:tcBorders>
                  <w:noWrap w:val="0"/>
                  <w:vAlign w:val="center"/>
                </w:tcPr>
                <w:p w14:paraId="19463240">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1</w:t>
                  </w:r>
                </w:p>
              </w:tc>
              <w:tc>
                <w:tcPr>
                  <w:tcW w:w="498" w:type="dxa"/>
                  <w:vMerge w:val="continue"/>
                  <w:tcBorders>
                    <w:tl2br w:val="nil"/>
                    <w:tr2bl w:val="nil"/>
                  </w:tcBorders>
                  <w:noWrap w:val="0"/>
                  <w:vAlign w:val="center"/>
                </w:tcPr>
                <w:p w14:paraId="3CBEB21B">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0CB43406">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-45</w:t>
                  </w:r>
                </w:p>
              </w:tc>
              <w:tc>
                <w:tcPr>
                  <w:tcW w:w="510" w:type="dxa"/>
                  <w:tcBorders>
                    <w:tl2br w:val="nil"/>
                    <w:tr2bl w:val="nil"/>
                  </w:tcBorders>
                  <w:noWrap w:val="0"/>
                  <w:vAlign w:val="center"/>
                </w:tcPr>
                <w:p w14:paraId="0CD7A03F">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-10</w:t>
                  </w:r>
                </w:p>
              </w:tc>
              <w:tc>
                <w:tcPr>
                  <w:tcW w:w="510" w:type="dxa"/>
                  <w:tcBorders>
                    <w:tl2br w:val="nil"/>
                    <w:tr2bl w:val="nil"/>
                  </w:tcBorders>
                  <w:noWrap w:val="0"/>
                  <w:vAlign w:val="center"/>
                </w:tcPr>
                <w:p w14:paraId="681E3118">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1.5</w:t>
                  </w:r>
                </w:p>
              </w:tc>
              <w:tc>
                <w:tcPr>
                  <w:tcW w:w="510" w:type="dxa"/>
                  <w:tcBorders>
                    <w:tl2br w:val="nil"/>
                    <w:tr2bl w:val="nil"/>
                  </w:tcBorders>
                  <w:noWrap w:val="0"/>
                  <w:vAlign w:val="center"/>
                </w:tcPr>
                <w:p w14:paraId="5D488ED0">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2</w:t>
                  </w:r>
                </w:p>
              </w:tc>
              <w:tc>
                <w:tcPr>
                  <w:tcW w:w="510" w:type="dxa"/>
                  <w:tcBorders>
                    <w:tl2br w:val="nil"/>
                    <w:tr2bl w:val="nil"/>
                  </w:tcBorders>
                  <w:noWrap w:val="0"/>
                  <w:vAlign w:val="center"/>
                </w:tcPr>
                <w:p w14:paraId="6C2A4EDD">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bidi="ar-SA"/>
                    </w:rPr>
                    <w:t>79</w:t>
                  </w:r>
                </w:p>
              </w:tc>
              <w:tc>
                <w:tcPr>
                  <w:tcW w:w="510" w:type="dxa"/>
                  <w:vMerge w:val="continue"/>
                  <w:tcBorders>
                    <w:tl2br w:val="nil"/>
                    <w:tr2bl w:val="nil"/>
                  </w:tcBorders>
                  <w:noWrap w:val="0"/>
                  <w:vAlign w:val="center"/>
                </w:tcPr>
                <w:p w14:paraId="0EE9161C">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482131C4">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4BC24197">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59</w:t>
                  </w:r>
                </w:p>
              </w:tc>
              <w:tc>
                <w:tcPr>
                  <w:tcW w:w="516" w:type="dxa"/>
                  <w:tcBorders>
                    <w:tl2br w:val="nil"/>
                    <w:tr2bl w:val="nil"/>
                  </w:tcBorders>
                  <w:noWrap w:val="0"/>
                  <w:vAlign w:val="center"/>
                </w:tcPr>
                <w:p w14:paraId="45DED296">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r w14:paraId="0DBBB7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473" w:type="dxa"/>
                  <w:tcBorders>
                    <w:tl2br w:val="nil"/>
                    <w:tr2bl w:val="nil"/>
                  </w:tcBorders>
                  <w:noWrap w:val="0"/>
                  <w:vAlign w:val="center"/>
                </w:tcPr>
                <w:p w14:paraId="24D4E037">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宋体" w:eastAsia="宋体" w:cs="Times New Roman"/>
                      <w:b w:val="0"/>
                      <w:bCs/>
                      <w:color w:val="auto"/>
                      <w:kern w:val="0"/>
                      <w:sz w:val="18"/>
                      <w:szCs w:val="18"/>
                      <w:highlight w:val="none"/>
                      <w:vertAlign w:val="baseline"/>
                      <w:lang w:val="en-US" w:eastAsia="zh-CN" w:bidi="ar-SA"/>
                    </w:rPr>
                  </w:pPr>
                  <w:r>
                    <w:rPr>
                      <w:rFonts w:hint="eastAsia" w:ascii="Times New Roman" w:cs="Times New Roman"/>
                      <w:b w:val="0"/>
                      <w:bCs/>
                      <w:color w:val="auto"/>
                      <w:kern w:val="0"/>
                      <w:sz w:val="18"/>
                      <w:szCs w:val="18"/>
                      <w:highlight w:val="none"/>
                      <w:vertAlign w:val="baseline"/>
                      <w:lang w:val="en-US" w:eastAsia="zh-CN"/>
                    </w:rPr>
                    <w:t>9</w:t>
                  </w:r>
                </w:p>
              </w:tc>
              <w:tc>
                <w:tcPr>
                  <w:tcW w:w="657" w:type="dxa"/>
                  <w:tcBorders>
                    <w:tl2br w:val="nil"/>
                    <w:tr2bl w:val="nil"/>
                  </w:tcBorders>
                  <w:shd w:val="clear" w:color="auto" w:fill="auto"/>
                  <w:noWrap w:val="0"/>
                  <w:vAlign w:val="center"/>
                </w:tcPr>
                <w:p w14:paraId="0C95D1B8">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cs="Times New Roman"/>
                      <w:b w:val="0"/>
                      <w:bCs/>
                      <w:color w:val="auto"/>
                      <w:kern w:val="0"/>
                      <w:sz w:val="18"/>
                      <w:szCs w:val="18"/>
                      <w:highlight w:val="none"/>
                      <w:vertAlign w:val="baseline"/>
                      <w:lang w:val="en-US" w:eastAsia="zh-CN"/>
                    </w:rPr>
                    <w:t>水房</w:t>
                  </w:r>
                </w:p>
              </w:tc>
              <w:tc>
                <w:tcPr>
                  <w:tcW w:w="945" w:type="dxa"/>
                  <w:tcBorders>
                    <w:tl2br w:val="nil"/>
                    <w:tr2bl w:val="nil"/>
                  </w:tcBorders>
                  <w:shd w:val="clear" w:color="auto" w:fill="auto"/>
                  <w:noWrap w:val="0"/>
                  <w:vAlign w:val="center"/>
                </w:tcPr>
                <w:p w14:paraId="09FB4243">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水处理设备</w:t>
                  </w:r>
                </w:p>
              </w:tc>
              <w:tc>
                <w:tcPr>
                  <w:tcW w:w="420" w:type="dxa"/>
                  <w:tcBorders>
                    <w:tl2br w:val="nil"/>
                    <w:tr2bl w:val="nil"/>
                  </w:tcBorders>
                  <w:noWrap w:val="0"/>
                  <w:vAlign w:val="center"/>
                </w:tcPr>
                <w:p w14:paraId="4E1BD06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80</w:t>
                  </w:r>
                </w:p>
              </w:tc>
              <w:tc>
                <w:tcPr>
                  <w:tcW w:w="465" w:type="dxa"/>
                  <w:tcBorders>
                    <w:tl2br w:val="nil"/>
                    <w:tr2bl w:val="nil"/>
                  </w:tcBorders>
                  <w:noWrap w:val="0"/>
                  <w:vAlign w:val="center"/>
                </w:tcPr>
                <w:p w14:paraId="52E196D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1</w:t>
                  </w:r>
                </w:p>
              </w:tc>
              <w:tc>
                <w:tcPr>
                  <w:tcW w:w="498" w:type="dxa"/>
                  <w:vMerge w:val="continue"/>
                  <w:tcBorders>
                    <w:tl2br w:val="nil"/>
                    <w:tr2bl w:val="nil"/>
                  </w:tcBorders>
                  <w:noWrap w:val="0"/>
                  <w:vAlign w:val="center"/>
                </w:tcPr>
                <w:p w14:paraId="15E4ED8E">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tcBorders>
                    <w:tl2br w:val="nil"/>
                    <w:tr2bl w:val="nil"/>
                  </w:tcBorders>
                  <w:noWrap w:val="0"/>
                  <w:vAlign w:val="center"/>
                </w:tcPr>
                <w:p w14:paraId="027F351D">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-42</w:t>
                  </w:r>
                </w:p>
              </w:tc>
              <w:tc>
                <w:tcPr>
                  <w:tcW w:w="510" w:type="dxa"/>
                  <w:tcBorders>
                    <w:tl2br w:val="nil"/>
                    <w:tr2bl w:val="nil"/>
                  </w:tcBorders>
                  <w:noWrap w:val="0"/>
                  <w:vAlign w:val="center"/>
                </w:tcPr>
                <w:p w14:paraId="61A20D56">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-25</w:t>
                  </w:r>
                </w:p>
              </w:tc>
              <w:tc>
                <w:tcPr>
                  <w:tcW w:w="510" w:type="dxa"/>
                  <w:tcBorders>
                    <w:tl2br w:val="nil"/>
                    <w:tr2bl w:val="nil"/>
                  </w:tcBorders>
                  <w:noWrap w:val="0"/>
                  <w:vAlign w:val="center"/>
                </w:tcPr>
                <w:p w14:paraId="1D7AD282">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1.5</w:t>
                  </w:r>
                </w:p>
              </w:tc>
              <w:tc>
                <w:tcPr>
                  <w:tcW w:w="510" w:type="dxa"/>
                  <w:tcBorders>
                    <w:tl2br w:val="nil"/>
                    <w:tr2bl w:val="nil"/>
                  </w:tcBorders>
                  <w:noWrap w:val="0"/>
                  <w:vAlign w:val="center"/>
                </w:tcPr>
                <w:p w14:paraId="5DFC6EF2">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1</w:t>
                  </w:r>
                </w:p>
              </w:tc>
              <w:tc>
                <w:tcPr>
                  <w:tcW w:w="510" w:type="dxa"/>
                  <w:tcBorders>
                    <w:tl2br w:val="nil"/>
                    <w:tr2bl w:val="nil"/>
                  </w:tcBorders>
                  <w:noWrap w:val="0"/>
                  <w:vAlign w:val="center"/>
                </w:tcPr>
                <w:p w14:paraId="6394CAB7">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80</w:t>
                  </w:r>
                </w:p>
              </w:tc>
              <w:tc>
                <w:tcPr>
                  <w:tcW w:w="510" w:type="dxa"/>
                  <w:vMerge w:val="continue"/>
                  <w:tcBorders>
                    <w:tl2br w:val="nil"/>
                    <w:tr2bl w:val="nil"/>
                  </w:tcBorders>
                  <w:noWrap w:val="0"/>
                  <w:vAlign w:val="center"/>
                </w:tcPr>
                <w:p w14:paraId="4CB20D88">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p>
              </w:tc>
              <w:tc>
                <w:tcPr>
                  <w:tcW w:w="510" w:type="dxa"/>
                  <w:tcBorders>
                    <w:tl2br w:val="nil"/>
                    <w:tr2bl w:val="nil"/>
                  </w:tcBorders>
                  <w:noWrap w:val="0"/>
                  <w:vAlign w:val="center"/>
                </w:tcPr>
                <w:p w14:paraId="23C0D028">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ascii="Times New Roman" w:hAnsi="Times New Roman" w:eastAsia="宋体"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4510C363">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60</w:t>
                  </w:r>
                </w:p>
              </w:tc>
              <w:tc>
                <w:tcPr>
                  <w:tcW w:w="516" w:type="dxa"/>
                  <w:tcBorders>
                    <w:tl2br w:val="nil"/>
                    <w:tr2bl w:val="nil"/>
                  </w:tcBorders>
                  <w:noWrap w:val="0"/>
                  <w:vAlign w:val="center"/>
                </w:tcPr>
                <w:p w14:paraId="0F45EC77">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r w14:paraId="0136D4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473" w:type="dxa"/>
                  <w:tcBorders>
                    <w:tl2br w:val="nil"/>
                    <w:tr2bl w:val="nil"/>
                  </w:tcBorders>
                  <w:noWrap w:val="0"/>
                  <w:vAlign w:val="center"/>
                </w:tcPr>
                <w:p w14:paraId="7BE73F42">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宋体" w:eastAsia="宋体" w:cs="Times New Roman"/>
                      <w:b w:val="0"/>
                      <w:bCs/>
                      <w:color w:val="auto"/>
                      <w:kern w:val="0"/>
                      <w:sz w:val="18"/>
                      <w:szCs w:val="18"/>
                      <w:highlight w:val="none"/>
                      <w:vertAlign w:val="baseline"/>
                      <w:lang w:val="en-US" w:eastAsia="zh-CN" w:bidi="ar-SA"/>
                    </w:rPr>
                  </w:pPr>
                  <w:r>
                    <w:rPr>
                      <w:rFonts w:hint="eastAsia" w:ascii="Times New Roman" w:cs="Times New Roman"/>
                      <w:b w:val="0"/>
                      <w:bCs/>
                      <w:color w:val="auto"/>
                      <w:kern w:val="0"/>
                      <w:sz w:val="18"/>
                      <w:szCs w:val="18"/>
                      <w:highlight w:val="none"/>
                      <w:vertAlign w:val="baseline"/>
                      <w:lang w:val="en-US" w:eastAsia="zh-CN"/>
                    </w:rPr>
                    <w:t>10</w:t>
                  </w:r>
                </w:p>
              </w:tc>
              <w:tc>
                <w:tcPr>
                  <w:tcW w:w="657" w:type="dxa"/>
                  <w:vMerge w:val="restart"/>
                  <w:tcBorders>
                    <w:tl2br w:val="nil"/>
                    <w:tr2bl w:val="nil"/>
                  </w:tcBorders>
                  <w:shd w:val="clear" w:color="auto" w:fill="auto"/>
                  <w:noWrap w:val="0"/>
                  <w:vAlign w:val="center"/>
                </w:tcPr>
                <w:p w14:paraId="6BFE634A">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eastAsia="zh-CN"/>
                    </w:rPr>
                    <w:t>锅炉房</w:t>
                  </w:r>
                </w:p>
              </w:tc>
              <w:tc>
                <w:tcPr>
                  <w:tcW w:w="945" w:type="dxa"/>
                  <w:tcBorders>
                    <w:tl2br w:val="nil"/>
                    <w:tr2bl w:val="nil"/>
                  </w:tcBorders>
                  <w:shd w:val="clear" w:color="auto" w:fill="auto"/>
                  <w:noWrap w:val="0"/>
                  <w:vAlign w:val="center"/>
                </w:tcPr>
                <w:p w14:paraId="50D790F8">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4t/h燃生物质蒸汽锅炉</w:t>
                  </w:r>
                </w:p>
              </w:tc>
              <w:tc>
                <w:tcPr>
                  <w:tcW w:w="420" w:type="dxa"/>
                  <w:tcBorders>
                    <w:tl2br w:val="nil"/>
                    <w:tr2bl w:val="nil"/>
                  </w:tcBorders>
                  <w:noWrap w:val="0"/>
                  <w:vAlign w:val="center"/>
                </w:tcPr>
                <w:p w14:paraId="599F2840">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85</w:t>
                  </w:r>
                </w:p>
              </w:tc>
              <w:tc>
                <w:tcPr>
                  <w:tcW w:w="465" w:type="dxa"/>
                  <w:tcBorders>
                    <w:tl2br w:val="nil"/>
                    <w:tr2bl w:val="nil"/>
                  </w:tcBorders>
                  <w:noWrap w:val="0"/>
                  <w:vAlign w:val="center"/>
                </w:tcPr>
                <w:p w14:paraId="4B2ACDB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1</w:t>
                  </w:r>
                </w:p>
              </w:tc>
              <w:tc>
                <w:tcPr>
                  <w:tcW w:w="498" w:type="dxa"/>
                  <w:vMerge w:val="continue"/>
                  <w:tcBorders>
                    <w:tl2br w:val="nil"/>
                    <w:tr2bl w:val="nil"/>
                  </w:tcBorders>
                  <w:noWrap w:val="0"/>
                  <w:vAlign w:val="center"/>
                </w:tcPr>
                <w:p w14:paraId="6432CF3D">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tcBorders>
                    <w:tl2br w:val="nil"/>
                    <w:tr2bl w:val="nil"/>
                  </w:tcBorders>
                  <w:noWrap w:val="0"/>
                  <w:vAlign w:val="center"/>
                </w:tcPr>
                <w:p w14:paraId="0027909E">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-40</w:t>
                  </w:r>
                </w:p>
              </w:tc>
              <w:tc>
                <w:tcPr>
                  <w:tcW w:w="510" w:type="dxa"/>
                  <w:tcBorders>
                    <w:tl2br w:val="nil"/>
                    <w:tr2bl w:val="nil"/>
                  </w:tcBorders>
                  <w:noWrap w:val="0"/>
                  <w:vAlign w:val="center"/>
                </w:tcPr>
                <w:p w14:paraId="6D01A3C2">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-32</w:t>
                  </w:r>
                </w:p>
              </w:tc>
              <w:tc>
                <w:tcPr>
                  <w:tcW w:w="510" w:type="dxa"/>
                  <w:tcBorders>
                    <w:tl2br w:val="nil"/>
                    <w:tr2bl w:val="nil"/>
                  </w:tcBorders>
                  <w:noWrap w:val="0"/>
                  <w:vAlign w:val="center"/>
                </w:tcPr>
                <w:p w14:paraId="62AB0CC7">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2.5</w:t>
                  </w:r>
                </w:p>
              </w:tc>
              <w:tc>
                <w:tcPr>
                  <w:tcW w:w="510" w:type="dxa"/>
                  <w:tcBorders>
                    <w:tl2br w:val="nil"/>
                    <w:tr2bl w:val="nil"/>
                  </w:tcBorders>
                  <w:noWrap w:val="0"/>
                  <w:vAlign w:val="center"/>
                </w:tcPr>
                <w:p w14:paraId="240F57E3">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2</w:t>
                  </w:r>
                </w:p>
              </w:tc>
              <w:tc>
                <w:tcPr>
                  <w:tcW w:w="510" w:type="dxa"/>
                  <w:tcBorders>
                    <w:tl2br w:val="nil"/>
                    <w:tr2bl w:val="nil"/>
                  </w:tcBorders>
                  <w:noWrap w:val="0"/>
                  <w:vAlign w:val="center"/>
                </w:tcPr>
                <w:p w14:paraId="475BBB48">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84</w:t>
                  </w:r>
                </w:p>
              </w:tc>
              <w:tc>
                <w:tcPr>
                  <w:tcW w:w="510" w:type="dxa"/>
                  <w:vMerge w:val="continue"/>
                  <w:tcBorders>
                    <w:tl2br w:val="nil"/>
                    <w:tr2bl w:val="nil"/>
                  </w:tcBorders>
                  <w:noWrap w:val="0"/>
                  <w:vAlign w:val="center"/>
                </w:tcPr>
                <w:p w14:paraId="7E3EBCF4">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p>
              </w:tc>
              <w:tc>
                <w:tcPr>
                  <w:tcW w:w="510" w:type="dxa"/>
                  <w:tcBorders>
                    <w:tl2br w:val="nil"/>
                    <w:tr2bl w:val="nil"/>
                  </w:tcBorders>
                  <w:noWrap w:val="0"/>
                  <w:vAlign w:val="center"/>
                </w:tcPr>
                <w:p w14:paraId="52391274">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ascii="Times New Roman" w:hAnsi="Times New Roman" w:eastAsia="宋体"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0A34A846">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64</w:t>
                  </w:r>
                </w:p>
              </w:tc>
              <w:tc>
                <w:tcPr>
                  <w:tcW w:w="516" w:type="dxa"/>
                  <w:tcBorders>
                    <w:tl2br w:val="nil"/>
                    <w:tr2bl w:val="nil"/>
                  </w:tcBorders>
                  <w:noWrap w:val="0"/>
                  <w:vAlign w:val="center"/>
                </w:tcPr>
                <w:p w14:paraId="715E10C1">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r w14:paraId="3241B0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473" w:type="dxa"/>
                  <w:tcBorders>
                    <w:tl2br w:val="nil"/>
                    <w:tr2bl w:val="nil"/>
                  </w:tcBorders>
                  <w:noWrap w:val="0"/>
                  <w:vAlign w:val="center"/>
                </w:tcPr>
                <w:p w14:paraId="2F029D4D">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宋体" w:eastAsia="宋体" w:cs="Times New Roman"/>
                      <w:b w:val="0"/>
                      <w:bCs/>
                      <w:color w:val="auto"/>
                      <w:kern w:val="0"/>
                      <w:sz w:val="18"/>
                      <w:szCs w:val="18"/>
                      <w:highlight w:val="none"/>
                      <w:vertAlign w:val="baseline"/>
                      <w:lang w:val="en-US" w:eastAsia="zh-CN" w:bidi="ar-SA"/>
                    </w:rPr>
                  </w:pPr>
                  <w:r>
                    <w:rPr>
                      <w:rFonts w:hint="eastAsia" w:ascii="Times New Roman" w:cs="Times New Roman"/>
                      <w:b w:val="0"/>
                      <w:bCs/>
                      <w:color w:val="auto"/>
                      <w:kern w:val="0"/>
                      <w:sz w:val="18"/>
                      <w:szCs w:val="18"/>
                      <w:highlight w:val="none"/>
                      <w:vertAlign w:val="baseline"/>
                      <w:lang w:val="en-US" w:eastAsia="zh-CN"/>
                    </w:rPr>
                    <w:t>11</w:t>
                  </w:r>
                </w:p>
              </w:tc>
              <w:tc>
                <w:tcPr>
                  <w:tcW w:w="657" w:type="dxa"/>
                  <w:vMerge w:val="continue"/>
                  <w:tcBorders>
                    <w:tl2br w:val="nil"/>
                    <w:tr2bl w:val="nil"/>
                  </w:tcBorders>
                  <w:shd w:val="clear" w:color="auto" w:fill="auto"/>
                  <w:noWrap w:val="0"/>
                  <w:vAlign w:val="center"/>
                </w:tcPr>
                <w:p w14:paraId="6EF0A544">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p>
              </w:tc>
              <w:tc>
                <w:tcPr>
                  <w:tcW w:w="945" w:type="dxa"/>
                  <w:tcBorders>
                    <w:tl2br w:val="nil"/>
                    <w:tr2bl w:val="nil"/>
                  </w:tcBorders>
                  <w:shd w:val="clear" w:color="auto" w:fill="auto"/>
                  <w:noWrap w:val="0"/>
                  <w:vAlign w:val="center"/>
                </w:tcPr>
                <w:p w14:paraId="5E8BFAB3">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风机</w:t>
                  </w:r>
                </w:p>
              </w:tc>
              <w:tc>
                <w:tcPr>
                  <w:tcW w:w="420" w:type="dxa"/>
                  <w:tcBorders>
                    <w:tl2br w:val="nil"/>
                    <w:tr2bl w:val="nil"/>
                  </w:tcBorders>
                  <w:noWrap w:val="0"/>
                  <w:vAlign w:val="center"/>
                </w:tcPr>
                <w:p w14:paraId="129A360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85</w:t>
                  </w:r>
                </w:p>
              </w:tc>
              <w:tc>
                <w:tcPr>
                  <w:tcW w:w="465" w:type="dxa"/>
                  <w:tcBorders>
                    <w:tl2br w:val="nil"/>
                    <w:tr2bl w:val="nil"/>
                  </w:tcBorders>
                  <w:noWrap w:val="0"/>
                  <w:vAlign w:val="center"/>
                </w:tcPr>
                <w:p w14:paraId="47595CF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1</w:t>
                  </w:r>
                </w:p>
              </w:tc>
              <w:tc>
                <w:tcPr>
                  <w:tcW w:w="498" w:type="dxa"/>
                  <w:vMerge w:val="continue"/>
                  <w:tcBorders>
                    <w:tl2br w:val="nil"/>
                    <w:tr2bl w:val="nil"/>
                  </w:tcBorders>
                  <w:noWrap w:val="0"/>
                  <w:vAlign w:val="center"/>
                </w:tcPr>
                <w:p w14:paraId="0079FD6D">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tcBorders>
                    <w:tl2br w:val="nil"/>
                    <w:tr2bl w:val="nil"/>
                  </w:tcBorders>
                  <w:noWrap w:val="0"/>
                  <w:vAlign w:val="center"/>
                </w:tcPr>
                <w:p w14:paraId="6ABDFBAC">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-39</w:t>
                  </w:r>
                </w:p>
              </w:tc>
              <w:tc>
                <w:tcPr>
                  <w:tcW w:w="510" w:type="dxa"/>
                  <w:tcBorders>
                    <w:tl2br w:val="nil"/>
                    <w:tr2bl w:val="nil"/>
                  </w:tcBorders>
                  <w:noWrap w:val="0"/>
                  <w:vAlign w:val="center"/>
                </w:tcPr>
                <w:p w14:paraId="76E3E7C8">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-37</w:t>
                  </w:r>
                </w:p>
              </w:tc>
              <w:tc>
                <w:tcPr>
                  <w:tcW w:w="510" w:type="dxa"/>
                  <w:tcBorders>
                    <w:tl2br w:val="nil"/>
                    <w:tr2bl w:val="nil"/>
                  </w:tcBorders>
                  <w:noWrap w:val="0"/>
                  <w:vAlign w:val="center"/>
                </w:tcPr>
                <w:p w14:paraId="58209280">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0.5</w:t>
                  </w:r>
                </w:p>
              </w:tc>
              <w:tc>
                <w:tcPr>
                  <w:tcW w:w="510" w:type="dxa"/>
                  <w:tcBorders>
                    <w:tl2br w:val="nil"/>
                    <w:tr2bl w:val="nil"/>
                  </w:tcBorders>
                  <w:noWrap w:val="0"/>
                  <w:vAlign w:val="center"/>
                </w:tcPr>
                <w:p w14:paraId="2242093F">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1</w:t>
                  </w:r>
                </w:p>
              </w:tc>
              <w:tc>
                <w:tcPr>
                  <w:tcW w:w="510" w:type="dxa"/>
                  <w:tcBorders>
                    <w:tl2br w:val="nil"/>
                    <w:tr2bl w:val="nil"/>
                  </w:tcBorders>
                  <w:noWrap w:val="0"/>
                  <w:vAlign w:val="center"/>
                </w:tcPr>
                <w:p w14:paraId="06EA8CEF">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85</w:t>
                  </w:r>
                </w:p>
              </w:tc>
              <w:tc>
                <w:tcPr>
                  <w:tcW w:w="510" w:type="dxa"/>
                  <w:vMerge w:val="continue"/>
                  <w:tcBorders>
                    <w:tl2br w:val="nil"/>
                    <w:tr2bl w:val="nil"/>
                  </w:tcBorders>
                  <w:noWrap w:val="0"/>
                  <w:vAlign w:val="center"/>
                </w:tcPr>
                <w:p w14:paraId="7708C2C5">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cs="Times New Roman"/>
                      <w:b w:val="0"/>
                      <w:bCs/>
                      <w:color w:val="auto"/>
                      <w:kern w:val="0"/>
                      <w:sz w:val="18"/>
                      <w:szCs w:val="18"/>
                      <w:highlight w:val="none"/>
                      <w:vertAlign w:val="baseline"/>
                      <w:lang w:val="en-US" w:eastAsia="zh-CN"/>
                    </w:rPr>
                  </w:pPr>
                </w:p>
              </w:tc>
              <w:tc>
                <w:tcPr>
                  <w:tcW w:w="510" w:type="dxa"/>
                  <w:tcBorders>
                    <w:tl2br w:val="nil"/>
                    <w:tr2bl w:val="nil"/>
                  </w:tcBorders>
                  <w:noWrap w:val="0"/>
                  <w:vAlign w:val="center"/>
                </w:tcPr>
                <w:p w14:paraId="2EC7670C">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eastAsia="宋体"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6BB5C3B2">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65</w:t>
                  </w:r>
                </w:p>
              </w:tc>
              <w:tc>
                <w:tcPr>
                  <w:tcW w:w="516" w:type="dxa"/>
                  <w:tcBorders>
                    <w:tl2br w:val="nil"/>
                    <w:tr2bl w:val="nil"/>
                  </w:tcBorders>
                  <w:noWrap w:val="0"/>
                  <w:vAlign w:val="center"/>
                </w:tcPr>
                <w:p w14:paraId="15901505">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r w14:paraId="2E504A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473" w:type="dxa"/>
                  <w:tcBorders>
                    <w:tl2br w:val="nil"/>
                    <w:tr2bl w:val="nil"/>
                  </w:tcBorders>
                  <w:noWrap w:val="0"/>
                  <w:vAlign w:val="center"/>
                </w:tcPr>
                <w:p w14:paraId="7539F9ED">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宋体" w:eastAsia="宋体" w:cs="Times New Roman"/>
                      <w:b w:val="0"/>
                      <w:bCs/>
                      <w:color w:val="auto"/>
                      <w:kern w:val="0"/>
                      <w:sz w:val="18"/>
                      <w:szCs w:val="18"/>
                      <w:highlight w:val="none"/>
                      <w:vertAlign w:val="baseline"/>
                      <w:lang w:val="en-US" w:eastAsia="zh-CN" w:bidi="ar-SA"/>
                    </w:rPr>
                  </w:pPr>
                  <w:r>
                    <w:rPr>
                      <w:rFonts w:hint="eastAsia" w:ascii="Times New Roman" w:cs="Times New Roman"/>
                      <w:b w:val="0"/>
                      <w:bCs/>
                      <w:color w:val="auto"/>
                      <w:kern w:val="0"/>
                      <w:sz w:val="18"/>
                      <w:szCs w:val="18"/>
                      <w:highlight w:val="none"/>
                      <w:vertAlign w:val="baseline"/>
                      <w:lang w:val="en-US" w:eastAsia="zh-CN"/>
                    </w:rPr>
                    <w:t>12</w:t>
                  </w:r>
                </w:p>
              </w:tc>
              <w:tc>
                <w:tcPr>
                  <w:tcW w:w="657" w:type="dxa"/>
                  <w:vMerge w:val="continue"/>
                  <w:tcBorders>
                    <w:tl2br w:val="nil"/>
                    <w:tr2bl w:val="nil"/>
                  </w:tcBorders>
                  <w:shd w:val="clear" w:color="auto" w:fill="auto"/>
                  <w:noWrap w:val="0"/>
                  <w:vAlign w:val="center"/>
                </w:tcPr>
                <w:p w14:paraId="71F9525F">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p>
              </w:tc>
              <w:tc>
                <w:tcPr>
                  <w:tcW w:w="945" w:type="dxa"/>
                  <w:tcBorders>
                    <w:tl2br w:val="nil"/>
                    <w:tr2bl w:val="nil"/>
                  </w:tcBorders>
                  <w:shd w:val="clear" w:color="auto" w:fill="auto"/>
                  <w:noWrap w:val="0"/>
                  <w:vAlign w:val="center"/>
                </w:tcPr>
                <w:p w14:paraId="37639C1B">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风机</w:t>
                  </w:r>
                </w:p>
              </w:tc>
              <w:tc>
                <w:tcPr>
                  <w:tcW w:w="420" w:type="dxa"/>
                  <w:tcBorders>
                    <w:tl2br w:val="nil"/>
                    <w:tr2bl w:val="nil"/>
                  </w:tcBorders>
                  <w:noWrap w:val="0"/>
                  <w:vAlign w:val="center"/>
                </w:tcPr>
                <w:p w14:paraId="5F83EA2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85</w:t>
                  </w:r>
                </w:p>
              </w:tc>
              <w:tc>
                <w:tcPr>
                  <w:tcW w:w="465" w:type="dxa"/>
                  <w:tcBorders>
                    <w:tl2br w:val="nil"/>
                    <w:tr2bl w:val="nil"/>
                  </w:tcBorders>
                  <w:noWrap w:val="0"/>
                  <w:vAlign w:val="center"/>
                </w:tcPr>
                <w:p w14:paraId="7C2B430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1</w:t>
                  </w:r>
                </w:p>
              </w:tc>
              <w:tc>
                <w:tcPr>
                  <w:tcW w:w="498" w:type="dxa"/>
                  <w:vMerge w:val="continue"/>
                  <w:tcBorders>
                    <w:tl2br w:val="nil"/>
                    <w:tr2bl w:val="nil"/>
                  </w:tcBorders>
                  <w:noWrap w:val="0"/>
                  <w:vAlign w:val="center"/>
                </w:tcPr>
                <w:p w14:paraId="269B0E90">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tcBorders>
                    <w:tl2br w:val="nil"/>
                    <w:tr2bl w:val="nil"/>
                  </w:tcBorders>
                  <w:noWrap w:val="0"/>
                  <w:vAlign w:val="center"/>
                </w:tcPr>
                <w:p w14:paraId="6628838A">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-39</w:t>
                  </w:r>
                </w:p>
              </w:tc>
              <w:tc>
                <w:tcPr>
                  <w:tcW w:w="510" w:type="dxa"/>
                  <w:tcBorders>
                    <w:tl2br w:val="nil"/>
                    <w:tr2bl w:val="nil"/>
                  </w:tcBorders>
                  <w:noWrap w:val="0"/>
                  <w:vAlign w:val="center"/>
                </w:tcPr>
                <w:p w14:paraId="5F1D6872">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-35</w:t>
                  </w:r>
                </w:p>
              </w:tc>
              <w:tc>
                <w:tcPr>
                  <w:tcW w:w="510" w:type="dxa"/>
                  <w:tcBorders>
                    <w:tl2br w:val="nil"/>
                    <w:tr2bl w:val="nil"/>
                  </w:tcBorders>
                  <w:noWrap w:val="0"/>
                  <w:vAlign w:val="center"/>
                </w:tcPr>
                <w:p w14:paraId="5A482E6F">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0.5</w:t>
                  </w:r>
                </w:p>
              </w:tc>
              <w:tc>
                <w:tcPr>
                  <w:tcW w:w="510" w:type="dxa"/>
                  <w:tcBorders>
                    <w:tl2br w:val="nil"/>
                    <w:tr2bl w:val="nil"/>
                  </w:tcBorders>
                  <w:noWrap w:val="0"/>
                  <w:vAlign w:val="center"/>
                </w:tcPr>
                <w:p w14:paraId="26C4DA6D">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1</w:t>
                  </w:r>
                </w:p>
              </w:tc>
              <w:tc>
                <w:tcPr>
                  <w:tcW w:w="510" w:type="dxa"/>
                  <w:tcBorders>
                    <w:tl2br w:val="nil"/>
                    <w:tr2bl w:val="nil"/>
                  </w:tcBorders>
                  <w:noWrap w:val="0"/>
                  <w:vAlign w:val="center"/>
                </w:tcPr>
                <w:p w14:paraId="7F4BEF29">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85</w:t>
                  </w:r>
                </w:p>
              </w:tc>
              <w:tc>
                <w:tcPr>
                  <w:tcW w:w="510" w:type="dxa"/>
                  <w:vMerge w:val="continue"/>
                  <w:tcBorders>
                    <w:tl2br w:val="nil"/>
                    <w:tr2bl w:val="nil"/>
                  </w:tcBorders>
                  <w:noWrap w:val="0"/>
                  <w:vAlign w:val="center"/>
                </w:tcPr>
                <w:p w14:paraId="03E20E4F">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p>
              </w:tc>
              <w:tc>
                <w:tcPr>
                  <w:tcW w:w="510" w:type="dxa"/>
                  <w:tcBorders>
                    <w:tl2br w:val="nil"/>
                    <w:tr2bl w:val="nil"/>
                  </w:tcBorders>
                  <w:noWrap w:val="0"/>
                  <w:vAlign w:val="center"/>
                </w:tcPr>
                <w:p w14:paraId="67C0ED55">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eastAsia="宋体"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5C233BFC">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65</w:t>
                  </w:r>
                </w:p>
              </w:tc>
              <w:tc>
                <w:tcPr>
                  <w:tcW w:w="516" w:type="dxa"/>
                  <w:tcBorders>
                    <w:tl2br w:val="nil"/>
                    <w:tr2bl w:val="nil"/>
                  </w:tcBorders>
                  <w:noWrap w:val="0"/>
                  <w:vAlign w:val="center"/>
                </w:tcPr>
                <w:p w14:paraId="5DA5D640">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bl>
          <w:p w14:paraId="2C677E04">
            <w:pPr>
              <w:keepNext w:val="0"/>
              <w:keepLines w:val="0"/>
              <w:pageBreakBefore w:val="0"/>
              <w:suppressLineNumbers w:val="0"/>
              <w:wordWrap/>
              <w:bidi w:val="0"/>
              <w:spacing w:before="0" w:beforeAutospacing="0" w:after="0" w:afterAutospacing="0" w:line="240" w:lineRule="auto"/>
              <w:ind w:left="0" w:leftChars="0" w:right="0"/>
              <w:jc w:val="center"/>
              <w:rPr>
                <w:rFonts w:hint="default" w:ascii="Times New Roman" w:hAnsi="Times New Roman" w:eastAsia="宋体" w:cs="Times New Roman"/>
                <w:b/>
                <w:bCs/>
                <w:iCs/>
                <w:color w:val="auto"/>
                <w:kern w:val="0"/>
                <w:sz w:val="21"/>
                <w:szCs w:val="21"/>
                <w:highlight w:val="none"/>
                <w:lang w:val="en-US" w:eastAsia="zh-CN" w:bidi="ar-SA"/>
              </w:rPr>
            </w:pPr>
            <w:r>
              <w:rPr>
                <w:rFonts w:hint="eastAsia" w:cs="Times New Roman"/>
                <w:b/>
                <w:bCs/>
                <w:iCs/>
                <w:color w:val="auto"/>
                <w:kern w:val="0"/>
                <w:sz w:val="21"/>
                <w:szCs w:val="21"/>
                <w:highlight w:val="none"/>
                <w:lang w:val="en-US" w:eastAsia="zh-CN" w:bidi="ar-SA"/>
              </w:rPr>
              <w:t>*注：</w:t>
            </w:r>
            <w:r>
              <w:rPr>
                <w:rFonts w:hint="default" w:ascii="Times New Roman" w:hAnsi="Times New Roman" w:eastAsia="宋体" w:cs="Times New Roman"/>
                <w:b/>
                <w:bCs/>
                <w:iCs/>
                <w:color w:val="auto"/>
                <w:kern w:val="0"/>
                <w:sz w:val="21"/>
                <w:szCs w:val="21"/>
                <w:highlight w:val="none"/>
                <w:lang w:val="en-US" w:eastAsia="zh-CN" w:bidi="ar-SA"/>
              </w:rPr>
              <w:t>原点定位为项目厂区用地红线</w:t>
            </w:r>
            <w:r>
              <w:rPr>
                <w:rFonts w:hint="eastAsia" w:cs="Times New Roman"/>
                <w:b/>
                <w:bCs/>
                <w:iCs/>
                <w:color w:val="auto"/>
                <w:kern w:val="0"/>
                <w:sz w:val="21"/>
                <w:szCs w:val="21"/>
                <w:highlight w:val="none"/>
                <w:lang w:val="en-US" w:eastAsia="zh-CN" w:bidi="ar-SA"/>
              </w:rPr>
              <w:t>范围内中心点坐标（131.17302268,46.69011080）。</w:t>
            </w:r>
          </w:p>
          <w:p w14:paraId="1D7F2E55">
            <w:pPr>
              <w:keepNext w:val="0"/>
              <w:keepLines w:val="0"/>
              <w:pageBreakBefore w:val="0"/>
              <w:suppressLineNumbers w:val="0"/>
              <w:wordWrap/>
              <w:bidi w:val="0"/>
              <w:spacing w:before="0" w:beforeAutospacing="0" w:after="0" w:afterAutospacing="0" w:line="240" w:lineRule="auto"/>
              <w:ind w:left="0" w:leftChars="0" w:right="0"/>
              <w:jc w:val="center"/>
              <w:rPr>
                <w:rFonts w:hint="default" w:ascii="Times New Roman" w:hAnsi="Times New Roman" w:eastAsia="宋体" w:cs="Times New Roman"/>
                <w:b/>
                <w:bCs/>
                <w:iCs/>
                <w:color w:val="auto"/>
                <w:kern w:val="0"/>
                <w:sz w:val="21"/>
                <w:szCs w:val="21"/>
                <w:highlight w:val="none"/>
                <w:lang w:val="en-US" w:eastAsia="zh-CN" w:bidi="ar-SA"/>
              </w:rPr>
            </w:pPr>
          </w:p>
          <w:p w14:paraId="14B805EB">
            <w:pPr>
              <w:keepNext w:val="0"/>
              <w:keepLines w:val="0"/>
              <w:pageBreakBefore w:val="0"/>
              <w:suppressLineNumbers w:val="0"/>
              <w:wordWrap/>
              <w:bidi w:val="0"/>
              <w:spacing w:before="0" w:beforeAutospacing="0" w:after="0" w:afterAutospacing="0" w:line="240" w:lineRule="auto"/>
              <w:ind w:left="0" w:leftChars="0" w:right="0"/>
              <w:jc w:val="center"/>
              <w:rPr>
                <w:rFonts w:hint="eastAsia" w:ascii="Times New Roman" w:hAnsi="Times New Roman" w:eastAsia="宋体" w:cs="Times New Roman"/>
                <w:b/>
                <w:bCs/>
                <w:iCs/>
                <w:color w:val="auto"/>
                <w:kern w:val="0"/>
                <w:sz w:val="21"/>
                <w:szCs w:val="21"/>
                <w:highlight w:val="none"/>
                <w:lang w:val="en-US" w:eastAsia="zh-CN" w:bidi="ar-SA"/>
              </w:rPr>
            </w:pPr>
            <w:r>
              <w:rPr>
                <w:rFonts w:hint="default" w:ascii="Times New Roman" w:hAnsi="Times New Roman" w:eastAsia="宋体" w:cs="Times New Roman"/>
                <w:b/>
                <w:bCs/>
                <w:iCs/>
                <w:color w:val="auto"/>
                <w:kern w:val="0"/>
                <w:sz w:val="21"/>
                <w:szCs w:val="21"/>
                <w:highlight w:val="none"/>
                <w:lang w:val="en-US" w:eastAsia="zh-CN" w:bidi="ar-SA"/>
              </w:rPr>
              <w:t>表</w:t>
            </w:r>
            <w:r>
              <w:rPr>
                <w:rFonts w:hint="eastAsia" w:ascii="Times New Roman" w:hAnsi="Times New Roman" w:eastAsia="宋体" w:cs="Times New Roman"/>
                <w:b/>
                <w:bCs/>
                <w:iCs/>
                <w:color w:val="auto"/>
                <w:kern w:val="0"/>
                <w:sz w:val="21"/>
                <w:szCs w:val="21"/>
                <w:highlight w:val="none"/>
                <w:lang w:val="en-US" w:eastAsia="zh-CN" w:bidi="ar-SA"/>
              </w:rPr>
              <w:t>4-1</w:t>
            </w:r>
            <w:r>
              <w:rPr>
                <w:rFonts w:hint="eastAsia" w:cs="Times New Roman"/>
                <w:b/>
                <w:bCs/>
                <w:iCs/>
                <w:color w:val="auto"/>
                <w:kern w:val="0"/>
                <w:sz w:val="21"/>
                <w:szCs w:val="21"/>
                <w:highlight w:val="none"/>
                <w:lang w:val="en-US" w:eastAsia="zh-CN" w:bidi="ar-SA"/>
              </w:rPr>
              <w:t>4</w:t>
            </w:r>
            <w:r>
              <w:rPr>
                <w:rFonts w:hint="default" w:ascii="Times New Roman" w:hAnsi="Times New Roman" w:eastAsia="宋体" w:cs="Times New Roman"/>
                <w:b/>
                <w:bCs/>
                <w:iCs/>
                <w:color w:val="auto"/>
                <w:kern w:val="0"/>
                <w:sz w:val="21"/>
                <w:szCs w:val="21"/>
                <w:highlight w:val="none"/>
                <w:lang w:val="en-US" w:eastAsia="zh-CN" w:bidi="ar-SA"/>
              </w:rPr>
              <w:t xml:space="preserve"> </w:t>
            </w:r>
            <w:r>
              <w:rPr>
                <w:rFonts w:hint="eastAsia" w:ascii="Times New Roman" w:hAnsi="Times New Roman" w:eastAsia="宋体" w:cs="Times New Roman"/>
                <w:b/>
                <w:bCs/>
                <w:iCs/>
                <w:color w:val="auto"/>
                <w:kern w:val="0"/>
                <w:sz w:val="21"/>
                <w:szCs w:val="21"/>
                <w:highlight w:val="none"/>
                <w:lang w:val="en-US" w:eastAsia="zh-CN" w:bidi="ar-SA"/>
              </w:rPr>
              <w:t xml:space="preserve"> </w:t>
            </w:r>
            <w:r>
              <w:rPr>
                <w:rFonts w:hint="default" w:ascii="Times New Roman" w:hAnsi="Times New Roman" w:eastAsia="宋体" w:cs="Times New Roman"/>
                <w:b/>
                <w:bCs/>
                <w:iCs/>
                <w:color w:val="auto"/>
                <w:kern w:val="0"/>
                <w:sz w:val="21"/>
                <w:szCs w:val="21"/>
                <w:highlight w:val="none"/>
                <w:lang w:val="en-US" w:eastAsia="zh-CN" w:bidi="ar-SA"/>
              </w:rPr>
              <w:t>噪声污染源源强核算结果及相关参数一览表</w:t>
            </w:r>
            <w:r>
              <w:rPr>
                <w:rFonts w:hint="eastAsia" w:ascii="Times New Roman" w:hAnsi="Times New Roman" w:eastAsia="宋体" w:cs="Times New Roman"/>
                <w:b/>
                <w:bCs/>
                <w:iCs/>
                <w:color w:val="auto"/>
                <w:kern w:val="0"/>
                <w:sz w:val="21"/>
                <w:szCs w:val="21"/>
                <w:highlight w:val="none"/>
                <w:lang w:val="en-US" w:eastAsia="zh-CN" w:bidi="ar-SA"/>
              </w:rPr>
              <w:t>（室外声源）</w:t>
            </w:r>
          </w:p>
          <w:tbl>
            <w:tblPr>
              <w:tblStyle w:val="33"/>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4"/>
              <w:gridCol w:w="1284"/>
              <w:gridCol w:w="809"/>
              <w:gridCol w:w="842"/>
              <w:gridCol w:w="801"/>
              <w:gridCol w:w="2018"/>
              <w:gridCol w:w="974"/>
              <w:gridCol w:w="974"/>
            </w:tblGrid>
            <w:tr w14:paraId="41C757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284" w:type="pct"/>
                  <w:vMerge w:val="restart"/>
                  <w:tcBorders>
                    <w:tl2br w:val="nil"/>
                    <w:tr2bl w:val="nil"/>
                  </w:tcBorders>
                  <w:noWrap w:val="0"/>
                  <w:vAlign w:val="center"/>
                </w:tcPr>
                <w:p w14:paraId="0F3E4971">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序号</w:t>
                  </w:r>
                </w:p>
              </w:tc>
              <w:tc>
                <w:tcPr>
                  <w:tcW w:w="786" w:type="pct"/>
                  <w:vMerge w:val="restart"/>
                  <w:tcBorders>
                    <w:tl2br w:val="nil"/>
                    <w:tr2bl w:val="nil"/>
                  </w:tcBorders>
                  <w:noWrap w:val="0"/>
                  <w:vAlign w:val="center"/>
                </w:tcPr>
                <w:p w14:paraId="441D74C6">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声源名称</w:t>
                  </w:r>
                </w:p>
              </w:tc>
              <w:tc>
                <w:tcPr>
                  <w:tcW w:w="1501" w:type="pct"/>
                  <w:gridSpan w:val="3"/>
                  <w:tcBorders>
                    <w:bottom w:val="single" w:color="000000" w:sz="4" w:space="0"/>
                    <w:tl2br w:val="nil"/>
                    <w:tr2bl w:val="nil"/>
                  </w:tcBorders>
                  <w:noWrap w:val="0"/>
                  <w:vAlign w:val="center"/>
                </w:tcPr>
                <w:p w14:paraId="76528D9B">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空间相对位置/m</w:t>
                  </w:r>
                </w:p>
              </w:tc>
              <w:tc>
                <w:tcPr>
                  <w:tcW w:w="1235" w:type="pct"/>
                  <w:tcBorders>
                    <w:bottom w:val="single" w:color="000000" w:sz="4" w:space="0"/>
                    <w:tl2br w:val="nil"/>
                    <w:tr2bl w:val="nil"/>
                  </w:tcBorders>
                  <w:noWrap w:val="0"/>
                  <w:vAlign w:val="center"/>
                </w:tcPr>
                <w:p w14:paraId="38D7B56C">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声源源强</w:t>
                  </w:r>
                </w:p>
              </w:tc>
              <w:tc>
                <w:tcPr>
                  <w:tcW w:w="596" w:type="pct"/>
                  <w:vMerge w:val="restart"/>
                  <w:tcBorders>
                    <w:tl2br w:val="nil"/>
                    <w:tr2bl w:val="nil"/>
                  </w:tcBorders>
                  <w:noWrap w:val="0"/>
                  <w:vAlign w:val="center"/>
                </w:tcPr>
                <w:p w14:paraId="520DAF5D">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声源控制措施</w:t>
                  </w:r>
                </w:p>
              </w:tc>
              <w:tc>
                <w:tcPr>
                  <w:tcW w:w="596" w:type="pct"/>
                  <w:vMerge w:val="restart"/>
                  <w:tcBorders>
                    <w:tl2br w:val="nil"/>
                    <w:tr2bl w:val="nil"/>
                  </w:tcBorders>
                  <w:noWrap w:val="0"/>
                  <w:vAlign w:val="center"/>
                </w:tcPr>
                <w:p w14:paraId="4F04054B">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运行时段</w:t>
                  </w:r>
                  <w:r>
                    <w:rPr>
                      <w:rFonts w:hint="eastAsia" w:eastAsia="宋体"/>
                      <w:b w:val="0"/>
                      <w:bCs/>
                      <w:smallCaps w:val="0"/>
                      <w:color w:val="auto"/>
                      <w:sz w:val="21"/>
                      <w:szCs w:val="21"/>
                      <w:highlight w:val="none"/>
                      <w:vertAlign w:val="baseline"/>
                      <w:lang w:val="en-US" w:eastAsia="zh-CN"/>
                    </w:rPr>
                    <w:t>h</w:t>
                  </w:r>
                </w:p>
              </w:tc>
            </w:tr>
            <w:tr w14:paraId="0150F4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284" w:type="pct"/>
                  <w:vMerge w:val="continue"/>
                  <w:tcBorders>
                    <w:tl2br w:val="nil"/>
                    <w:tr2bl w:val="nil"/>
                  </w:tcBorders>
                  <w:noWrap w:val="0"/>
                  <w:vAlign w:val="center"/>
                </w:tcPr>
                <w:p w14:paraId="17FA895B">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lang w:val="en-US" w:eastAsia="zh-CN"/>
                    </w:rPr>
                  </w:pPr>
                </w:p>
              </w:tc>
              <w:tc>
                <w:tcPr>
                  <w:tcW w:w="786" w:type="pct"/>
                  <w:vMerge w:val="continue"/>
                  <w:tcBorders>
                    <w:tl2br w:val="nil"/>
                    <w:tr2bl w:val="nil"/>
                  </w:tcBorders>
                  <w:noWrap w:val="0"/>
                  <w:vAlign w:val="center"/>
                </w:tcPr>
                <w:p w14:paraId="622350AF">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lang w:val="en-US" w:eastAsia="zh-CN"/>
                    </w:rPr>
                  </w:pPr>
                </w:p>
              </w:tc>
              <w:tc>
                <w:tcPr>
                  <w:tcW w:w="495" w:type="pct"/>
                  <w:tcBorders>
                    <w:top w:val="single" w:color="000000" w:sz="4" w:space="0"/>
                    <w:right w:val="single" w:color="000000" w:sz="4" w:space="0"/>
                    <w:tl2br w:val="nil"/>
                    <w:tr2bl w:val="nil"/>
                  </w:tcBorders>
                  <w:noWrap w:val="0"/>
                  <w:vAlign w:val="center"/>
                </w:tcPr>
                <w:p w14:paraId="0162F804">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X</w:t>
                  </w:r>
                </w:p>
              </w:tc>
              <w:tc>
                <w:tcPr>
                  <w:tcW w:w="515" w:type="pct"/>
                  <w:tcBorders>
                    <w:top w:val="single" w:color="000000" w:sz="4" w:space="0"/>
                    <w:left w:val="single" w:color="000000" w:sz="4" w:space="0"/>
                    <w:right w:val="single" w:color="000000" w:sz="4" w:space="0"/>
                    <w:tl2br w:val="nil"/>
                    <w:tr2bl w:val="nil"/>
                  </w:tcBorders>
                  <w:noWrap w:val="0"/>
                  <w:vAlign w:val="center"/>
                </w:tcPr>
                <w:p w14:paraId="53C3E180">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Y</w:t>
                  </w:r>
                </w:p>
              </w:tc>
              <w:tc>
                <w:tcPr>
                  <w:tcW w:w="490" w:type="pct"/>
                  <w:tcBorders>
                    <w:top w:val="single" w:color="000000" w:sz="4" w:space="0"/>
                    <w:left w:val="single" w:color="000000" w:sz="4" w:space="0"/>
                    <w:tl2br w:val="nil"/>
                    <w:tr2bl w:val="nil"/>
                  </w:tcBorders>
                  <w:noWrap w:val="0"/>
                  <w:vAlign w:val="center"/>
                </w:tcPr>
                <w:p w14:paraId="20ED5528">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Z</w:t>
                  </w:r>
                </w:p>
              </w:tc>
              <w:tc>
                <w:tcPr>
                  <w:tcW w:w="1235" w:type="pct"/>
                  <w:tcBorders>
                    <w:top w:val="single" w:color="000000" w:sz="4" w:space="0"/>
                    <w:tl2br w:val="nil"/>
                    <w:tr2bl w:val="nil"/>
                  </w:tcBorders>
                  <w:noWrap w:val="0"/>
                  <w:vAlign w:val="center"/>
                </w:tcPr>
                <w:p w14:paraId="128C3D18">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声功率级/dB（A）</w:t>
                  </w:r>
                </w:p>
              </w:tc>
              <w:tc>
                <w:tcPr>
                  <w:tcW w:w="596" w:type="pct"/>
                  <w:vMerge w:val="continue"/>
                  <w:tcBorders>
                    <w:tl2br w:val="nil"/>
                    <w:tr2bl w:val="nil"/>
                  </w:tcBorders>
                  <w:noWrap w:val="0"/>
                  <w:vAlign w:val="center"/>
                </w:tcPr>
                <w:p w14:paraId="172C9AEE">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rPr>
                  </w:pPr>
                </w:p>
              </w:tc>
              <w:tc>
                <w:tcPr>
                  <w:tcW w:w="596" w:type="pct"/>
                  <w:vMerge w:val="continue"/>
                  <w:tcBorders>
                    <w:tl2br w:val="nil"/>
                    <w:tr2bl w:val="nil"/>
                  </w:tcBorders>
                  <w:noWrap w:val="0"/>
                  <w:vAlign w:val="center"/>
                </w:tcPr>
                <w:p w14:paraId="4006362A">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rPr>
                  </w:pPr>
                </w:p>
              </w:tc>
            </w:tr>
            <w:tr w14:paraId="4B0FA0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284" w:type="pct"/>
                  <w:tcBorders>
                    <w:tl2br w:val="nil"/>
                    <w:tr2bl w:val="nil"/>
                  </w:tcBorders>
                  <w:noWrap w:val="0"/>
                  <w:vAlign w:val="center"/>
                </w:tcPr>
                <w:p w14:paraId="190A4B01">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1</w:t>
                  </w:r>
                </w:p>
              </w:tc>
              <w:tc>
                <w:tcPr>
                  <w:tcW w:w="786" w:type="pct"/>
                  <w:tcBorders>
                    <w:tl2br w:val="nil"/>
                    <w:tr2bl w:val="nil"/>
                  </w:tcBorders>
                  <w:noWrap w:val="0"/>
                  <w:vAlign w:val="center"/>
                </w:tcPr>
                <w:p w14:paraId="00B3388F">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玉米扒皮机</w:t>
                  </w:r>
                </w:p>
              </w:tc>
              <w:tc>
                <w:tcPr>
                  <w:tcW w:w="495" w:type="pct"/>
                  <w:tcBorders>
                    <w:tl2br w:val="nil"/>
                    <w:tr2bl w:val="nil"/>
                  </w:tcBorders>
                  <w:noWrap w:val="0"/>
                  <w:vAlign w:val="center"/>
                </w:tcPr>
                <w:p w14:paraId="75A7C87C">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-25</w:t>
                  </w:r>
                </w:p>
              </w:tc>
              <w:tc>
                <w:tcPr>
                  <w:tcW w:w="515" w:type="pct"/>
                  <w:tcBorders>
                    <w:tl2br w:val="nil"/>
                    <w:tr2bl w:val="nil"/>
                  </w:tcBorders>
                  <w:noWrap w:val="0"/>
                  <w:vAlign w:val="center"/>
                </w:tcPr>
                <w:p w14:paraId="58A76E92">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-10</w:t>
                  </w:r>
                </w:p>
              </w:tc>
              <w:tc>
                <w:tcPr>
                  <w:tcW w:w="490" w:type="pct"/>
                  <w:tcBorders>
                    <w:tl2br w:val="nil"/>
                    <w:tr2bl w:val="nil"/>
                  </w:tcBorders>
                  <w:noWrap w:val="0"/>
                  <w:vAlign w:val="center"/>
                </w:tcPr>
                <w:p w14:paraId="2F20517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1.5</w:t>
                  </w:r>
                </w:p>
              </w:tc>
              <w:tc>
                <w:tcPr>
                  <w:tcW w:w="1235" w:type="pct"/>
                  <w:tcBorders>
                    <w:tl2br w:val="nil"/>
                    <w:tr2bl w:val="nil"/>
                  </w:tcBorders>
                  <w:noWrap w:val="0"/>
                  <w:vAlign w:val="center"/>
                </w:tcPr>
                <w:p w14:paraId="0E423A13">
                  <w:pPr>
                    <w:jc w:val="center"/>
                    <w:rPr>
                      <w:rFonts w:hint="default" w:cs="Times New Roman"/>
                      <w:smallCaps w:val="0"/>
                      <w:color w:val="auto"/>
                      <w:kern w:val="2"/>
                      <w:sz w:val="21"/>
                      <w:szCs w:val="21"/>
                      <w:highlight w:val="none"/>
                      <w:lang w:val="en-US" w:eastAsia="zh-CN" w:bidi="ar-SA"/>
                    </w:rPr>
                  </w:pPr>
                  <w:r>
                    <w:rPr>
                      <w:rFonts w:hint="eastAsia" w:cs="Times New Roman"/>
                      <w:smallCaps w:val="0"/>
                      <w:color w:val="auto"/>
                      <w:kern w:val="2"/>
                      <w:sz w:val="21"/>
                      <w:szCs w:val="21"/>
                      <w:highlight w:val="none"/>
                      <w:lang w:val="en-US" w:eastAsia="zh-CN" w:bidi="ar-SA"/>
                    </w:rPr>
                    <w:t>68</w:t>
                  </w:r>
                </w:p>
              </w:tc>
              <w:tc>
                <w:tcPr>
                  <w:tcW w:w="596" w:type="pct"/>
                  <w:vMerge w:val="restart"/>
                  <w:tcBorders>
                    <w:tl2br w:val="nil"/>
                    <w:tr2bl w:val="nil"/>
                  </w:tcBorders>
                  <w:noWrap w:val="0"/>
                  <w:vAlign w:val="center"/>
                </w:tcPr>
                <w:p w14:paraId="7A815CF7">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r>
                    <w:rPr>
                      <w:rFonts w:hint="eastAsia" w:ascii="Times New Roman" w:hAnsi="Times New Roman" w:eastAsia="宋体"/>
                      <w:smallCaps w:val="0"/>
                      <w:color w:val="auto"/>
                      <w:sz w:val="21"/>
                      <w:szCs w:val="21"/>
                      <w:highlight w:val="none"/>
                    </w:rPr>
                    <w:t>已</w:t>
                  </w:r>
                  <w:r>
                    <w:rPr>
                      <w:rFonts w:ascii="Times New Roman" w:hAnsi="Times New Roman" w:eastAsia="宋体"/>
                      <w:smallCaps w:val="0"/>
                      <w:color w:val="auto"/>
                      <w:sz w:val="21"/>
                      <w:szCs w:val="21"/>
                      <w:highlight w:val="none"/>
                    </w:rPr>
                    <w:t>选用低噪声设备，加装减震、隔声</w:t>
                  </w:r>
                  <w:r>
                    <w:rPr>
                      <w:rFonts w:hint="eastAsia" w:ascii="Times New Roman" w:hAnsi="Times New Roman" w:eastAsia="宋体"/>
                      <w:smallCaps w:val="0"/>
                      <w:color w:val="auto"/>
                      <w:sz w:val="21"/>
                      <w:szCs w:val="21"/>
                      <w:highlight w:val="none"/>
                      <w:lang w:val="en-US" w:eastAsia="zh-CN"/>
                    </w:rPr>
                    <w:t>设施</w:t>
                  </w:r>
                </w:p>
              </w:tc>
              <w:tc>
                <w:tcPr>
                  <w:tcW w:w="596" w:type="pct"/>
                  <w:vMerge w:val="restart"/>
                  <w:tcBorders>
                    <w:tl2br w:val="nil"/>
                    <w:tr2bl w:val="nil"/>
                  </w:tcBorders>
                  <w:noWrap w:val="0"/>
                  <w:vAlign w:val="center"/>
                </w:tcPr>
                <w:p w14:paraId="29B85C4E">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300</w:t>
                  </w:r>
                </w:p>
              </w:tc>
            </w:tr>
            <w:tr w14:paraId="202487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284" w:type="pct"/>
                  <w:tcBorders>
                    <w:tl2br w:val="nil"/>
                    <w:tr2bl w:val="nil"/>
                  </w:tcBorders>
                  <w:noWrap w:val="0"/>
                  <w:vAlign w:val="center"/>
                </w:tcPr>
                <w:p w14:paraId="06322E8F">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2</w:t>
                  </w:r>
                </w:p>
              </w:tc>
              <w:tc>
                <w:tcPr>
                  <w:tcW w:w="786" w:type="pct"/>
                  <w:tcBorders>
                    <w:tl2br w:val="nil"/>
                    <w:tr2bl w:val="nil"/>
                  </w:tcBorders>
                  <w:noWrap w:val="0"/>
                  <w:vAlign w:val="center"/>
                </w:tcPr>
                <w:p w14:paraId="0C556A8D">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玉米扒皮机</w:t>
                  </w:r>
                </w:p>
              </w:tc>
              <w:tc>
                <w:tcPr>
                  <w:tcW w:w="495" w:type="pct"/>
                  <w:tcBorders>
                    <w:tl2br w:val="nil"/>
                    <w:tr2bl w:val="nil"/>
                  </w:tcBorders>
                  <w:noWrap w:val="0"/>
                  <w:vAlign w:val="center"/>
                </w:tcPr>
                <w:p w14:paraId="2FD05911">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-24</w:t>
                  </w:r>
                </w:p>
              </w:tc>
              <w:tc>
                <w:tcPr>
                  <w:tcW w:w="515" w:type="pct"/>
                  <w:tcBorders>
                    <w:tl2br w:val="nil"/>
                    <w:tr2bl w:val="nil"/>
                  </w:tcBorders>
                  <w:noWrap w:val="0"/>
                  <w:vAlign w:val="center"/>
                </w:tcPr>
                <w:p w14:paraId="30F7A9C4">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-8</w:t>
                  </w:r>
                </w:p>
              </w:tc>
              <w:tc>
                <w:tcPr>
                  <w:tcW w:w="490" w:type="pct"/>
                  <w:tcBorders>
                    <w:tl2br w:val="nil"/>
                    <w:tr2bl w:val="nil"/>
                  </w:tcBorders>
                  <w:noWrap w:val="0"/>
                  <w:vAlign w:val="center"/>
                </w:tcPr>
                <w:p w14:paraId="2F5121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1.5</w:t>
                  </w:r>
                </w:p>
              </w:tc>
              <w:tc>
                <w:tcPr>
                  <w:tcW w:w="1235" w:type="pct"/>
                  <w:tcBorders>
                    <w:tl2br w:val="nil"/>
                    <w:tr2bl w:val="nil"/>
                  </w:tcBorders>
                  <w:noWrap w:val="0"/>
                  <w:vAlign w:val="center"/>
                </w:tcPr>
                <w:p w14:paraId="53867D87">
                  <w:pPr>
                    <w:jc w:val="center"/>
                    <w:rPr>
                      <w:rFonts w:hint="default" w:cs="Times New Roman"/>
                      <w:smallCaps w:val="0"/>
                      <w:color w:val="auto"/>
                      <w:kern w:val="2"/>
                      <w:sz w:val="21"/>
                      <w:szCs w:val="21"/>
                      <w:highlight w:val="none"/>
                      <w:lang w:val="en-US" w:eastAsia="zh-CN" w:bidi="ar-SA"/>
                    </w:rPr>
                  </w:pPr>
                  <w:r>
                    <w:rPr>
                      <w:rFonts w:hint="eastAsia" w:cs="Times New Roman"/>
                      <w:smallCaps w:val="0"/>
                      <w:color w:val="auto"/>
                      <w:kern w:val="2"/>
                      <w:sz w:val="21"/>
                      <w:szCs w:val="21"/>
                      <w:highlight w:val="none"/>
                      <w:lang w:val="en-US" w:eastAsia="zh-CN" w:bidi="ar-SA"/>
                    </w:rPr>
                    <w:t>68</w:t>
                  </w:r>
                </w:p>
              </w:tc>
              <w:tc>
                <w:tcPr>
                  <w:tcW w:w="596" w:type="pct"/>
                  <w:vMerge w:val="continue"/>
                  <w:tcBorders>
                    <w:tl2br w:val="nil"/>
                    <w:tr2bl w:val="nil"/>
                  </w:tcBorders>
                  <w:noWrap w:val="0"/>
                  <w:vAlign w:val="center"/>
                </w:tcPr>
                <w:p w14:paraId="314B2D6E">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p>
              </w:tc>
              <w:tc>
                <w:tcPr>
                  <w:tcW w:w="596" w:type="pct"/>
                  <w:vMerge w:val="continue"/>
                  <w:tcBorders>
                    <w:tl2br w:val="nil"/>
                    <w:tr2bl w:val="nil"/>
                  </w:tcBorders>
                  <w:noWrap w:val="0"/>
                  <w:vAlign w:val="center"/>
                </w:tcPr>
                <w:p w14:paraId="03CF23BF">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p>
              </w:tc>
            </w:tr>
            <w:tr w14:paraId="5D26D2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284" w:type="pct"/>
                  <w:tcBorders>
                    <w:tl2br w:val="nil"/>
                    <w:tr2bl w:val="nil"/>
                  </w:tcBorders>
                  <w:noWrap w:val="0"/>
                  <w:vAlign w:val="center"/>
                </w:tcPr>
                <w:p w14:paraId="773DF7C8">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default" w:ascii="Times New Roman" w:hAnsi="Times New Roman" w:eastAsia="宋体" w:cs="Times New Roman"/>
                      <w:smallCaps w:val="0"/>
                      <w:color w:val="auto"/>
                      <w:kern w:val="2"/>
                      <w:sz w:val="21"/>
                      <w:szCs w:val="21"/>
                      <w:highlight w:val="none"/>
                      <w:lang w:val="en-US" w:eastAsia="zh-CN" w:bidi="ar-SA"/>
                    </w:rPr>
                    <w:t>3</w:t>
                  </w:r>
                </w:p>
              </w:tc>
              <w:tc>
                <w:tcPr>
                  <w:tcW w:w="786" w:type="pct"/>
                  <w:tcBorders>
                    <w:tl2br w:val="nil"/>
                    <w:tr2bl w:val="nil"/>
                  </w:tcBorders>
                  <w:noWrap w:val="0"/>
                  <w:vAlign w:val="center"/>
                </w:tcPr>
                <w:p w14:paraId="43295361">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玉米切头机</w:t>
                  </w:r>
                </w:p>
              </w:tc>
              <w:tc>
                <w:tcPr>
                  <w:tcW w:w="495" w:type="pct"/>
                  <w:tcBorders>
                    <w:tl2br w:val="nil"/>
                    <w:tr2bl w:val="nil"/>
                  </w:tcBorders>
                  <w:noWrap w:val="0"/>
                  <w:vAlign w:val="center"/>
                </w:tcPr>
                <w:p w14:paraId="36BB4B74">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-27</w:t>
                  </w:r>
                </w:p>
              </w:tc>
              <w:tc>
                <w:tcPr>
                  <w:tcW w:w="515" w:type="pct"/>
                  <w:tcBorders>
                    <w:tl2br w:val="nil"/>
                    <w:tr2bl w:val="nil"/>
                  </w:tcBorders>
                  <w:noWrap w:val="0"/>
                  <w:vAlign w:val="center"/>
                </w:tcPr>
                <w:p w14:paraId="70E4A7DE">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-3</w:t>
                  </w:r>
                </w:p>
              </w:tc>
              <w:tc>
                <w:tcPr>
                  <w:tcW w:w="490" w:type="pct"/>
                  <w:tcBorders>
                    <w:tl2br w:val="nil"/>
                    <w:tr2bl w:val="nil"/>
                  </w:tcBorders>
                  <w:noWrap w:val="0"/>
                  <w:vAlign w:val="center"/>
                </w:tcPr>
                <w:p w14:paraId="50E4B08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1.5</w:t>
                  </w:r>
                </w:p>
              </w:tc>
              <w:tc>
                <w:tcPr>
                  <w:tcW w:w="1235" w:type="pct"/>
                  <w:tcBorders>
                    <w:tl2br w:val="nil"/>
                    <w:tr2bl w:val="nil"/>
                  </w:tcBorders>
                  <w:noWrap w:val="0"/>
                  <w:vAlign w:val="center"/>
                </w:tcPr>
                <w:p w14:paraId="32B98ABA">
                  <w:pPr>
                    <w:jc w:val="center"/>
                    <w:rPr>
                      <w:rFonts w:hint="eastAsia" w:cs="Times New Roman"/>
                      <w:smallCaps w:val="0"/>
                      <w:color w:val="auto"/>
                      <w:kern w:val="2"/>
                      <w:sz w:val="21"/>
                      <w:szCs w:val="21"/>
                      <w:highlight w:val="none"/>
                      <w:lang w:val="en-US" w:eastAsia="zh-CN" w:bidi="ar-SA"/>
                    </w:rPr>
                  </w:pPr>
                  <w:r>
                    <w:rPr>
                      <w:rFonts w:hint="eastAsia" w:cs="Times New Roman"/>
                      <w:smallCaps w:val="0"/>
                      <w:color w:val="auto"/>
                      <w:kern w:val="2"/>
                      <w:sz w:val="21"/>
                      <w:szCs w:val="21"/>
                      <w:highlight w:val="none"/>
                      <w:lang w:val="en-US" w:eastAsia="zh-CN" w:bidi="ar-SA"/>
                    </w:rPr>
                    <w:t>68</w:t>
                  </w:r>
                </w:p>
              </w:tc>
              <w:tc>
                <w:tcPr>
                  <w:tcW w:w="596" w:type="pct"/>
                  <w:vMerge w:val="continue"/>
                  <w:tcBorders>
                    <w:tl2br w:val="nil"/>
                    <w:tr2bl w:val="nil"/>
                  </w:tcBorders>
                  <w:noWrap w:val="0"/>
                  <w:vAlign w:val="center"/>
                </w:tcPr>
                <w:p w14:paraId="268B3703">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p>
              </w:tc>
              <w:tc>
                <w:tcPr>
                  <w:tcW w:w="596" w:type="pct"/>
                  <w:vMerge w:val="continue"/>
                  <w:tcBorders>
                    <w:tl2br w:val="nil"/>
                    <w:tr2bl w:val="nil"/>
                  </w:tcBorders>
                  <w:noWrap w:val="0"/>
                  <w:vAlign w:val="center"/>
                </w:tcPr>
                <w:p w14:paraId="66313BAD">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p>
              </w:tc>
            </w:tr>
            <w:tr w14:paraId="70A2A0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284" w:type="pct"/>
                  <w:tcBorders>
                    <w:tl2br w:val="nil"/>
                    <w:tr2bl w:val="nil"/>
                  </w:tcBorders>
                  <w:noWrap w:val="0"/>
                  <w:vAlign w:val="center"/>
                </w:tcPr>
                <w:p w14:paraId="5E40BC07">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4</w:t>
                  </w:r>
                </w:p>
              </w:tc>
              <w:tc>
                <w:tcPr>
                  <w:tcW w:w="786" w:type="pct"/>
                  <w:tcBorders>
                    <w:tl2br w:val="nil"/>
                    <w:tr2bl w:val="nil"/>
                  </w:tcBorders>
                  <w:noWrap w:val="0"/>
                  <w:vAlign w:val="center"/>
                </w:tcPr>
                <w:p w14:paraId="54A37BF1">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玉米切头机</w:t>
                  </w:r>
                </w:p>
              </w:tc>
              <w:tc>
                <w:tcPr>
                  <w:tcW w:w="495" w:type="pct"/>
                  <w:tcBorders>
                    <w:tl2br w:val="nil"/>
                    <w:tr2bl w:val="nil"/>
                  </w:tcBorders>
                  <w:noWrap w:val="0"/>
                  <w:vAlign w:val="center"/>
                </w:tcPr>
                <w:p w14:paraId="30919613">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-24</w:t>
                  </w:r>
                </w:p>
              </w:tc>
              <w:tc>
                <w:tcPr>
                  <w:tcW w:w="515" w:type="pct"/>
                  <w:tcBorders>
                    <w:tl2br w:val="nil"/>
                    <w:tr2bl w:val="nil"/>
                  </w:tcBorders>
                  <w:noWrap w:val="0"/>
                  <w:vAlign w:val="center"/>
                </w:tcPr>
                <w:p w14:paraId="3E3F9CA4">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-2</w:t>
                  </w:r>
                </w:p>
              </w:tc>
              <w:tc>
                <w:tcPr>
                  <w:tcW w:w="490" w:type="pct"/>
                  <w:tcBorders>
                    <w:tl2br w:val="nil"/>
                    <w:tr2bl w:val="nil"/>
                  </w:tcBorders>
                  <w:noWrap w:val="0"/>
                  <w:vAlign w:val="center"/>
                </w:tcPr>
                <w:p w14:paraId="19FB72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1.5</w:t>
                  </w:r>
                </w:p>
              </w:tc>
              <w:tc>
                <w:tcPr>
                  <w:tcW w:w="1235" w:type="pct"/>
                  <w:tcBorders>
                    <w:tl2br w:val="nil"/>
                    <w:tr2bl w:val="nil"/>
                  </w:tcBorders>
                  <w:noWrap w:val="0"/>
                  <w:vAlign w:val="center"/>
                </w:tcPr>
                <w:p w14:paraId="0EE483B7">
                  <w:pPr>
                    <w:jc w:val="center"/>
                    <w:rPr>
                      <w:rFonts w:hint="eastAsia" w:cs="Times New Roman"/>
                      <w:smallCaps w:val="0"/>
                      <w:color w:val="auto"/>
                      <w:kern w:val="2"/>
                      <w:sz w:val="21"/>
                      <w:szCs w:val="21"/>
                      <w:highlight w:val="none"/>
                      <w:lang w:val="en-US" w:eastAsia="zh-CN" w:bidi="ar-SA"/>
                    </w:rPr>
                  </w:pPr>
                  <w:r>
                    <w:rPr>
                      <w:rFonts w:hint="eastAsia" w:cs="Times New Roman"/>
                      <w:smallCaps w:val="0"/>
                      <w:color w:val="auto"/>
                      <w:kern w:val="2"/>
                      <w:sz w:val="21"/>
                      <w:szCs w:val="21"/>
                      <w:highlight w:val="none"/>
                      <w:lang w:val="en-US" w:eastAsia="zh-CN" w:bidi="ar-SA"/>
                    </w:rPr>
                    <w:t>68</w:t>
                  </w:r>
                </w:p>
              </w:tc>
              <w:tc>
                <w:tcPr>
                  <w:tcW w:w="596" w:type="pct"/>
                  <w:vMerge w:val="continue"/>
                  <w:tcBorders>
                    <w:tl2br w:val="nil"/>
                    <w:tr2bl w:val="nil"/>
                  </w:tcBorders>
                  <w:noWrap w:val="0"/>
                  <w:vAlign w:val="center"/>
                </w:tcPr>
                <w:p w14:paraId="76F0A6B2">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p>
              </w:tc>
              <w:tc>
                <w:tcPr>
                  <w:tcW w:w="596" w:type="pct"/>
                  <w:vMerge w:val="continue"/>
                  <w:tcBorders>
                    <w:tl2br w:val="nil"/>
                    <w:tr2bl w:val="nil"/>
                  </w:tcBorders>
                  <w:noWrap w:val="0"/>
                  <w:vAlign w:val="center"/>
                </w:tcPr>
                <w:p w14:paraId="43556218">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p>
              </w:tc>
            </w:tr>
            <w:tr w14:paraId="55A4C2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284" w:type="pct"/>
                  <w:tcBorders>
                    <w:tl2br w:val="nil"/>
                    <w:tr2bl w:val="nil"/>
                  </w:tcBorders>
                  <w:noWrap w:val="0"/>
                  <w:vAlign w:val="center"/>
                </w:tcPr>
                <w:p w14:paraId="24836F2C">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5</w:t>
                  </w:r>
                </w:p>
              </w:tc>
              <w:tc>
                <w:tcPr>
                  <w:tcW w:w="786" w:type="pct"/>
                  <w:tcBorders>
                    <w:tl2br w:val="nil"/>
                    <w:tr2bl w:val="nil"/>
                  </w:tcBorders>
                  <w:noWrap w:val="0"/>
                  <w:vAlign w:val="center"/>
                </w:tcPr>
                <w:p w14:paraId="45ED5168">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玉米清洗机</w:t>
                  </w:r>
                </w:p>
              </w:tc>
              <w:tc>
                <w:tcPr>
                  <w:tcW w:w="495" w:type="pct"/>
                  <w:tcBorders>
                    <w:tl2br w:val="nil"/>
                    <w:tr2bl w:val="nil"/>
                  </w:tcBorders>
                  <w:noWrap w:val="0"/>
                  <w:vAlign w:val="center"/>
                </w:tcPr>
                <w:p w14:paraId="26E342FE">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27</w:t>
                  </w:r>
                </w:p>
              </w:tc>
              <w:tc>
                <w:tcPr>
                  <w:tcW w:w="515" w:type="pct"/>
                  <w:tcBorders>
                    <w:tl2br w:val="nil"/>
                    <w:tr2bl w:val="nil"/>
                  </w:tcBorders>
                  <w:noWrap w:val="0"/>
                  <w:vAlign w:val="center"/>
                </w:tcPr>
                <w:p w14:paraId="12661007">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2</w:t>
                  </w:r>
                </w:p>
              </w:tc>
              <w:tc>
                <w:tcPr>
                  <w:tcW w:w="490" w:type="pct"/>
                  <w:tcBorders>
                    <w:tl2br w:val="nil"/>
                    <w:tr2bl w:val="nil"/>
                  </w:tcBorders>
                  <w:noWrap w:val="0"/>
                  <w:vAlign w:val="center"/>
                </w:tcPr>
                <w:p w14:paraId="70FDF2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1.5</w:t>
                  </w:r>
                </w:p>
              </w:tc>
              <w:tc>
                <w:tcPr>
                  <w:tcW w:w="1235" w:type="pct"/>
                  <w:tcBorders>
                    <w:tl2br w:val="nil"/>
                    <w:tr2bl w:val="nil"/>
                  </w:tcBorders>
                  <w:noWrap w:val="0"/>
                  <w:vAlign w:val="center"/>
                </w:tcPr>
                <w:p w14:paraId="702A7A0D">
                  <w:pPr>
                    <w:jc w:val="center"/>
                    <w:rPr>
                      <w:rFonts w:hint="default" w:cs="Times New Roman"/>
                      <w:smallCaps w:val="0"/>
                      <w:color w:val="auto"/>
                      <w:kern w:val="2"/>
                      <w:sz w:val="21"/>
                      <w:szCs w:val="21"/>
                      <w:highlight w:val="none"/>
                      <w:lang w:val="en-US" w:eastAsia="zh-CN" w:bidi="ar-SA"/>
                    </w:rPr>
                  </w:pPr>
                  <w:r>
                    <w:rPr>
                      <w:rFonts w:hint="eastAsia" w:cs="Times New Roman"/>
                      <w:smallCaps w:val="0"/>
                      <w:color w:val="auto"/>
                      <w:kern w:val="2"/>
                      <w:sz w:val="21"/>
                      <w:szCs w:val="21"/>
                      <w:highlight w:val="none"/>
                      <w:lang w:val="en-US" w:eastAsia="zh-CN" w:bidi="ar-SA"/>
                    </w:rPr>
                    <w:t>68</w:t>
                  </w:r>
                </w:p>
              </w:tc>
              <w:tc>
                <w:tcPr>
                  <w:tcW w:w="596" w:type="pct"/>
                  <w:vMerge w:val="continue"/>
                  <w:tcBorders>
                    <w:tl2br w:val="nil"/>
                    <w:tr2bl w:val="nil"/>
                  </w:tcBorders>
                  <w:noWrap w:val="0"/>
                  <w:vAlign w:val="center"/>
                </w:tcPr>
                <w:p w14:paraId="39CD61D7">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p>
              </w:tc>
              <w:tc>
                <w:tcPr>
                  <w:tcW w:w="596" w:type="pct"/>
                  <w:vMerge w:val="continue"/>
                  <w:tcBorders>
                    <w:tl2br w:val="nil"/>
                    <w:tr2bl w:val="nil"/>
                  </w:tcBorders>
                  <w:noWrap w:val="0"/>
                  <w:vAlign w:val="center"/>
                </w:tcPr>
                <w:p w14:paraId="265C7650">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p>
              </w:tc>
            </w:tr>
            <w:tr w14:paraId="05D059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284" w:type="pct"/>
                  <w:tcBorders>
                    <w:tl2br w:val="nil"/>
                    <w:tr2bl w:val="nil"/>
                  </w:tcBorders>
                  <w:noWrap w:val="0"/>
                  <w:vAlign w:val="center"/>
                </w:tcPr>
                <w:p w14:paraId="36126551">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6</w:t>
                  </w:r>
                </w:p>
              </w:tc>
              <w:tc>
                <w:tcPr>
                  <w:tcW w:w="786" w:type="pct"/>
                  <w:tcBorders>
                    <w:tl2br w:val="nil"/>
                    <w:tr2bl w:val="nil"/>
                  </w:tcBorders>
                  <w:noWrap w:val="0"/>
                  <w:vAlign w:val="center"/>
                </w:tcPr>
                <w:p w14:paraId="256022CF">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玉米清洗机</w:t>
                  </w:r>
                </w:p>
              </w:tc>
              <w:tc>
                <w:tcPr>
                  <w:tcW w:w="495" w:type="pct"/>
                  <w:tcBorders>
                    <w:tl2br w:val="nil"/>
                    <w:tr2bl w:val="nil"/>
                  </w:tcBorders>
                  <w:noWrap w:val="0"/>
                  <w:vAlign w:val="center"/>
                </w:tcPr>
                <w:p w14:paraId="1EAA01EC">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25</w:t>
                  </w:r>
                </w:p>
              </w:tc>
              <w:tc>
                <w:tcPr>
                  <w:tcW w:w="515" w:type="pct"/>
                  <w:tcBorders>
                    <w:tl2br w:val="nil"/>
                    <w:tr2bl w:val="nil"/>
                  </w:tcBorders>
                  <w:noWrap w:val="0"/>
                  <w:vAlign w:val="center"/>
                </w:tcPr>
                <w:p w14:paraId="7967D5A1">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4</w:t>
                  </w:r>
                </w:p>
              </w:tc>
              <w:tc>
                <w:tcPr>
                  <w:tcW w:w="490" w:type="pct"/>
                  <w:tcBorders>
                    <w:tl2br w:val="nil"/>
                    <w:tr2bl w:val="nil"/>
                  </w:tcBorders>
                  <w:noWrap w:val="0"/>
                  <w:vAlign w:val="center"/>
                </w:tcPr>
                <w:p w14:paraId="6B7604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1.5</w:t>
                  </w:r>
                </w:p>
              </w:tc>
              <w:tc>
                <w:tcPr>
                  <w:tcW w:w="1235" w:type="pct"/>
                  <w:tcBorders>
                    <w:tl2br w:val="nil"/>
                    <w:tr2bl w:val="nil"/>
                  </w:tcBorders>
                  <w:noWrap w:val="0"/>
                  <w:vAlign w:val="center"/>
                </w:tcPr>
                <w:p w14:paraId="6C112005">
                  <w:pPr>
                    <w:jc w:val="center"/>
                    <w:rPr>
                      <w:rFonts w:hint="eastAsia" w:cs="Times New Roman"/>
                      <w:smallCaps w:val="0"/>
                      <w:color w:val="auto"/>
                      <w:kern w:val="2"/>
                      <w:sz w:val="21"/>
                      <w:szCs w:val="21"/>
                      <w:highlight w:val="none"/>
                      <w:lang w:val="en-US" w:eastAsia="zh-CN" w:bidi="ar-SA"/>
                    </w:rPr>
                  </w:pPr>
                  <w:r>
                    <w:rPr>
                      <w:rFonts w:hint="eastAsia" w:cs="Times New Roman"/>
                      <w:smallCaps w:val="0"/>
                      <w:color w:val="auto"/>
                      <w:kern w:val="2"/>
                      <w:sz w:val="21"/>
                      <w:szCs w:val="21"/>
                      <w:highlight w:val="none"/>
                      <w:lang w:val="en-US" w:eastAsia="zh-CN" w:bidi="ar-SA"/>
                    </w:rPr>
                    <w:t>68</w:t>
                  </w:r>
                </w:p>
              </w:tc>
              <w:tc>
                <w:tcPr>
                  <w:tcW w:w="596" w:type="pct"/>
                  <w:vMerge w:val="continue"/>
                  <w:tcBorders>
                    <w:tl2br w:val="nil"/>
                    <w:tr2bl w:val="nil"/>
                  </w:tcBorders>
                  <w:noWrap w:val="0"/>
                  <w:vAlign w:val="center"/>
                </w:tcPr>
                <w:p w14:paraId="38F24E8B">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p>
              </w:tc>
              <w:tc>
                <w:tcPr>
                  <w:tcW w:w="596" w:type="pct"/>
                  <w:vMerge w:val="continue"/>
                  <w:tcBorders>
                    <w:tl2br w:val="nil"/>
                    <w:tr2bl w:val="nil"/>
                  </w:tcBorders>
                  <w:noWrap w:val="0"/>
                  <w:vAlign w:val="center"/>
                </w:tcPr>
                <w:p w14:paraId="7E339D2A">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p>
              </w:tc>
            </w:tr>
            <w:tr w14:paraId="3D5C20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284" w:type="pct"/>
                  <w:tcBorders>
                    <w:tl2br w:val="nil"/>
                    <w:tr2bl w:val="nil"/>
                  </w:tcBorders>
                  <w:noWrap w:val="0"/>
                  <w:vAlign w:val="center"/>
                </w:tcPr>
                <w:p w14:paraId="30098F25">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7</w:t>
                  </w:r>
                </w:p>
              </w:tc>
              <w:tc>
                <w:tcPr>
                  <w:tcW w:w="786" w:type="pct"/>
                  <w:tcBorders>
                    <w:tl2br w:val="nil"/>
                    <w:tr2bl w:val="nil"/>
                  </w:tcBorders>
                  <w:noWrap w:val="0"/>
                  <w:vAlign w:val="center"/>
                </w:tcPr>
                <w:p w14:paraId="73F1B8C6">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玉米清洗机</w:t>
                  </w:r>
                </w:p>
              </w:tc>
              <w:tc>
                <w:tcPr>
                  <w:tcW w:w="495" w:type="pct"/>
                  <w:tcBorders>
                    <w:tl2br w:val="nil"/>
                    <w:tr2bl w:val="nil"/>
                  </w:tcBorders>
                  <w:noWrap w:val="0"/>
                  <w:vAlign w:val="center"/>
                </w:tcPr>
                <w:p w14:paraId="2F1DFA2D">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26</w:t>
                  </w:r>
                </w:p>
              </w:tc>
              <w:tc>
                <w:tcPr>
                  <w:tcW w:w="515" w:type="pct"/>
                  <w:tcBorders>
                    <w:tl2br w:val="nil"/>
                    <w:tr2bl w:val="nil"/>
                  </w:tcBorders>
                  <w:noWrap w:val="0"/>
                  <w:vAlign w:val="center"/>
                </w:tcPr>
                <w:p w14:paraId="15D868A6">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3</w:t>
                  </w:r>
                </w:p>
              </w:tc>
              <w:tc>
                <w:tcPr>
                  <w:tcW w:w="490" w:type="pct"/>
                  <w:tcBorders>
                    <w:tl2br w:val="nil"/>
                    <w:tr2bl w:val="nil"/>
                  </w:tcBorders>
                  <w:noWrap w:val="0"/>
                  <w:vAlign w:val="center"/>
                </w:tcPr>
                <w:p w14:paraId="2562862F">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1.5</w:t>
                  </w:r>
                </w:p>
              </w:tc>
              <w:tc>
                <w:tcPr>
                  <w:tcW w:w="1235" w:type="pct"/>
                  <w:tcBorders>
                    <w:tl2br w:val="nil"/>
                    <w:tr2bl w:val="nil"/>
                  </w:tcBorders>
                  <w:noWrap w:val="0"/>
                  <w:vAlign w:val="center"/>
                </w:tcPr>
                <w:p w14:paraId="0EF56A9D">
                  <w:pPr>
                    <w:jc w:val="center"/>
                    <w:rPr>
                      <w:rFonts w:hint="eastAsia" w:cs="Times New Roman"/>
                      <w:smallCaps w:val="0"/>
                      <w:color w:val="auto"/>
                      <w:kern w:val="2"/>
                      <w:sz w:val="21"/>
                      <w:szCs w:val="21"/>
                      <w:highlight w:val="none"/>
                      <w:lang w:val="en-US" w:eastAsia="zh-CN" w:bidi="ar-SA"/>
                    </w:rPr>
                  </w:pPr>
                  <w:r>
                    <w:rPr>
                      <w:rFonts w:hint="eastAsia" w:cs="Times New Roman"/>
                      <w:smallCaps w:val="0"/>
                      <w:color w:val="auto"/>
                      <w:kern w:val="2"/>
                      <w:sz w:val="21"/>
                      <w:szCs w:val="21"/>
                      <w:highlight w:val="none"/>
                      <w:lang w:val="en-US" w:eastAsia="zh-CN" w:bidi="ar-SA"/>
                    </w:rPr>
                    <w:t>68</w:t>
                  </w:r>
                </w:p>
              </w:tc>
              <w:tc>
                <w:tcPr>
                  <w:tcW w:w="596" w:type="pct"/>
                  <w:vMerge w:val="continue"/>
                  <w:tcBorders>
                    <w:tl2br w:val="nil"/>
                    <w:tr2bl w:val="nil"/>
                  </w:tcBorders>
                  <w:noWrap w:val="0"/>
                  <w:vAlign w:val="center"/>
                </w:tcPr>
                <w:p w14:paraId="6214740B">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p>
              </w:tc>
              <w:tc>
                <w:tcPr>
                  <w:tcW w:w="596" w:type="pct"/>
                  <w:vMerge w:val="continue"/>
                  <w:tcBorders>
                    <w:tl2br w:val="nil"/>
                    <w:tr2bl w:val="nil"/>
                  </w:tcBorders>
                  <w:noWrap w:val="0"/>
                  <w:vAlign w:val="center"/>
                </w:tcPr>
                <w:p w14:paraId="6199CFCB">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p>
              </w:tc>
            </w:tr>
            <w:tr w14:paraId="77DCAF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43" w:hRule="atLeast"/>
              </w:trPr>
              <w:tc>
                <w:tcPr>
                  <w:tcW w:w="284" w:type="pct"/>
                  <w:tcBorders>
                    <w:tl2br w:val="nil"/>
                    <w:tr2bl w:val="nil"/>
                  </w:tcBorders>
                  <w:shd w:val="clear" w:color="auto" w:fill="auto"/>
                  <w:noWrap w:val="0"/>
                  <w:vAlign w:val="center"/>
                </w:tcPr>
                <w:p w14:paraId="1F3A29F0">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8</w:t>
                  </w:r>
                </w:p>
              </w:tc>
              <w:tc>
                <w:tcPr>
                  <w:tcW w:w="786" w:type="pct"/>
                  <w:tcBorders>
                    <w:tl2br w:val="nil"/>
                    <w:tr2bl w:val="nil"/>
                  </w:tcBorders>
                  <w:noWrap w:val="0"/>
                  <w:vAlign w:val="center"/>
                </w:tcPr>
                <w:p w14:paraId="304BFA07">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cs="Times New Roman"/>
                      <w:smallCaps w:val="0"/>
                      <w:color w:val="auto"/>
                      <w:kern w:val="2"/>
                      <w:sz w:val="21"/>
                      <w:szCs w:val="21"/>
                      <w:highlight w:val="none"/>
                      <w:lang w:val="en-US" w:eastAsia="zh-CN" w:bidi="ar-SA"/>
                    </w:rPr>
                    <w:t>冷却塔</w:t>
                  </w:r>
                </w:p>
              </w:tc>
              <w:tc>
                <w:tcPr>
                  <w:tcW w:w="495" w:type="pct"/>
                  <w:tcBorders>
                    <w:tl2br w:val="nil"/>
                    <w:tr2bl w:val="nil"/>
                  </w:tcBorders>
                  <w:noWrap w:val="0"/>
                  <w:vAlign w:val="center"/>
                </w:tcPr>
                <w:p w14:paraId="05247498">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39</w:t>
                  </w:r>
                </w:p>
              </w:tc>
              <w:tc>
                <w:tcPr>
                  <w:tcW w:w="515" w:type="pct"/>
                  <w:tcBorders>
                    <w:tl2br w:val="nil"/>
                    <w:tr2bl w:val="nil"/>
                  </w:tcBorders>
                  <w:noWrap w:val="0"/>
                  <w:vAlign w:val="center"/>
                </w:tcPr>
                <w:p w14:paraId="2EBC7F7C">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-33</w:t>
                  </w:r>
                </w:p>
              </w:tc>
              <w:tc>
                <w:tcPr>
                  <w:tcW w:w="490" w:type="pct"/>
                  <w:tcBorders>
                    <w:tl2br w:val="nil"/>
                    <w:tr2bl w:val="nil"/>
                  </w:tcBorders>
                  <w:noWrap w:val="0"/>
                  <w:vAlign w:val="center"/>
                </w:tcPr>
                <w:p w14:paraId="042374EF">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3.5</w:t>
                  </w:r>
                </w:p>
              </w:tc>
              <w:tc>
                <w:tcPr>
                  <w:tcW w:w="1235" w:type="pct"/>
                  <w:tcBorders>
                    <w:tl2br w:val="nil"/>
                    <w:tr2bl w:val="nil"/>
                  </w:tcBorders>
                  <w:noWrap w:val="0"/>
                  <w:vAlign w:val="center"/>
                </w:tcPr>
                <w:p w14:paraId="25C53DD9">
                  <w:pPr>
                    <w:jc w:val="center"/>
                    <w:rPr>
                      <w:rFonts w:hint="default" w:cs="Times New Roman"/>
                      <w:smallCaps w:val="0"/>
                      <w:color w:val="auto"/>
                      <w:kern w:val="2"/>
                      <w:sz w:val="21"/>
                      <w:szCs w:val="21"/>
                      <w:highlight w:val="none"/>
                      <w:lang w:val="en-US" w:eastAsia="zh-CN" w:bidi="ar-SA"/>
                    </w:rPr>
                  </w:pPr>
                  <w:r>
                    <w:rPr>
                      <w:rFonts w:hint="eastAsia" w:cs="Times New Roman"/>
                      <w:smallCaps w:val="0"/>
                      <w:color w:val="auto"/>
                      <w:kern w:val="2"/>
                      <w:sz w:val="21"/>
                      <w:szCs w:val="21"/>
                      <w:highlight w:val="none"/>
                      <w:lang w:val="en-US" w:eastAsia="zh-CN" w:bidi="ar-SA"/>
                    </w:rPr>
                    <w:t>65</w:t>
                  </w:r>
                </w:p>
              </w:tc>
              <w:tc>
                <w:tcPr>
                  <w:tcW w:w="596" w:type="pct"/>
                  <w:vMerge w:val="continue"/>
                  <w:tcBorders>
                    <w:tl2br w:val="nil"/>
                    <w:tr2bl w:val="nil"/>
                  </w:tcBorders>
                  <w:noWrap w:val="0"/>
                  <w:vAlign w:val="center"/>
                </w:tcPr>
                <w:p w14:paraId="0147F5F6">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p>
              </w:tc>
              <w:tc>
                <w:tcPr>
                  <w:tcW w:w="596" w:type="pct"/>
                  <w:vMerge w:val="continue"/>
                  <w:tcBorders>
                    <w:tl2br w:val="nil"/>
                    <w:tr2bl w:val="nil"/>
                  </w:tcBorders>
                  <w:noWrap w:val="0"/>
                  <w:vAlign w:val="center"/>
                </w:tcPr>
                <w:p w14:paraId="276A573A">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p>
              </w:tc>
            </w:tr>
            <w:tr w14:paraId="35B7E2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284" w:type="pct"/>
                  <w:tcBorders>
                    <w:tl2br w:val="nil"/>
                    <w:tr2bl w:val="nil"/>
                  </w:tcBorders>
                  <w:shd w:val="clear" w:color="auto" w:fill="auto"/>
                  <w:noWrap w:val="0"/>
                  <w:vAlign w:val="center"/>
                </w:tcPr>
                <w:p w14:paraId="4E41CAD2">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9</w:t>
                  </w:r>
                </w:p>
              </w:tc>
              <w:tc>
                <w:tcPr>
                  <w:tcW w:w="786" w:type="pct"/>
                  <w:tcBorders>
                    <w:tl2br w:val="nil"/>
                    <w:tr2bl w:val="nil"/>
                  </w:tcBorders>
                  <w:noWrap w:val="0"/>
                  <w:vAlign w:val="center"/>
                </w:tcPr>
                <w:p w14:paraId="0A123608">
                  <w:pPr>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引风机</w:t>
                  </w:r>
                </w:p>
              </w:tc>
              <w:tc>
                <w:tcPr>
                  <w:tcW w:w="495" w:type="pct"/>
                  <w:tcBorders>
                    <w:tl2br w:val="nil"/>
                    <w:tr2bl w:val="nil"/>
                  </w:tcBorders>
                  <w:noWrap w:val="0"/>
                  <w:vAlign w:val="center"/>
                </w:tcPr>
                <w:p w14:paraId="5999E59B">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26</w:t>
                  </w:r>
                </w:p>
              </w:tc>
              <w:tc>
                <w:tcPr>
                  <w:tcW w:w="515" w:type="pct"/>
                  <w:tcBorders>
                    <w:tl2br w:val="nil"/>
                    <w:tr2bl w:val="nil"/>
                  </w:tcBorders>
                  <w:noWrap w:val="0"/>
                  <w:vAlign w:val="center"/>
                </w:tcPr>
                <w:p w14:paraId="29D837BB">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18</w:t>
                  </w:r>
                </w:p>
              </w:tc>
              <w:tc>
                <w:tcPr>
                  <w:tcW w:w="490" w:type="pct"/>
                  <w:tcBorders>
                    <w:tl2br w:val="nil"/>
                    <w:tr2bl w:val="nil"/>
                  </w:tcBorders>
                  <w:noWrap w:val="0"/>
                  <w:vAlign w:val="center"/>
                </w:tcPr>
                <w:p w14:paraId="7F609916">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smallCaps w:val="0"/>
                      <w:color w:val="auto"/>
                      <w:kern w:val="2"/>
                      <w:sz w:val="21"/>
                      <w:szCs w:val="21"/>
                      <w:highlight w:val="none"/>
                      <w:vertAlign w:val="baseline"/>
                      <w:lang w:val="en-US" w:eastAsia="zh-CN" w:bidi="ar-SA"/>
                    </w:rPr>
                  </w:pPr>
                  <w:r>
                    <w:rPr>
                      <w:rFonts w:hint="eastAsia"/>
                      <w:b w:val="0"/>
                      <w:bCs/>
                      <w:smallCaps w:val="0"/>
                      <w:color w:val="auto"/>
                      <w:sz w:val="21"/>
                      <w:szCs w:val="21"/>
                      <w:highlight w:val="none"/>
                      <w:vertAlign w:val="baseline"/>
                      <w:lang w:val="en-US" w:eastAsia="zh-CN"/>
                    </w:rPr>
                    <w:t>0.5</w:t>
                  </w:r>
                </w:p>
              </w:tc>
              <w:tc>
                <w:tcPr>
                  <w:tcW w:w="1235" w:type="pct"/>
                  <w:tcBorders>
                    <w:tl2br w:val="nil"/>
                    <w:tr2bl w:val="nil"/>
                  </w:tcBorders>
                  <w:noWrap w:val="0"/>
                  <w:vAlign w:val="center"/>
                </w:tcPr>
                <w:p w14:paraId="5B095F55">
                  <w:pPr>
                    <w:jc w:val="center"/>
                    <w:rPr>
                      <w:rFonts w:hint="default" w:ascii="Times New Roman" w:hAnsi="Times New Roman" w:eastAsia="宋体" w:cs="Times New Roman"/>
                      <w:smallCaps w:val="0"/>
                      <w:color w:val="auto"/>
                      <w:kern w:val="2"/>
                      <w:sz w:val="21"/>
                      <w:szCs w:val="21"/>
                      <w:highlight w:val="none"/>
                      <w:lang w:val="en-US" w:eastAsia="zh-CN" w:bidi="ar-SA"/>
                    </w:rPr>
                  </w:pPr>
                  <w:r>
                    <w:rPr>
                      <w:rFonts w:hint="eastAsia" w:cs="Times New Roman"/>
                      <w:smallCaps w:val="0"/>
                      <w:color w:val="auto"/>
                      <w:kern w:val="2"/>
                      <w:sz w:val="21"/>
                      <w:szCs w:val="21"/>
                      <w:highlight w:val="none"/>
                      <w:lang w:val="en-US" w:eastAsia="zh-CN" w:bidi="ar-SA"/>
                    </w:rPr>
                    <w:t>60</w:t>
                  </w:r>
                </w:p>
              </w:tc>
              <w:tc>
                <w:tcPr>
                  <w:tcW w:w="596" w:type="pct"/>
                  <w:vMerge w:val="restart"/>
                  <w:tcBorders>
                    <w:tl2br w:val="nil"/>
                    <w:tr2bl w:val="nil"/>
                  </w:tcBorders>
                  <w:noWrap w:val="0"/>
                  <w:vAlign w:val="center"/>
                </w:tcPr>
                <w:p w14:paraId="4E553311">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采用降噪罩、消声减振措施</w:t>
                  </w:r>
                </w:p>
              </w:tc>
              <w:tc>
                <w:tcPr>
                  <w:tcW w:w="596" w:type="pct"/>
                  <w:vMerge w:val="continue"/>
                  <w:tcBorders>
                    <w:tl2br w:val="nil"/>
                    <w:tr2bl w:val="nil"/>
                  </w:tcBorders>
                  <w:noWrap w:val="0"/>
                  <w:vAlign w:val="center"/>
                </w:tcPr>
                <w:p w14:paraId="64582DD3">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smallCaps w:val="0"/>
                      <w:color w:val="auto"/>
                      <w:kern w:val="2"/>
                      <w:sz w:val="21"/>
                      <w:szCs w:val="21"/>
                      <w:highlight w:val="none"/>
                      <w:vertAlign w:val="baseline"/>
                      <w:lang w:val="en-US" w:eastAsia="zh-CN" w:bidi="ar-SA"/>
                    </w:rPr>
                  </w:pPr>
                </w:p>
              </w:tc>
            </w:tr>
            <w:tr w14:paraId="3B6333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284" w:type="pct"/>
                  <w:tcBorders>
                    <w:tl2br w:val="nil"/>
                    <w:tr2bl w:val="nil"/>
                  </w:tcBorders>
                  <w:shd w:val="clear" w:color="auto" w:fill="auto"/>
                  <w:noWrap w:val="0"/>
                  <w:vAlign w:val="center"/>
                </w:tcPr>
                <w:p w14:paraId="561B5759">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cs="Times New Roman"/>
                      <w:smallCaps w:val="0"/>
                      <w:color w:val="auto"/>
                      <w:kern w:val="2"/>
                      <w:sz w:val="21"/>
                      <w:szCs w:val="21"/>
                      <w:highlight w:val="none"/>
                      <w:lang w:val="en-US" w:eastAsia="zh-CN" w:bidi="ar-SA"/>
                    </w:rPr>
                    <w:t>10</w:t>
                  </w:r>
                </w:p>
              </w:tc>
              <w:tc>
                <w:tcPr>
                  <w:tcW w:w="786" w:type="pct"/>
                  <w:tcBorders>
                    <w:tl2br w:val="nil"/>
                    <w:tr2bl w:val="nil"/>
                  </w:tcBorders>
                  <w:noWrap w:val="0"/>
                  <w:vAlign w:val="center"/>
                </w:tcPr>
                <w:p w14:paraId="2BA172AC">
                  <w:pPr>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引风机</w:t>
                  </w:r>
                </w:p>
              </w:tc>
              <w:tc>
                <w:tcPr>
                  <w:tcW w:w="495" w:type="pct"/>
                  <w:tcBorders>
                    <w:tl2br w:val="nil"/>
                    <w:tr2bl w:val="nil"/>
                  </w:tcBorders>
                  <w:noWrap w:val="0"/>
                  <w:vAlign w:val="center"/>
                </w:tcPr>
                <w:p w14:paraId="6DDF320E">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-15</w:t>
                  </w:r>
                </w:p>
              </w:tc>
              <w:tc>
                <w:tcPr>
                  <w:tcW w:w="515" w:type="pct"/>
                  <w:tcBorders>
                    <w:tl2br w:val="nil"/>
                    <w:tr2bl w:val="nil"/>
                  </w:tcBorders>
                  <w:noWrap w:val="0"/>
                  <w:vAlign w:val="center"/>
                </w:tcPr>
                <w:p w14:paraId="7957EAED">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15</w:t>
                  </w:r>
                </w:p>
              </w:tc>
              <w:tc>
                <w:tcPr>
                  <w:tcW w:w="490" w:type="pct"/>
                  <w:tcBorders>
                    <w:tl2br w:val="nil"/>
                    <w:tr2bl w:val="nil"/>
                  </w:tcBorders>
                  <w:noWrap w:val="0"/>
                  <w:vAlign w:val="center"/>
                </w:tcPr>
                <w:p w14:paraId="4CAB547B">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0.5</w:t>
                  </w:r>
                </w:p>
              </w:tc>
              <w:tc>
                <w:tcPr>
                  <w:tcW w:w="1235" w:type="pct"/>
                  <w:tcBorders>
                    <w:tl2br w:val="nil"/>
                    <w:tr2bl w:val="nil"/>
                  </w:tcBorders>
                  <w:noWrap w:val="0"/>
                  <w:vAlign w:val="center"/>
                </w:tcPr>
                <w:p w14:paraId="590E4BD2">
                  <w:pPr>
                    <w:jc w:val="center"/>
                    <w:rPr>
                      <w:rFonts w:hint="default"/>
                      <w:smallCaps w:val="0"/>
                      <w:color w:val="auto"/>
                      <w:sz w:val="21"/>
                      <w:szCs w:val="21"/>
                      <w:highlight w:val="none"/>
                      <w:lang w:val="en-US" w:eastAsia="zh-CN"/>
                    </w:rPr>
                  </w:pPr>
                  <w:r>
                    <w:rPr>
                      <w:rFonts w:hint="eastAsia" w:cs="Times New Roman"/>
                      <w:smallCaps w:val="0"/>
                      <w:color w:val="auto"/>
                      <w:kern w:val="2"/>
                      <w:sz w:val="21"/>
                      <w:szCs w:val="21"/>
                      <w:highlight w:val="none"/>
                      <w:lang w:val="en-US" w:eastAsia="zh-CN" w:bidi="ar-SA"/>
                    </w:rPr>
                    <w:t>60</w:t>
                  </w:r>
                </w:p>
              </w:tc>
              <w:tc>
                <w:tcPr>
                  <w:tcW w:w="596" w:type="pct"/>
                  <w:vMerge w:val="continue"/>
                  <w:tcBorders>
                    <w:tl2br w:val="nil"/>
                    <w:tr2bl w:val="nil"/>
                  </w:tcBorders>
                  <w:noWrap w:val="0"/>
                  <w:vAlign w:val="center"/>
                </w:tcPr>
                <w:p w14:paraId="3738429A">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mallCaps w:val="0"/>
                      <w:color w:val="auto"/>
                      <w:kern w:val="2"/>
                      <w:sz w:val="21"/>
                      <w:szCs w:val="21"/>
                      <w:highlight w:val="none"/>
                      <w:vertAlign w:val="baseline"/>
                      <w:lang w:val="en-US" w:eastAsia="zh-CN" w:bidi="ar-SA"/>
                    </w:rPr>
                  </w:pPr>
                </w:p>
              </w:tc>
              <w:tc>
                <w:tcPr>
                  <w:tcW w:w="596" w:type="pct"/>
                  <w:vMerge w:val="continue"/>
                  <w:tcBorders>
                    <w:tl2br w:val="nil"/>
                    <w:tr2bl w:val="nil"/>
                  </w:tcBorders>
                  <w:noWrap w:val="0"/>
                  <w:vAlign w:val="center"/>
                </w:tcPr>
                <w:p w14:paraId="2496CDDB">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mallCaps w:val="0"/>
                      <w:color w:val="auto"/>
                      <w:kern w:val="2"/>
                      <w:sz w:val="21"/>
                      <w:szCs w:val="21"/>
                      <w:highlight w:val="none"/>
                      <w:vertAlign w:val="baseline"/>
                      <w:lang w:val="en-US" w:eastAsia="zh-CN" w:bidi="ar-SA"/>
                    </w:rPr>
                  </w:pPr>
                </w:p>
              </w:tc>
            </w:tr>
            <w:tr w14:paraId="667319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284" w:type="pct"/>
                  <w:tcBorders>
                    <w:tl2br w:val="nil"/>
                    <w:tr2bl w:val="nil"/>
                  </w:tcBorders>
                  <w:shd w:val="clear" w:color="auto" w:fill="auto"/>
                  <w:noWrap w:val="0"/>
                  <w:vAlign w:val="center"/>
                </w:tcPr>
                <w:p w14:paraId="604B7D92">
                  <w:pPr>
                    <w:pStyle w:val="6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cs="Times New Roman"/>
                      <w:smallCaps w:val="0"/>
                      <w:color w:val="auto"/>
                      <w:kern w:val="2"/>
                      <w:sz w:val="21"/>
                      <w:szCs w:val="21"/>
                      <w:highlight w:val="none"/>
                      <w:lang w:val="en-US" w:eastAsia="zh-CN" w:bidi="ar-SA"/>
                    </w:rPr>
                    <w:t>11</w:t>
                  </w:r>
                </w:p>
              </w:tc>
              <w:tc>
                <w:tcPr>
                  <w:tcW w:w="786" w:type="pct"/>
                  <w:tcBorders>
                    <w:tl2br w:val="nil"/>
                    <w:tr2bl w:val="nil"/>
                  </w:tcBorders>
                  <w:noWrap w:val="0"/>
                  <w:vAlign w:val="center"/>
                </w:tcPr>
                <w:p w14:paraId="25AD3E08">
                  <w:pPr>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制冷机组</w:t>
                  </w:r>
                </w:p>
              </w:tc>
              <w:tc>
                <w:tcPr>
                  <w:tcW w:w="495" w:type="pct"/>
                  <w:tcBorders>
                    <w:tl2br w:val="nil"/>
                    <w:tr2bl w:val="nil"/>
                  </w:tcBorders>
                  <w:noWrap w:val="0"/>
                  <w:vAlign w:val="center"/>
                </w:tcPr>
                <w:p w14:paraId="3DD11DAC">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9</w:t>
                  </w:r>
                </w:p>
              </w:tc>
              <w:tc>
                <w:tcPr>
                  <w:tcW w:w="515" w:type="pct"/>
                  <w:tcBorders>
                    <w:tl2br w:val="nil"/>
                    <w:tr2bl w:val="nil"/>
                  </w:tcBorders>
                  <w:noWrap w:val="0"/>
                  <w:vAlign w:val="center"/>
                </w:tcPr>
                <w:p w14:paraId="67DC2E71">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-42</w:t>
                  </w:r>
                </w:p>
              </w:tc>
              <w:tc>
                <w:tcPr>
                  <w:tcW w:w="490" w:type="pct"/>
                  <w:tcBorders>
                    <w:tl2br w:val="nil"/>
                    <w:tr2bl w:val="nil"/>
                  </w:tcBorders>
                  <w:noWrap w:val="0"/>
                  <w:vAlign w:val="center"/>
                </w:tcPr>
                <w:p w14:paraId="740B4791">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0.5</w:t>
                  </w:r>
                </w:p>
              </w:tc>
              <w:tc>
                <w:tcPr>
                  <w:tcW w:w="1235" w:type="pct"/>
                  <w:tcBorders>
                    <w:tl2br w:val="nil"/>
                    <w:tr2bl w:val="nil"/>
                  </w:tcBorders>
                  <w:noWrap w:val="0"/>
                  <w:vAlign w:val="center"/>
                </w:tcPr>
                <w:p w14:paraId="0427B12C">
                  <w:pPr>
                    <w:jc w:val="center"/>
                    <w:rPr>
                      <w:rFonts w:hint="eastAsia"/>
                      <w:smallCaps w:val="0"/>
                      <w:color w:val="auto"/>
                      <w:sz w:val="21"/>
                      <w:szCs w:val="21"/>
                      <w:highlight w:val="none"/>
                      <w:lang w:val="en-US" w:eastAsia="zh-CN"/>
                    </w:rPr>
                  </w:pPr>
                  <w:r>
                    <w:rPr>
                      <w:rFonts w:hint="eastAsia" w:cs="Times New Roman"/>
                      <w:smallCaps w:val="0"/>
                      <w:color w:val="auto"/>
                      <w:kern w:val="2"/>
                      <w:sz w:val="21"/>
                      <w:szCs w:val="21"/>
                      <w:highlight w:val="none"/>
                      <w:lang w:val="en-US" w:eastAsia="zh-CN" w:bidi="ar-SA"/>
                    </w:rPr>
                    <w:t>60</w:t>
                  </w:r>
                </w:p>
              </w:tc>
              <w:tc>
                <w:tcPr>
                  <w:tcW w:w="596" w:type="pct"/>
                  <w:vMerge w:val="continue"/>
                  <w:tcBorders>
                    <w:tl2br w:val="nil"/>
                    <w:tr2bl w:val="nil"/>
                  </w:tcBorders>
                  <w:noWrap w:val="0"/>
                  <w:vAlign w:val="center"/>
                </w:tcPr>
                <w:p w14:paraId="69B56962">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mallCaps w:val="0"/>
                      <w:color w:val="auto"/>
                      <w:kern w:val="2"/>
                      <w:sz w:val="21"/>
                      <w:szCs w:val="21"/>
                      <w:highlight w:val="none"/>
                      <w:vertAlign w:val="baseline"/>
                      <w:lang w:val="en-US" w:eastAsia="zh-CN" w:bidi="ar-SA"/>
                    </w:rPr>
                  </w:pPr>
                </w:p>
              </w:tc>
              <w:tc>
                <w:tcPr>
                  <w:tcW w:w="596" w:type="pct"/>
                  <w:vMerge w:val="continue"/>
                  <w:tcBorders>
                    <w:tl2br w:val="nil"/>
                    <w:tr2bl w:val="nil"/>
                  </w:tcBorders>
                  <w:noWrap w:val="0"/>
                  <w:vAlign w:val="center"/>
                </w:tcPr>
                <w:p w14:paraId="04E86833">
                  <w:pPr>
                    <w:pStyle w:val="1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mallCaps w:val="0"/>
                      <w:color w:val="auto"/>
                      <w:kern w:val="2"/>
                      <w:sz w:val="21"/>
                      <w:szCs w:val="21"/>
                      <w:highlight w:val="none"/>
                      <w:vertAlign w:val="baseline"/>
                      <w:lang w:val="en-US" w:eastAsia="zh-CN" w:bidi="ar-SA"/>
                    </w:rPr>
                  </w:pPr>
                </w:p>
              </w:tc>
            </w:tr>
          </w:tbl>
          <w:p w14:paraId="29350B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textAlignment w:val="auto"/>
              <w:rPr>
                <w:rFonts w:hint="eastAsia" w:cs="Times New Roman"/>
                <w:color w:val="auto"/>
                <w:sz w:val="24"/>
                <w:highlight w:val="none"/>
                <w:lang w:val="en-US" w:eastAsia="zh-CN" w:bidi="ar"/>
              </w:rPr>
            </w:pPr>
            <w:r>
              <w:rPr>
                <w:rFonts w:hint="eastAsia" w:cs="Times New Roman"/>
                <w:b/>
                <w:bCs/>
                <w:iCs/>
                <w:color w:val="auto"/>
                <w:kern w:val="0"/>
                <w:sz w:val="21"/>
                <w:szCs w:val="21"/>
                <w:highlight w:val="none"/>
                <w:lang w:val="en-US" w:eastAsia="zh-CN" w:bidi="ar-SA"/>
              </w:rPr>
              <w:t>*注：</w:t>
            </w:r>
            <w:r>
              <w:rPr>
                <w:rFonts w:hint="default" w:ascii="Times New Roman" w:hAnsi="Times New Roman" w:eastAsia="宋体" w:cs="Times New Roman"/>
                <w:b/>
                <w:bCs/>
                <w:iCs/>
                <w:color w:val="auto"/>
                <w:kern w:val="0"/>
                <w:sz w:val="21"/>
                <w:szCs w:val="21"/>
                <w:highlight w:val="none"/>
                <w:lang w:val="en-US" w:eastAsia="zh-CN" w:bidi="ar-SA"/>
              </w:rPr>
              <w:t>原点定位为项目厂区用地红线</w:t>
            </w:r>
            <w:r>
              <w:rPr>
                <w:rFonts w:hint="eastAsia" w:cs="Times New Roman"/>
                <w:b/>
                <w:bCs/>
                <w:iCs/>
                <w:color w:val="auto"/>
                <w:kern w:val="0"/>
                <w:sz w:val="21"/>
                <w:szCs w:val="21"/>
                <w:highlight w:val="none"/>
                <w:lang w:val="en-US" w:eastAsia="zh-CN" w:bidi="ar-SA"/>
              </w:rPr>
              <w:t>范围内中心点坐标（131.17302268,46.69011080）。</w:t>
            </w:r>
          </w:p>
          <w:p w14:paraId="1ADFFF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lang w:val="en-US" w:eastAsia="zh-CN" w:bidi="ar"/>
              </w:rPr>
            </w:pPr>
            <w:r>
              <w:rPr>
                <w:rFonts w:hint="eastAsia" w:cs="Times New Roman"/>
                <w:color w:val="auto"/>
                <w:sz w:val="24"/>
                <w:highlight w:val="none"/>
                <w:lang w:val="en-US" w:eastAsia="zh-CN" w:bidi="ar"/>
              </w:rPr>
              <w:t>2、</w:t>
            </w:r>
            <w:r>
              <w:rPr>
                <w:rFonts w:hint="default" w:ascii="Times New Roman" w:hAnsi="Times New Roman" w:eastAsia="宋体" w:cs="Times New Roman"/>
                <w:color w:val="auto"/>
                <w:sz w:val="24"/>
                <w:highlight w:val="none"/>
                <w:lang w:val="en-US" w:eastAsia="zh-CN" w:bidi="ar"/>
              </w:rPr>
              <w:t>噪声</w:t>
            </w:r>
            <w:r>
              <w:rPr>
                <w:rFonts w:hint="eastAsia" w:ascii="Times New Roman" w:hAnsi="Times New Roman" w:eastAsia="宋体" w:cs="Times New Roman"/>
                <w:color w:val="auto"/>
                <w:sz w:val="24"/>
                <w:highlight w:val="none"/>
                <w:lang w:val="en-US" w:eastAsia="zh-CN" w:bidi="ar"/>
              </w:rPr>
              <w:t>敏感点预测</w:t>
            </w:r>
          </w:p>
          <w:p w14:paraId="5CBEE27C">
            <w:pPr>
              <w:pStyle w:val="62"/>
              <w:adjustRightInd/>
              <w:spacing w:line="360" w:lineRule="auto"/>
              <w:ind w:firstLine="480" w:firstLineChars="200"/>
              <w:jc w:val="both"/>
              <w:textAlignment w:val="auto"/>
              <w:rPr>
                <w:rFonts w:ascii="Times New Roman" w:hAnsi="Times New Roman"/>
                <w:color w:val="auto"/>
                <w:szCs w:val="24"/>
              </w:rPr>
            </w:pPr>
            <w:r>
              <w:rPr>
                <w:rFonts w:ascii="Times New Roman" w:hAnsi="Times New Roman"/>
                <w:color w:val="auto"/>
                <w:szCs w:val="24"/>
              </w:rPr>
              <w:t>本评价采用《环境影响评价技术导则-声环境》（HJ2.4-2021）中的工业噪声模式预测本项目各噪声源对周围环境的影响。</w:t>
            </w:r>
          </w:p>
          <w:p w14:paraId="4FFF1649">
            <w:pPr>
              <w:widowControl/>
              <w:adjustRightInd w:val="0"/>
              <w:spacing w:line="360" w:lineRule="auto"/>
              <w:ind w:firstLine="480" w:firstLineChars="200"/>
              <w:jc w:val="left"/>
              <w:rPr>
                <w:rFonts w:eastAsiaTheme="minorEastAsia"/>
                <w:color w:val="auto"/>
                <w:sz w:val="24"/>
              </w:rPr>
            </w:pPr>
            <w:r>
              <w:rPr>
                <w:color w:val="auto"/>
                <w:sz w:val="24"/>
              </w:rPr>
              <w:t>根据《环境影响评价技术导则 声环境》（HJ2.4—2021）的要求</w:t>
            </w:r>
            <w:r>
              <w:rPr>
                <w:rFonts w:hint="eastAsia"/>
                <w:color w:val="auto"/>
                <w:sz w:val="24"/>
              </w:rPr>
              <w:t>，</w:t>
            </w:r>
            <w:r>
              <w:rPr>
                <w:color w:val="auto"/>
                <w:sz w:val="24"/>
              </w:rPr>
              <w:t>并结合建设项目声源的噪声排放特点</w:t>
            </w:r>
            <w:r>
              <w:rPr>
                <w:rFonts w:hint="eastAsia"/>
                <w:color w:val="auto"/>
                <w:sz w:val="24"/>
              </w:rPr>
              <w:t>，</w:t>
            </w:r>
            <w:r>
              <w:rPr>
                <w:color w:val="auto"/>
                <w:sz w:val="24"/>
              </w:rPr>
              <w:t>选择点声源预测模式</w:t>
            </w:r>
            <w:r>
              <w:rPr>
                <w:rFonts w:hint="eastAsia"/>
                <w:color w:val="auto"/>
                <w:sz w:val="24"/>
              </w:rPr>
              <w:t>，</w:t>
            </w:r>
            <w:r>
              <w:rPr>
                <w:color w:val="auto"/>
                <w:sz w:val="24"/>
              </w:rPr>
              <w:t>预测本项目运营期设备噪声对</w:t>
            </w:r>
            <w:r>
              <w:rPr>
                <w:rFonts w:hint="eastAsia"/>
                <w:color w:val="auto"/>
                <w:sz w:val="24"/>
                <w:lang w:bidi="ar"/>
              </w:rPr>
              <w:t>环境</w:t>
            </w:r>
            <w:r>
              <w:rPr>
                <w:color w:val="auto"/>
                <w:sz w:val="24"/>
              </w:rPr>
              <w:t>的影响</w:t>
            </w:r>
            <w:r>
              <w:rPr>
                <w:rFonts w:hint="eastAsia"/>
                <w:color w:val="auto"/>
                <w:sz w:val="24"/>
              </w:rPr>
              <w:t>，</w:t>
            </w:r>
            <w:r>
              <w:rPr>
                <w:rFonts w:hAnsiTheme="minorEastAsia" w:eastAsiaTheme="minorEastAsia"/>
                <w:color w:val="auto"/>
                <w:sz w:val="24"/>
              </w:rPr>
              <w:t>具体模式如下</w:t>
            </w:r>
            <w:r>
              <w:rPr>
                <w:rFonts w:hint="eastAsia" w:hAnsiTheme="minorEastAsia" w:eastAsiaTheme="minorEastAsia"/>
                <w:color w:val="auto"/>
                <w:sz w:val="24"/>
              </w:rPr>
              <w:t>：</w:t>
            </w:r>
          </w:p>
          <w:p w14:paraId="7D882A19">
            <w:pPr>
              <w:spacing w:line="360" w:lineRule="auto"/>
              <w:ind w:firstLine="480" w:firstLineChars="200"/>
              <w:rPr>
                <w:rFonts w:eastAsiaTheme="minorEastAsia"/>
                <w:color w:val="auto"/>
                <w:sz w:val="24"/>
              </w:rPr>
            </w:pPr>
            <w:r>
              <w:rPr>
                <w:rFonts w:hAnsiTheme="minorEastAsia" w:eastAsiaTheme="minorEastAsia"/>
                <w:color w:val="auto"/>
                <w:sz w:val="24"/>
              </w:rPr>
              <w:t>（</w:t>
            </w:r>
            <w:r>
              <w:rPr>
                <w:rFonts w:eastAsiaTheme="minorEastAsia"/>
                <w:color w:val="auto"/>
                <w:sz w:val="24"/>
              </w:rPr>
              <w:t>1</w:t>
            </w:r>
            <w:r>
              <w:rPr>
                <w:rFonts w:hAnsiTheme="minorEastAsia" w:eastAsiaTheme="minorEastAsia"/>
                <w:color w:val="auto"/>
                <w:sz w:val="24"/>
              </w:rPr>
              <w:t>）由建设项目自身声源在预测点产生的声级计算公式：</w:t>
            </w:r>
          </w:p>
          <w:p w14:paraId="27D4910D">
            <w:pPr>
              <w:spacing w:line="360" w:lineRule="auto"/>
              <w:jc w:val="center"/>
              <w:rPr>
                <w:rFonts w:eastAsiaTheme="minorEastAsia"/>
                <w:color w:val="auto"/>
                <w:sz w:val="24"/>
              </w:rPr>
            </w:pPr>
            <w:r>
              <w:rPr>
                <w:rFonts w:eastAsiaTheme="minorEastAsia"/>
                <w:color w:val="auto"/>
                <w:sz w:val="24"/>
              </w:rPr>
              <w:drawing>
                <wp:inline distT="0" distB="0" distL="0" distR="0">
                  <wp:extent cx="1837690" cy="466090"/>
                  <wp:effectExtent l="0" t="0" r="0" b="10795"/>
                  <wp:docPr id="3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1"/>
                          <pic:cNvPicPr>
                            <a:picLocks noChangeAspect="1" noChangeArrowheads="1"/>
                          </pic:cNvPicPr>
                        </pic:nvPicPr>
                        <pic:blipFill>
                          <a:blip r:embed="rId21" cstate="print"/>
                          <a:srcRect/>
                          <a:stretch>
                            <a:fillRect/>
                          </a:stretch>
                        </pic:blipFill>
                        <pic:spPr>
                          <a:xfrm>
                            <a:off x="0" y="0"/>
                            <a:ext cx="1837690" cy="466090"/>
                          </a:xfrm>
                          <a:prstGeom prst="rect">
                            <a:avLst/>
                          </a:prstGeom>
                          <a:noFill/>
                          <a:ln w="9525">
                            <a:noFill/>
                            <a:miter lim="800000"/>
                            <a:headEnd/>
                            <a:tailEnd/>
                          </a:ln>
                        </pic:spPr>
                      </pic:pic>
                    </a:graphicData>
                  </a:graphic>
                </wp:inline>
              </w:drawing>
            </w:r>
          </w:p>
          <w:p w14:paraId="5E9E19A4">
            <w:pPr>
              <w:spacing w:line="360" w:lineRule="auto"/>
              <w:ind w:firstLine="480" w:firstLineChars="200"/>
              <w:rPr>
                <w:rFonts w:eastAsiaTheme="minorEastAsia"/>
                <w:color w:val="auto"/>
                <w:sz w:val="24"/>
              </w:rPr>
            </w:pPr>
            <w:r>
              <w:rPr>
                <w:rFonts w:hAnsiTheme="minorEastAsia" w:eastAsiaTheme="minorEastAsia"/>
                <w:color w:val="auto"/>
                <w:sz w:val="24"/>
              </w:rPr>
              <w:t>式中：</w:t>
            </w:r>
            <w:r>
              <w:rPr>
                <w:rFonts w:eastAsiaTheme="minorEastAsia"/>
                <w:color w:val="auto"/>
                <w:sz w:val="24"/>
              </w:rPr>
              <w:t>L</w:t>
            </w:r>
            <w:r>
              <w:rPr>
                <w:rFonts w:eastAsiaTheme="minorEastAsia"/>
                <w:color w:val="auto"/>
                <w:sz w:val="24"/>
                <w:vertAlign w:val="subscript"/>
              </w:rPr>
              <w:t>eqg</w:t>
            </w:r>
            <w:r>
              <w:rPr>
                <w:rFonts w:eastAsiaTheme="minorEastAsia"/>
                <w:color w:val="auto"/>
                <w:sz w:val="24"/>
              </w:rPr>
              <w:t>——</w:t>
            </w:r>
            <w:r>
              <w:rPr>
                <w:rFonts w:hAnsiTheme="minorEastAsia" w:eastAsiaTheme="minorEastAsia"/>
                <w:color w:val="auto"/>
                <w:sz w:val="24"/>
              </w:rPr>
              <w:t>噪声贡献值</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5B9232FE">
            <w:pPr>
              <w:spacing w:line="360" w:lineRule="auto"/>
              <w:ind w:firstLine="1200" w:firstLineChars="500"/>
              <w:rPr>
                <w:rFonts w:eastAsiaTheme="minorEastAsia"/>
                <w:color w:val="auto"/>
                <w:sz w:val="24"/>
              </w:rPr>
            </w:pPr>
            <w:r>
              <w:rPr>
                <w:rFonts w:eastAsiaTheme="minorEastAsia"/>
                <w:color w:val="auto"/>
                <w:sz w:val="24"/>
              </w:rPr>
              <w:t>T——</w:t>
            </w:r>
            <w:r>
              <w:rPr>
                <w:rFonts w:hAnsiTheme="minorEastAsia" w:eastAsiaTheme="minorEastAsia"/>
                <w:color w:val="auto"/>
                <w:sz w:val="24"/>
              </w:rPr>
              <w:t>预测计算的时间段</w:t>
            </w:r>
            <w:r>
              <w:rPr>
                <w:rFonts w:hint="eastAsia" w:hAnsiTheme="minorEastAsia" w:eastAsiaTheme="minorEastAsia"/>
                <w:color w:val="auto"/>
                <w:sz w:val="24"/>
              </w:rPr>
              <w:t>，</w:t>
            </w:r>
            <w:r>
              <w:rPr>
                <w:rFonts w:eastAsiaTheme="minorEastAsia"/>
                <w:color w:val="auto"/>
                <w:sz w:val="24"/>
              </w:rPr>
              <w:t>s</w:t>
            </w:r>
            <w:r>
              <w:rPr>
                <w:rFonts w:hAnsiTheme="minorEastAsia" w:eastAsiaTheme="minorEastAsia"/>
                <w:color w:val="auto"/>
                <w:sz w:val="24"/>
              </w:rPr>
              <w:t>；</w:t>
            </w:r>
          </w:p>
          <w:p w14:paraId="3EA2E968">
            <w:pPr>
              <w:spacing w:line="360" w:lineRule="auto"/>
              <w:ind w:firstLine="1200" w:firstLineChars="500"/>
              <w:rPr>
                <w:rFonts w:eastAsiaTheme="minorEastAsia"/>
                <w:color w:val="auto"/>
                <w:sz w:val="24"/>
              </w:rPr>
            </w:pPr>
            <w:r>
              <w:rPr>
                <w:rFonts w:eastAsiaTheme="minorEastAsia"/>
                <w:color w:val="auto"/>
                <w:sz w:val="24"/>
              </w:rPr>
              <w:t>t</w:t>
            </w:r>
            <w:r>
              <w:rPr>
                <w:rFonts w:eastAsiaTheme="minorEastAsia"/>
                <w:color w:val="auto"/>
                <w:sz w:val="24"/>
                <w:vertAlign w:val="subscript"/>
              </w:rPr>
              <w:t>i</w:t>
            </w:r>
            <w:r>
              <w:rPr>
                <w:rFonts w:eastAsiaTheme="minorEastAsia"/>
                <w:color w:val="auto"/>
                <w:sz w:val="24"/>
              </w:rPr>
              <w:t>——i</w:t>
            </w:r>
            <w:r>
              <w:rPr>
                <w:rFonts w:hAnsiTheme="minorEastAsia" w:eastAsiaTheme="minorEastAsia"/>
                <w:color w:val="auto"/>
                <w:sz w:val="24"/>
              </w:rPr>
              <w:t>声源在</w:t>
            </w:r>
            <w:r>
              <w:rPr>
                <w:rFonts w:eastAsiaTheme="minorEastAsia"/>
                <w:color w:val="auto"/>
                <w:sz w:val="24"/>
              </w:rPr>
              <w:t>T</w:t>
            </w:r>
            <w:r>
              <w:rPr>
                <w:rFonts w:hAnsiTheme="minorEastAsia" w:eastAsiaTheme="minorEastAsia"/>
                <w:color w:val="auto"/>
                <w:sz w:val="24"/>
              </w:rPr>
              <w:t>时段内的运行时间</w:t>
            </w:r>
            <w:r>
              <w:rPr>
                <w:rFonts w:hint="eastAsia" w:hAnsiTheme="minorEastAsia" w:eastAsiaTheme="minorEastAsia"/>
                <w:color w:val="auto"/>
                <w:sz w:val="24"/>
              </w:rPr>
              <w:t>，</w:t>
            </w:r>
            <w:r>
              <w:rPr>
                <w:rFonts w:eastAsiaTheme="minorEastAsia"/>
                <w:color w:val="auto"/>
                <w:sz w:val="24"/>
              </w:rPr>
              <w:t>s</w:t>
            </w:r>
            <w:r>
              <w:rPr>
                <w:rFonts w:hAnsiTheme="minorEastAsia" w:eastAsiaTheme="minorEastAsia"/>
                <w:color w:val="auto"/>
                <w:sz w:val="24"/>
              </w:rPr>
              <w:t>；</w:t>
            </w:r>
          </w:p>
          <w:p w14:paraId="2B85B792">
            <w:pPr>
              <w:spacing w:line="360" w:lineRule="auto"/>
              <w:ind w:firstLine="1200" w:firstLineChars="500"/>
              <w:rPr>
                <w:rFonts w:eastAsiaTheme="minorEastAsia"/>
                <w:color w:val="auto"/>
                <w:sz w:val="24"/>
              </w:rPr>
            </w:pPr>
            <w:r>
              <w:rPr>
                <w:rFonts w:eastAsiaTheme="minorEastAsia"/>
                <w:color w:val="auto"/>
                <w:sz w:val="24"/>
              </w:rPr>
              <w:t>L</w:t>
            </w:r>
            <w:r>
              <w:rPr>
                <w:rFonts w:eastAsiaTheme="minorEastAsia"/>
                <w:color w:val="auto"/>
                <w:sz w:val="24"/>
                <w:vertAlign w:val="subscript"/>
              </w:rPr>
              <w:t>Ai</w:t>
            </w:r>
            <w:r>
              <w:rPr>
                <w:rFonts w:eastAsiaTheme="minorEastAsia"/>
                <w:color w:val="auto"/>
                <w:sz w:val="24"/>
              </w:rPr>
              <w:t>——i</w:t>
            </w:r>
            <w:r>
              <w:rPr>
                <w:rFonts w:hAnsiTheme="minorEastAsia" w:eastAsiaTheme="minorEastAsia"/>
                <w:color w:val="auto"/>
                <w:sz w:val="24"/>
              </w:rPr>
              <w:t>声源在预测点产生的等效连续</w:t>
            </w:r>
            <w:r>
              <w:rPr>
                <w:rFonts w:eastAsiaTheme="minorEastAsia"/>
                <w:color w:val="auto"/>
                <w:sz w:val="24"/>
              </w:rPr>
              <w:t>A</w:t>
            </w:r>
            <w:r>
              <w:rPr>
                <w:rFonts w:hAnsiTheme="minorEastAsia" w:eastAsiaTheme="minorEastAsia"/>
                <w:color w:val="auto"/>
                <w:sz w:val="24"/>
              </w:rPr>
              <w:t>声级</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6C6DE8EC">
            <w:pPr>
              <w:spacing w:line="360" w:lineRule="auto"/>
              <w:ind w:firstLine="480" w:firstLineChars="200"/>
              <w:rPr>
                <w:rFonts w:eastAsiaTheme="minorEastAsia"/>
                <w:color w:val="auto"/>
                <w:sz w:val="24"/>
              </w:rPr>
            </w:pPr>
            <w:r>
              <w:rPr>
                <w:rFonts w:hAnsiTheme="minorEastAsia" w:eastAsiaTheme="minorEastAsia"/>
                <w:color w:val="auto"/>
                <w:sz w:val="24"/>
              </w:rPr>
              <w:t>（</w:t>
            </w:r>
            <w:r>
              <w:rPr>
                <w:rFonts w:eastAsiaTheme="minorEastAsia"/>
                <w:color w:val="auto"/>
                <w:sz w:val="24"/>
              </w:rPr>
              <w:t>2</w:t>
            </w:r>
            <w:r>
              <w:rPr>
                <w:rFonts w:hAnsiTheme="minorEastAsia" w:eastAsiaTheme="minorEastAsia"/>
                <w:color w:val="auto"/>
                <w:sz w:val="24"/>
              </w:rPr>
              <w:t>）预测点的贡献值和背景值按能量叠加方法计算得到的声级计算公式：</w:t>
            </w:r>
          </w:p>
          <w:p w14:paraId="52B0BA3C">
            <w:pPr>
              <w:spacing w:line="360" w:lineRule="auto"/>
              <w:ind w:firstLine="480" w:firstLineChars="200"/>
              <w:jc w:val="center"/>
              <w:rPr>
                <w:rFonts w:eastAsiaTheme="minorEastAsia"/>
                <w:color w:val="auto"/>
                <w:sz w:val="24"/>
              </w:rPr>
            </w:pPr>
            <w:r>
              <w:rPr>
                <w:rFonts w:eastAsiaTheme="minorEastAsia"/>
                <w:color w:val="auto"/>
                <w:sz w:val="24"/>
              </w:rPr>
              <w:drawing>
                <wp:inline distT="0" distB="0" distL="0" distR="0">
                  <wp:extent cx="2087880" cy="284480"/>
                  <wp:effectExtent l="0" t="0" r="0" b="1270"/>
                  <wp:docPr id="40"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2"/>
                          <pic:cNvPicPr>
                            <a:picLocks noChangeAspect="1" noChangeArrowheads="1"/>
                          </pic:cNvPicPr>
                        </pic:nvPicPr>
                        <pic:blipFill>
                          <a:blip r:embed="rId22" cstate="print"/>
                          <a:srcRect/>
                          <a:stretch>
                            <a:fillRect/>
                          </a:stretch>
                        </pic:blipFill>
                        <pic:spPr>
                          <a:xfrm>
                            <a:off x="0" y="0"/>
                            <a:ext cx="2087880" cy="284480"/>
                          </a:xfrm>
                          <a:prstGeom prst="rect">
                            <a:avLst/>
                          </a:prstGeom>
                          <a:noFill/>
                          <a:ln w="9525">
                            <a:noFill/>
                            <a:miter lim="800000"/>
                            <a:headEnd/>
                            <a:tailEnd/>
                          </a:ln>
                        </pic:spPr>
                      </pic:pic>
                    </a:graphicData>
                  </a:graphic>
                </wp:inline>
              </w:drawing>
            </w:r>
          </w:p>
          <w:p w14:paraId="54C04F5A">
            <w:pPr>
              <w:spacing w:line="360" w:lineRule="auto"/>
              <w:ind w:firstLine="480" w:firstLineChars="200"/>
              <w:rPr>
                <w:rFonts w:eastAsiaTheme="minorEastAsia"/>
                <w:color w:val="auto"/>
                <w:sz w:val="24"/>
              </w:rPr>
            </w:pPr>
            <w:r>
              <w:rPr>
                <w:rFonts w:hAnsiTheme="minorEastAsia" w:eastAsiaTheme="minorEastAsia"/>
                <w:color w:val="auto"/>
                <w:sz w:val="24"/>
              </w:rPr>
              <w:t>式中：</w:t>
            </w:r>
            <w:r>
              <w:rPr>
                <w:rFonts w:eastAsiaTheme="minorEastAsia"/>
                <w:color w:val="auto"/>
                <w:sz w:val="24"/>
              </w:rPr>
              <w:t>L</w:t>
            </w:r>
            <w:r>
              <w:rPr>
                <w:rFonts w:eastAsiaTheme="minorEastAsia"/>
                <w:color w:val="auto"/>
                <w:sz w:val="24"/>
                <w:vertAlign w:val="subscript"/>
              </w:rPr>
              <w:t>eq</w:t>
            </w:r>
            <w:r>
              <w:rPr>
                <w:rFonts w:eastAsiaTheme="minorEastAsia"/>
                <w:color w:val="auto"/>
                <w:sz w:val="24"/>
              </w:rPr>
              <w:t>——</w:t>
            </w:r>
            <w:r>
              <w:rPr>
                <w:rFonts w:hAnsiTheme="minorEastAsia" w:eastAsiaTheme="minorEastAsia"/>
                <w:color w:val="auto"/>
                <w:sz w:val="24"/>
              </w:rPr>
              <w:t>预测点的噪声预测值</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7774358C">
            <w:pPr>
              <w:spacing w:line="360" w:lineRule="auto"/>
              <w:ind w:firstLine="1200" w:firstLineChars="500"/>
              <w:rPr>
                <w:rFonts w:eastAsiaTheme="minorEastAsia"/>
                <w:color w:val="auto"/>
                <w:sz w:val="24"/>
              </w:rPr>
            </w:pPr>
            <w:r>
              <w:rPr>
                <w:rFonts w:eastAsiaTheme="minorEastAsia"/>
                <w:color w:val="auto"/>
                <w:sz w:val="24"/>
              </w:rPr>
              <w:t>L</w:t>
            </w:r>
            <w:r>
              <w:rPr>
                <w:rFonts w:eastAsiaTheme="minorEastAsia"/>
                <w:color w:val="auto"/>
                <w:sz w:val="24"/>
                <w:vertAlign w:val="subscript"/>
              </w:rPr>
              <w:t>eqg</w:t>
            </w:r>
            <w:r>
              <w:rPr>
                <w:rFonts w:eastAsiaTheme="minorEastAsia"/>
                <w:color w:val="auto"/>
                <w:sz w:val="24"/>
              </w:rPr>
              <w:t>——</w:t>
            </w:r>
            <w:r>
              <w:rPr>
                <w:rFonts w:hAnsiTheme="minorEastAsia" w:eastAsiaTheme="minorEastAsia"/>
                <w:color w:val="auto"/>
                <w:sz w:val="24"/>
              </w:rPr>
              <w:t>建设项目声源</w:t>
            </w:r>
            <w:r>
              <w:rPr>
                <w:rFonts w:hint="eastAsia" w:hAnsiTheme="minorEastAsia" w:eastAsiaTheme="minorEastAsia"/>
                <w:color w:val="auto"/>
                <w:sz w:val="24"/>
              </w:rPr>
              <w:t>在</w:t>
            </w:r>
            <w:r>
              <w:rPr>
                <w:rFonts w:hAnsiTheme="minorEastAsia" w:eastAsiaTheme="minorEastAsia"/>
                <w:color w:val="auto"/>
                <w:sz w:val="24"/>
              </w:rPr>
              <w:t>预测点产生的噪声贡献值</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6C495D10">
            <w:pPr>
              <w:spacing w:line="360" w:lineRule="auto"/>
              <w:ind w:firstLine="1200" w:firstLineChars="500"/>
              <w:rPr>
                <w:rFonts w:eastAsiaTheme="minorEastAsia"/>
                <w:color w:val="auto"/>
                <w:sz w:val="24"/>
              </w:rPr>
            </w:pPr>
            <w:r>
              <w:rPr>
                <w:rFonts w:eastAsiaTheme="minorEastAsia"/>
                <w:color w:val="auto"/>
                <w:sz w:val="24"/>
              </w:rPr>
              <w:t>L</w:t>
            </w:r>
            <w:r>
              <w:rPr>
                <w:rFonts w:eastAsiaTheme="minorEastAsia"/>
                <w:color w:val="auto"/>
                <w:sz w:val="24"/>
                <w:vertAlign w:val="subscript"/>
              </w:rPr>
              <w:t>eqb</w:t>
            </w:r>
            <w:r>
              <w:rPr>
                <w:rFonts w:eastAsiaTheme="minorEastAsia"/>
                <w:color w:val="auto"/>
                <w:sz w:val="24"/>
              </w:rPr>
              <w:t>——</w:t>
            </w:r>
            <w:r>
              <w:rPr>
                <w:rFonts w:hAnsiTheme="minorEastAsia" w:eastAsiaTheme="minorEastAsia"/>
                <w:color w:val="auto"/>
                <w:sz w:val="24"/>
              </w:rPr>
              <w:t>预测点的背景噪声值</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084289E8">
            <w:pPr>
              <w:spacing w:line="360" w:lineRule="auto"/>
              <w:ind w:firstLine="480" w:firstLineChars="200"/>
              <w:rPr>
                <w:rFonts w:eastAsiaTheme="minorEastAsia"/>
                <w:color w:val="auto"/>
                <w:sz w:val="24"/>
              </w:rPr>
            </w:pPr>
            <w:r>
              <w:rPr>
                <w:rFonts w:hAnsiTheme="minorEastAsia" w:eastAsiaTheme="minorEastAsia"/>
                <w:color w:val="auto"/>
                <w:sz w:val="24"/>
              </w:rPr>
              <w:t>（</w:t>
            </w:r>
            <w:r>
              <w:rPr>
                <w:rFonts w:eastAsiaTheme="minorEastAsia"/>
                <w:color w:val="auto"/>
                <w:sz w:val="24"/>
              </w:rPr>
              <w:t>3</w:t>
            </w:r>
            <w:r>
              <w:rPr>
                <w:rFonts w:hAnsiTheme="minorEastAsia" w:eastAsiaTheme="minorEastAsia"/>
                <w:color w:val="auto"/>
                <w:sz w:val="24"/>
              </w:rPr>
              <w:t>）室内声源等效室外声源功率级计算</w:t>
            </w:r>
          </w:p>
          <w:p w14:paraId="1CDD6216">
            <w:pPr>
              <w:spacing w:line="360" w:lineRule="auto"/>
              <w:jc w:val="center"/>
              <w:rPr>
                <w:rFonts w:eastAsiaTheme="minorEastAsia"/>
                <w:color w:val="auto"/>
                <w:sz w:val="24"/>
              </w:rPr>
            </w:pPr>
            <w:r>
              <w:rPr>
                <w:rFonts w:eastAsiaTheme="minorEastAsia"/>
                <w:color w:val="auto"/>
                <w:sz w:val="24"/>
              </w:rPr>
              <w:drawing>
                <wp:inline distT="0" distB="0" distL="0" distR="0">
                  <wp:extent cx="2225040" cy="382270"/>
                  <wp:effectExtent l="0" t="0" r="3810" b="17780"/>
                  <wp:docPr id="53"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40"/>
                          <pic:cNvPicPr>
                            <a:picLocks noChangeAspect="1" noChangeArrowheads="1"/>
                          </pic:cNvPicPr>
                        </pic:nvPicPr>
                        <pic:blipFill>
                          <a:blip r:embed="rId23" cstate="print"/>
                          <a:srcRect/>
                          <a:stretch>
                            <a:fillRect/>
                          </a:stretch>
                        </pic:blipFill>
                        <pic:spPr>
                          <a:xfrm>
                            <a:off x="0" y="0"/>
                            <a:ext cx="2264320" cy="389060"/>
                          </a:xfrm>
                          <a:prstGeom prst="rect">
                            <a:avLst/>
                          </a:prstGeom>
                          <a:noFill/>
                          <a:ln w="9525">
                            <a:noFill/>
                            <a:miter lim="800000"/>
                            <a:headEnd/>
                            <a:tailEnd/>
                          </a:ln>
                        </pic:spPr>
                      </pic:pic>
                    </a:graphicData>
                  </a:graphic>
                </wp:inline>
              </w:drawing>
            </w:r>
          </w:p>
          <w:p w14:paraId="0F0D3F2D">
            <w:pPr>
              <w:spacing w:line="360" w:lineRule="auto"/>
              <w:ind w:firstLine="480" w:firstLineChars="200"/>
              <w:rPr>
                <w:rFonts w:eastAsiaTheme="minorEastAsia"/>
                <w:color w:val="auto"/>
                <w:sz w:val="24"/>
              </w:rPr>
            </w:pPr>
            <w:r>
              <w:rPr>
                <w:rFonts w:hAnsiTheme="minorEastAsia" w:eastAsiaTheme="minorEastAsia"/>
                <w:color w:val="auto"/>
                <w:sz w:val="24"/>
              </w:rPr>
              <w:t>式中：</w:t>
            </w:r>
            <w:r>
              <w:rPr>
                <w:rFonts w:eastAsiaTheme="minorEastAsia"/>
                <w:color w:val="auto"/>
                <w:sz w:val="24"/>
              </w:rPr>
              <w:t>L</w:t>
            </w:r>
            <w:r>
              <w:rPr>
                <w:rFonts w:eastAsiaTheme="minorEastAsia"/>
                <w:color w:val="auto"/>
                <w:sz w:val="24"/>
                <w:vertAlign w:val="subscript"/>
              </w:rPr>
              <w:t>p1</w:t>
            </w:r>
            <w:r>
              <w:rPr>
                <w:rFonts w:eastAsiaTheme="minorEastAsia"/>
                <w:color w:val="auto"/>
                <w:sz w:val="24"/>
              </w:rPr>
              <w:t>—</w:t>
            </w:r>
            <w:r>
              <w:rPr>
                <w:rFonts w:hAnsiTheme="minorEastAsia" w:eastAsiaTheme="minorEastAsia"/>
                <w:color w:val="auto"/>
                <w:sz w:val="24"/>
              </w:rPr>
              <w:t>靠近开口处（或窗户）室内某倍频带的声压级或</w:t>
            </w:r>
            <w:r>
              <w:rPr>
                <w:rFonts w:eastAsiaTheme="minorEastAsia"/>
                <w:color w:val="auto"/>
                <w:sz w:val="24"/>
              </w:rPr>
              <w:t>A</w:t>
            </w:r>
            <w:r>
              <w:rPr>
                <w:rFonts w:hAnsiTheme="minorEastAsia" w:eastAsiaTheme="minorEastAsia"/>
                <w:color w:val="auto"/>
                <w:sz w:val="24"/>
              </w:rPr>
              <w:t>声级</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337EBAEB">
            <w:pPr>
              <w:spacing w:line="360" w:lineRule="auto"/>
              <w:ind w:firstLine="1200" w:firstLineChars="500"/>
              <w:rPr>
                <w:rFonts w:eastAsiaTheme="minorEastAsia"/>
                <w:color w:val="auto"/>
                <w:sz w:val="24"/>
              </w:rPr>
            </w:pPr>
            <w:r>
              <w:rPr>
                <w:rFonts w:eastAsiaTheme="minorEastAsia"/>
                <w:color w:val="auto"/>
                <w:sz w:val="24"/>
              </w:rPr>
              <w:t>L</w:t>
            </w:r>
            <w:r>
              <w:rPr>
                <w:rFonts w:eastAsiaTheme="minorEastAsia"/>
                <w:color w:val="auto"/>
                <w:sz w:val="24"/>
                <w:vertAlign w:val="subscript"/>
              </w:rPr>
              <w:t>p2</w:t>
            </w:r>
            <w:r>
              <w:rPr>
                <w:rFonts w:eastAsiaTheme="minorEastAsia"/>
                <w:color w:val="auto"/>
                <w:sz w:val="24"/>
              </w:rPr>
              <w:t>——</w:t>
            </w:r>
            <w:r>
              <w:rPr>
                <w:rFonts w:hAnsiTheme="minorEastAsia" w:eastAsiaTheme="minorEastAsia"/>
                <w:color w:val="auto"/>
                <w:sz w:val="24"/>
              </w:rPr>
              <w:t>靠近开口处（或窗户）室外某倍频带的声压级或</w:t>
            </w:r>
            <w:r>
              <w:rPr>
                <w:rFonts w:eastAsiaTheme="minorEastAsia"/>
                <w:color w:val="auto"/>
                <w:sz w:val="24"/>
              </w:rPr>
              <w:t>A</w:t>
            </w:r>
            <w:r>
              <w:rPr>
                <w:rFonts w:hAnsiTheme="minorEastAsia" w:eastAsiaTheme="minorEastAsia"/>
                <w:color w:val="auto"/>
                <w:sz w:val="24"/>
              </w:rPr>
              <w:t>声级</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68052204">
            <w:pPr>
              <w:spacing w:line="360" w:lineRule="auto"/>
              <w:ind w:firstLine="1200" w:firstLineChars="500"/>
              <w:rPr>
                <w:rFonts w:eastAsiaTheme="minorEastAsia"/>
                <w:color w:val="auto"/>
                <w:sz w:val="24"/>
              </w:rPr>
            </w:pPr>
            <w:r>
              <w:rPr>
                <w:rFonts w:eastAsiaTheme="minorEastAsia"/>
                <w:color w:val="auto"/>
                <w:sz w:val="24"/>
              </w:rPr>
              <w:t>TL——</w:t>
            </w:r>
            <w:r>
              <w:rPr>
                <w:rFonts w:hAnsiTheme="minorEastAsia" w:eastAsiaTheme="minorEastAsia"/>
                <w:color w:val="auto"/>
                <w:sz w:val="24"/>
              </w:rPr>
              <w:t>隔墙（或窗户）倍频带或</w:t>
            </w:r>
            <w:r>
              <w:rPr>
                <w:rFonts w:eastAsiaTheme="minorEastAsia"/>
                <w:color w:val="auto"/>
                <w:sz w:val="24"/>
              </w:rPr>
              <w:t xml:space="preserve"> A </w:t>
            </w:r>
            <w:r>
              <w:rPr>
                <w:rFonts w:hAnsiTheme="minorEastAsia" w:eastAsiaTheme="minorEastAsia"/>
                <w:color w:val="auto"/>
                <w:sz w:val="24"/>
              </w:rPr>
              <w:t>声级的隔声量</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549AAA2E">
            <w:pPr>
              <w:spacing w:line="360" w:lineRule="auto"/>
              <w:ind w:firstLine="480" w:firstLineChars="200"/>
              <w:rPr>
                <w:rFonts w:eastAsiaTheme="minorEastAsia"/>
                <w:color w:val="auto"/>
                <w:sz w:val="24"/>
              </w:rPr>
            </w:pPr>
            <w:r>
              <w:rPr>
                <w:rFonts w:hAnsiTheme="minorEastAsia" w:eastAsiaTheme="minorEastAsia"/>
                <w:color w:val="auto"/>
                <w:sz w:val="24"/>
              </w:rPr>
              <w:t>然后计算出所有室内声源在围护结构处产生的</w:t>
            </w:r>
            <w:r>
              <w:rPr>
                <w:rFonts w:eastAsiaTheme="minorEastAsia"/>
                <w:color w:val="auto"/>
                <w:sz w:val="24"/>
              </w:rPr>
              <w:t>i</w:t>
            </w:r>
            <w:r>
              <w:rPr>
                <w:rFonts w:hAnsiTheme="minorEastAsia" w:eastAsiaTheme="minorEastAsia"/>
                <w:color w:val="auto"/>
                <w:sz w:val="24"/>
              </w:rPr>
              <w:t>倍频带叠加声压级：</w:t>
            </w:r>
          </w:p>
          <w:p w14:paraId="2FDFB604">
            <w:pPr>
              <w:spacing w:line="360" w:lineRule="auto"/>
              <w:ind w:firstLine="480" w:firstLineChars="200"/>
              <w:jc w:val="center"/>
              <w:rPr>
                <w:rFonts w:eastAsiaTheme="minorEastAsia"/>
                <w:color w:val="auto"/>
                <w:sz w:val="24"/>
              </w:rPr>
            </w:pPr>
            <w:r>
              <w:rPr>
                <w:rFonts w:eastAsiaTheme="minorEastAsia"/>
                <w:color w:val="auto"/>
                <w:sz w:val="24"/>
              </w:rPr>
              <w:drawing>
                <wp:inline distT="0" distB="0" distL="0" distR="0">
                  <wp:extent cx="2548890" cy="582295"/>
                  <wp:effectExtent l="0" t="0" r="3810" b="8255"/>
                  <wp:docPr id="56"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41"/>
                          <pic:cNvPicPr>
                            <a:picLocks noChangeAspect="1" noChangeArrowheads="1"/>
                          </pic:cNvPicPr>
                        </pic:nvPicPr>
                        <pic:blipFill>
                          <a:blip r:embed="rId24" cstate="print"/>
                          <a:srcRect/>
                          <a:stretch>
                            <a:fillRect/>
                          </a:stretch>
                        </pic:blipFill>
                        <pic:spPr>
                          <a:xfrm>
                            <a:off x="0" y="0"/>
                            <a:ext cx="2575642" cy="588795"/>
                          </a:xfrm>
                          <a:prstGeom prst="rect">
                            <a:avLst/>
                          </a:prstGeom>
                          <a:noFill/>
                          <a:ln w="9525">
                            <a:noFill/>
                            <a:miter lim="800000"/>
                            <a:headEnd/>
                            <a:tailEnd/>
                          </a:ln>
                        </pic:spPr>
                      </pic:pic>
                    </a:graphicData>
                  </a:graphic>
                </wp:inline>
              </w:drawing>
            </w:r>
          </w:p>
          <w:p w14:paraId="79F33D11">
            <w:pPr>
              <w:spacing w:line="360" w:lineRule="auto"/>
              <w:ind w:firstLine="480" w:firstLineChars="200"/>
              <w:rPr>
                <w:rFonts w:eastAsiaTheme="minorEastAsia"/>
                <w:color w:val="auto"/>
                <w:sz w:val="24"/>
              </w:rPr>
            </w:pPr>
            <w:r>
              <w:rPr>
                <w:rFonts w:hAnsiTheme="minorEastAsia" w:eastAsiaTheme="minorEastAsia"/>
                <w:color w:val="auto"/>
                <w:sz w:val="24"/>
              </w:rPr>
              <w:t>式中：</w:t>
            </w:r>
            <w:r>
              <w:rPr>
                <w:rFonts w:eastAsiaTheme="minorEastAsia"/>
                <w:color w:val="auto"/>
                <w:sz w:val="24"/>
              </w:rPr>
              <w:t>L</w:t>
            </w:r>
            <w:r>
              <w:rPr>
                <w:rFonts w:eastAsiaTheme="minorEastAsia"/>
                <w:color w:val="auto"/>
                <w:sz w:val="24"/>
                <w:vertAlign w:val="subscript"/>
              </w:rPr>
              <w:t>p1i</w:t>
            </w:r>
            <w:r>
              <w:rPr>
                <w:rFonts w:hAnsiTheme="minorEastAsia" w:eastAsiaTheme="minorEastAsia"/>
                <w:color w:val="auto"/>
                <w:sz w:val="24"/>
              </w:rPr>
              <w:t>（</w:t>
            </w:r>
            <w:r>
              <w:rPr>
                <w:rFonts w:eastAsiaTheme="minorEastAsia"/>
                <w:color w:val="auto"/>
                <w:sz w:val="24"/>
              </w:rPr>
              <w:t>T</w:t>
            </w:r>
            <w:r>
              <w:rPr>
                <w:rFonts w:hAnsiTheme="minorEastAsia" w:eastAsiaTheme="minorEastAsia"/>
                <w:color w:val="auto"/>
                <w:sz w:val="24"/>
              </w:rPr>
              <w:t>）</w:t>
            </w:r>
            <w:r>
              <w:rPr>
                <w:rFonts w:eastAsiaTheme="minorEastAsia"/>
                <w:color w:val="auto"/>
                <w:sz w:val="24"/>
              </w:rPr>
              <w:t>—</w:t>
            </w:r>
            <w:r>
              <w:rPr>
                <w:rFonts w:hAnsiTheme="minorEastAsia" w:eastAsiaTheme="minorEastAsia"/>
                <w:color w:val="auto"/>
                <w:sz w:val="24"/>
              </w:rPr>
              <w:t>靠近围护结构处室内</w:t>
            </w:r>
            <w:r>
              <w:rPr>
                <w:rFonts w:eastAsiaTheme="minorEastAsia"/>
                <w:color w:val="auto"/>
                <w:sz w:val="24"/>
              </w:rPr>
              <w:t>N</w:t>
            </w:r>
            <w:r>
              <w:rPr>
                <w:rFonts w:hAnsiTheme="minorEastAsia" w:eastAsiaTheme="minorEastAsia"/>
                <w:color w:val="auto"/>
                <w:sz w:val="24"/>
              </w:rPr>
              <w:t>个声源</w:t>
            </w:r>
            <w:r>
              <w:rPr>
                <w:rFonts w:eastAsiaTheme="minorEastAsia"/>
                <w:color w:val="auto"/>
                <w:sz w:val="24"/>
              </w:rPr>
              <w:t>i</w:t>
            </w:r>
            <w:r>
              <w:rPr>
                <w:rFonts w:hAnsiTheme="minorEastAsia" w:eastAsiaTheme="minorEastAsia"/>
                <w:color w:val="auto"/>
                <w:sz w:val="24"/>
              </w:rPr>
              <w:t>倍频带的叠加声压级</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32E584AF">
            <w:pPr>
              <w:spacing w:line="360" w:lineRule="auto"/>
              <w:ind w:firstLine="1200" w:firstLineChars="500"/>
              <w:rPr>
                <w:rFonts w:eastAsiaTheme="minorEastAsia"/>
                <w:color w:val="auto"/>
                <w:sz w:val="24"/>
              </w:rPr>
            </w:pPr>
            <w:r>
              <w:rPr>
                <w:rFonts w:eastAsiaTheme="minorEastAsia"/>
                <w:color w:val="auto"/>
                <w:sz w:val="24"/>
              </w:rPr>
              <w:t>L</w:t>
            </w:r>
            <w:r>
              <w:rPr>
                <w:rFonts w:eastAsiaTheme="minorEastAsia"/>
                <w:color w:val="auto"/>
                <w:sz w:val="24"/>
                <w:vertAlign w:val="subscript"/>
              </w:rPr>
              <w:t>p1ij</w:t>
            </w:r>
            <w:r>
              <w:rPr>
                <w:rFonts w:eastAsiaTheme="minorEastAsia"/>
                <w:color w:val="auto"/>
                <w:sz w:val="24"/>
              </w:rPr>
              <w:t>—</w:t>
            </w:r>
            <w:r>
              <w:rPr>
                <w:rFonts w:hAnsiTheme="minorEastAsia" w:eastAsiaTheme="minorEastAsia"/>
                <w:color w:val="auto"/>
                <w:sz w:val="24"/>
              </w:rPr>
              <w:t>室内</w:t>
            </w:r>
            <w:r>
              <w:rPr>
                <w:rFonts w:eastAsiaTheme="minorEastAsia"/>
                <w:color w:val="auto"/>
                <w:sz w:val="24"/>
              </w:rPr>
              <w:t>j</w:t>
            </w:r>
            <w:r>
              <w:rPr>
                <w:rFonts w:hAnsiTheme="minorEastAsia" w:eastAsiaTheme="minorEastAsia"/>
                <w:color w:val="auto"/>
                <w:sz w:val="24"/>
              </w:rPr>
              <w:t>声源</w:t>
            </w:r>
            <w:r>
              <w:rPr>
                <w:rFonts w:eastAsiaTheme="minorEastAsia"/>
                <w:color w:val="auto"/>
                <w:sz w:val="24"/>
              </w:rPr>
              <w:t>i</w:t>
            </w:r>
            <w:r>
              <w:rPr>
                <w:rFonts w:hAnsiTheme="minorEastAsia" w:eastAsiaTheme="minorEastAsia"/>
                <w:color w:val="auto"/>
                <w:sz w:val="24"/>
              </w:rPr>
              <w:t>倍频带的声压级</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2E32046C">
            <w:pPr>
              <w:spacing w:line="360" w:lineRule="auto"/>
              <w:ind w:firstLine="1200" w:firstLineChars="500"/>
              <w:rPr>
                <w:rFonts w:eastAsiaTheme="minorEastAsia"/>
                <w:color w:val="auto"/>
                <w:sz w:val="24"/>
              </w:rPr>
            </w:pPr>
            <w:r>
              <w:rPr>
                <w:rFonts w:eastAsiaTheme="minorEastAsia"/>
                <w:color w:val="auto"/>
                <w:sz w:val="24"/>
              </w:rPr>
              <w:t>N—</w:t>
            </w:r>
            <w:r>
              <w:rPr>
                <w:rFonts w:hAnsiTheme="minorEastAsia" w:eastAsiaTheme="minorEastAsia"/>
                <w:color w:val="auto"/>
                <w:sz w:val="24"/>
              </w:rPr>
              <w:t>室内声源总数。</w:t>
            </w:r>
          </w:p>
          <w:p w14:paraId="438BFB19">
            <w:pPr>
              <w:spacing w:line="360" w:lineRule="auto"/>
              <w:ind w:firstLine="480" w:firstLineChars="200"/>
              <w:rPr>
                <w:rFonts w:eastAsiaTheme="minorEastAsia"/>
                <w:color w:val="auto"/>
                <w:sz w:val="24"/>
              </w:rPr>
            </w:pPr>
            <w:r>
              <w:rPr>
                <w:rFonts w:hAnsiTheme="minorEastAsia" w:eastAsiaTheme="minorEastAsia"/>
                <w:color w:val="auto"/>
                <w:sz w:val="24"/>
              </w:rPr>
              <w:t>在室内近似为扩散声场时</w:t>
            </w:r>
            <w:r>
              <w:rPr>
                <w:rFonts w:hint="eastAsia" w:hAnsiTheme="minorEastAsia" w:eastAsiaTheme="minorEastAsia"/>
                <w:color w:val="auto"/>
                <w:sz w:val="24"/>
              </w:rPr>
              <w:t>，</w:t>
            </w:r>
            <w:r>
              <w:rPr>
                <w:rFonts w:hAnsiTheme="minorEastAsia" w:eastAsiaTheme="minorEastAsia"/>
                <w:color w:val="auto"/>
                <w:sz w:val="24"/>
              </w:rPr>
              <w:t>计算出靠近室外围护结构处的声压级：</w:t>
            </w:r>
          </w:p>
          <w:p w14:paraId="410C6980">
            <w:pPr>
              <w:spacing w:line="360" w:lineRule="auto"/>
              <w:ind w:firstLine="480" w:firstLineChars="200"/>
              <w:jc w:val="center"/>
              <w:rPr>
                <w:rFonts w:eastAsiaTheme="minorEastAsia"/>
                <w:color w:val="auto"/>
                <w:sz w:val="24"/>
              </w:rPr>
            </w:pPr>
            <w:r>
              <w:rPr>
                <w:rFonts w:eastAsiaTheme="minorEastAsia"/>
                <w:color w:val="auto"/>
                <w:sz w:val="24"/>
              </w:rPr>
              <w:drawing>
                <wp:inline distT="0" distB="0" distL="0" distR="0">
                  <wp:extent cx="2339340" cy="269875"/>
                  <wp:effectExtent l="0" t="0" r="3810" b="15875"/>
                  <wp:docPr id="87"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42"/>
                          <pic:cNvPicPr>
                            <a:picLocks noChangeAspect="1" noChangeArrowheads="1"/>
                          </pic:cNvPicPr>
                        </pic:nvPicPr>
                        <pic:blipFill>
                          <a:blip r:embed="rId25" cstate="print"/>
                          <a:srcRect/>
                          <a:stretch>
                            <a:fillRect/>
                          </a:stretch>
                        </pic:blipFill>
                        <pic:spPr>
                          <a:xfrm>
                            <a:off x="0" y="0"/>
                            <a:ext cx="2378245" cy="274492"/>
                          </a:xfrm>
                          <a:prstGeom prst="rect">
                            <a:avLst/>
                          </a:prstGeom>
                          <a:noFill/>
                          <a:ln w="9525">
                            <a:noFill/>
                            <a:miter lim="800000"/>
                            <a:headEnd/>
                            <a:tailEnd/>
                          </a:ln>
                        </pic:spPr>
                      </pic:pic>
                    </a:graphicData>
                  </a:graphic>
                </wp:inline>
              </w:drawing>
            </w:r>
          </w:p>
          <w:p w14:paraId="6F4003BE">
            <w:pPr>
              <w:spacing w:line="360" w:lineRule="auto"/>
              <w:ind w:firstLine="480" w:firstLineChars="200"/>
              <w:rPr>
                <w:rFonts w:eastAsiaTheme="minorEastAsia"/>
                <w:color w:val="auto"/>
                <w:sz w:val="24"/>
              </w:rPr>
            </w:pPr>
            <w:r>
              <w:rPr>
                <w:rFonts w:hAnsiTheme="minorEastAsia" w:eastAsiaTheme="minorEastAsia"/>
                <w:color w:val="auto"/>
                <w:sz w:val="24"/>
              </w:rPr>
              <w:t>式中：</w:t>
            </w:r>
            <w:r>
              <w:rPr>
                <w:rFonts w:eastAsiaTheme="minorEastAsia"/>
                <w:color w:val="auto"/>
                <w:sz w:val="24"/>
              </w:rPr>
              <w:t>L</w:t>
            </w:r>
            <w:r>
              <w:rPr>
                <w:rFonts w:eastAsiaTheme="minorEastAsia"/>
                <w:color w:val="auto"/>
                <w:sz w:val="24"/>
                <w:vertAlign w:val="subscript"/>
              </w:rPr>
              <w:t>2pi</w:t>
            </w:r>
            <w:r>
              <w:rPr>
                <w:rFonts w:hAnsiTheme="minorEastAsia" w:eastAsiaTheme="minorEastAsia"/>
                <w:color w:val="auto"/>
                <w:sz w:val="24"/>
              </w:rPr>
              <w:t>（</w:t>
            </w:r>
            <w:r>
              <w:rPr>
                <w:rFonts w:eastAsiaTheme="minorEastAsia"/>
                <w:color w:val="auto"/>
                <w:sz w:val="24"/>
              </w:rPr>
              <w:t>T</w:t>
            </w:r>
            <w:r>
              <w:rPr>
                <w:rFonts w:hAnsiTheme="minorEastAsia" w:eastAsiaTheme="minorEastAsia"/>
                <w:color w:val="auto"/>
                <w:sz w:val="24"/>
              </w:rPr>
              <w:t>）</w:t>
            </w:r>
            <w:r>
              <w:rPr>
                <w:rFonts w:eastAsiaTheme="minorEastAsia"/>
                <w:color w:val="auto"/>
                <w:sz w:val="24"/>
              </w:rPr>
              <w:t>—</w:t>
            </w:r>
            <w:r>
              <w:rPr>
                <w:rFonts w:hAnsiTheme="minorEastAsia" w:eastAsiaTheme="minorEastAsia"/>
                <w:color w:val="auto"/>
                <w:sz w:val="24"/>
              </w:rPr>
              <w:t>靠近围护结构处室外</w:t>
            </w:r>
            <w:r>
              <w:rPr>
                <w:rFonts w:eastAsiaTheme="minorEastAsia"/>
                <w:color w:val="auto"/>
                <w:sz w:val="24"/>
              </w:rPr>
              <w:t>N</w:t>
            </w:r>
            <w:r>
              <w:rPr>
                <w:rFonts w:hAnsiTheme="minorEastAsia" w:eastAsiaTheme="minorEastAsia"/>
                <w:color w:val="auto"/>
                <w:sz w:val="24"/>
              </w:rPr>
              <w:t>个声源</w:t>
            </w:r>
            <w:r>
              <w:rPr>
                <w:rFonts w:eastAsiaTheme="minorEastAsia"/>
                <w:color w:val="auto"/>
                <w:sz w:val="24"/>
              </w:rPr>
              <w:t>i</w:t>
            </w:r>
            <w:r>
              <w:rPr>
                <w:rFonts w:hAnsiTheme="minorEastAsia" w:eastAsiaTheme="minorEastAsia"/>
                <w:color w:val="auto"/>
                <w:sz w:val="24"/>
              </w:rPr>
              <w:t>倍频带的叠加声压级</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02F37D59">
            <w:pPr>
              <w:spacing w:line="360" w:lineRule="auto"/>
              <w:ind w:firstLine="1080" w:firstLineChars="450"/>
              <w:rPr>
                <w:rFonts w:eastAsiaTheme="minorEastAsia"/>
                <w:color w:val="auto"/>
                <w:sz w:val="24"/>
              </w:rPr>
            </w:pPr>
            <w:r>
              <w:rPr>
                <w:rFonts w:eastAsiaTheme="minorEastAsia"/>
                <w:color w:val="auto"/>
                <w:sz w:val="24"/>
              </w:rPr>
              <w:t>TL</w:t>
            </w:r>
            <w:r>
              <w:rPr>
                <w:rFonts w:eastAsiaTheme="minorEastAsia"/>
                <w:color w:val="auto"/>
                <w:sz w:val="24"/>
                <w:vertAlign w:val="subscript"/>
              </w:rPr>
              <w:t>i</w:t>
            </w:r>
            <w:r>
              <w:rPr>
                <w:rFonts w:eastAsiaTheme="minorEastAsia"/>
                <w:color w:val="auto"/>
                <w:sz w:val="24"/>
              </w:rPr>
              <w:t>—</w:t>
            </w:r>
            <w:r>
              <w:rPr>
                <w:rFonts w:hAnsiTheme="minorEastAsia" w:eastAsiaTheme="minorEastAsia"/>
                <w:color w:val="auto"/>
                <w:sz w:val="24"/>
              </w:rPr>
              <w:t>围护结构</w:t>
            </w:r>
            <w:r>
              <w:rPr>
                <w:rFonts w:eastAsiaTheme="minorEastAsia"/>
                <w:color w:val="auto"/>
                <w:sz w:val="24"/>
              </w:rPr>
              <w:t>i</w:t>
            </w:r>
            <w:r>
              <w:rPr>
                <w:rFonts w:hAnsiTheme="minorEastAsia" w:eastAsiaTheme="minorEastAsia"/>
                <w:color w:val="auto"/>
                <w:sz w:val="24"/>
              </w:rPr>
              <w:t>倍频带的隔声量</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72D1420D">
            <w:pPr>
              <w:spacing w:line="360" w:lineRule="auto"/>
              <w:ind w:firstLine="480" w:firstLineChars="200"/>
              <w:rPr>
                <w:rFonts w:eastAsiaTheme="minorEastAsia"/>
                <w:color w:val="auto"/>
                <w:sz w:val="24"/>
              </w:rPr>
            </w:pPr>
            <w:r>
              <w:rPr>
                <w:rFonts w:hAnsiTheme="minorEastAsia" w:eastAsiaTheme="minorEastAsia"/>
                <w:color w:val="auto"/>
                <w:sz w:val="24"/>
              </w:rPr>
              <w:t>然后将室外声源的声压级和透过面积换算成等效的室外声源</w:t>
            </w:r>
            <w:r>
              <w:rPr>
                <w:rFonts w:hint="eastAsia" w:hAnsiTheme="minorEastAsia" w:eastAsiaTheme="minorEastAsia"/>
                <w:color w:val="auto"/>
                <w:sz w:val="24"/>
              </w:rPr>
              <w:t>，</w:t>
            </w:r>
            <w:r>
              <w:rPr>
                <w:rFonts w:hAnsiTheme="minorEastAsia" w:eastAsiaTheme="minorEastAsia"/>
                <w:color w:val="auto"/>
                <w:sz w:val="24"/>
              </w:rPr>
              <w:t>计算出中心位置位于透声面积（</w:t>
            </w:r>
            <w:r>
              <w:rPr>
                <w:rFonts w:eastAsiaTheme="minorEastAsia"/>
                <w:color w:val="auto"/>
                <w:sz w:val="24"/>
              </w:rPr>
              <w:t>S</w:t>
            </w:r>
            <w:r>
              <w:rPr>
                <w:rFonts w:hAnsiTheme="minorEastAsia" w:eastAsiaTheme="minorEastAsia"/>
                <w:color w:val="auto"/>
                <w:sz w:val="24"/>
              </w:rPr>
              <w:t>）处的等效声源的倍频带声功率级。</w:t>
            </w:r>
          </w:p>
          <w:p w14:paraId="305ECCC6">
            <w:pPr>
              <w:spacing w:line="360" w:lineRule="auto"/>
              <w:jc w:val="center"/>
              <w:rPr>
                <w:rFonts w:eastAsiaTheme="minorEastAsia"/>
                <w:color w:val="auto"/>
                <w:sz w:val="24"/>
              </w:rPr>
            </w:pPr>
            <w:r>
              <w:rPr>
                <w:rFonts w:eastAsiaTheme="minorEastAsia"/>
                <w:color w:val="auto"/>
                <w:sz w:val="24"/>
              </w:rPr>
              <w:drawing>
                <wp:inline distT="0" distB="0" distL="0" distR="0">
                  <wp:extent cx="2023745" cy="279400"/>
                  <wp:effectExtent l="0" t="0" r="14605" b="6350"/>
                  <wp:docPr id="88"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43"/>
                          <pic:cNvPicPr>
                            <a:picLocks noChangeAspect="1" noChangeArrowheads="1"/>
                          </pic:cNvPicPr>
                        </pic:nvPicPr>
                        <pic:blipFill>
                          <a:blip r:embed="rId26" cstate="print"/>
                          <a:srcRect/>
                          <a:stretch>
                            <a:fillRect/>
                          </a:stretch>
                        </pic:blipFill>
                        <pic:spPr>
                          <a:xfrm>
                            <a:off x="0" y="0"/>
                            <a:ext cx="2035101" cy="281333"/>
                          </a:xfrm>
                          <a:prstGeom prst="rect">
                            <a:avLst/>
                          </a:prstGeom>
                          <a:noFill/>
                          <a:ln w="9525">
                            <a:noFill/>
                            <a:miter lim="800000"/>
                            <a:headEnd/>
                            <a:tailEnd/>
                          </a:ln>
                        </pic:spPr>
                      </pic:pic>
                    </a:graphicData>
                  </a:graphic>
                </wp:inline>
              </w:drawing>
            </w:r>
          </w:p>
          <w:p w14:paraId="36954624">
            <w:pPr>
              <w:spacing w:line="360" w:lineRule="auto"/>
              <w:rPr>
                <w:rFonts w:eastAsiaTheme="minorEastAsia"/>
                <w:color w:val="auto"/>
                <w:sz w:val="24"/>
              </w:rPr>
            </w:pPr>
            <w:r>
              <w:rPr>
                <w:rFonts w:hAnsiTheme="minorEastAsia" w:eastAsiaTheme="minorEastAsia"/>
                <w:color w:val="auto"/>
                <w:sz w:val="24"/>
              </w:rPr>
              <w:t>式中：</w:t>
            </w:r>
            <w:r>
              <w:rPr>
                <w:rFonts w:eastAsiaTheme="minorEastAsia"/>
                <w:color w:val="auto"/>
                <w:sz w:val="24"/>
              </w:rPr>
              <w:t>L</w:t>
            </w:r>
            <w:r>
              <w:rPr>
                <w:rFonts w:eastAsiaTheme="minorEastAsia"/>
                <w:color w:val="auto"/>
                <w:sz w:val="24"/>
                <w:vertAlign w:val="subscript"/>
              </w:rPr>
              <w:t>w</w:t>
            </w:r>
            <w:r>
              <w:rPr>
                <w:rFonts w:eastAsiaTheme="minorEastAsia"/>
                <w:color w:val="auto"/>
                <w:sz w:val="24"/>
              </w:rPr>
              <w:t>—</w:t>
            </w:r>
            <w:r>
              <w:rPr>
                <w:rFonts w:hAnsiTheme="minorEastAsia" w:eastAsiaTheme="minorEastAsia"/>
                <w:color w:val="auto"/>
                <w:sz w:val="24"/>
              </w:rPr>
              <w:t>中心位置位于透声面积（</w:t>
            </w:r>
            <w:r>
              <w:rPr>
                <w:rFonts w:eastAsiaTheme="minorEastAsia"/>
                <w:color w:val="auto"/>
                <w:sz w:val="24"/>
              </w:rPr>
              <w:t>S</w:t>
            </w:r>
            <w:r>
              <w:rPr>
                <w:rFonts w:hAnsiTheme="minorEastAsia" w:eastAsiaTheme="minorEastAsia"/>
                <w:color w:val="auto"/>
                <w:sz w:val="24"/>
              </w:rPr>
              <w:t>）处的等效声源的倍频带声功率级</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57353F5A">
            <w:pPr>
              <w:spacing w:line="360" w:lineRule="auto"/>
              <w:ind w:firstLine="720" w:firstLineChars="300"/>
              <w:rPr>
                <w:rFonts w:eastAsiaTheme="minorEastAsia"/>
                <w:color w:val="auto"/>
                <w:sz w:val="24"/>
              </w:rPr>
            </w:pPr>
            <w:r>
              <w:rPr>
                <w:rFonts w:eastAsiaTheme="minorEastAsia"/>
                <w:color w:val="auto"/>
                <w:sz w:val="24"/>
              </w:rPr>
              <w:t>L</w:t>
            </w:r>
            <w:r>
              <w:rPr>
                <w:rFonts w:eastAsiaTheme="minorEastAsia"/>
                <w:color w:val="auto"/>
                <w:sz w:val="24"/>
                <w:vertAlign w:val="subscript"/>
              </w:rPr>
              <w:t>p2</w:t>
            </w:r>
            <w:r>
              <w:rPr>
                <w:rFonts w:hAnsiTheme="minorEastAsia" w:eastAsiaTheme="minorEastAsia"/>
                <w:color w:val="auto"/>
                <w:sz w:val="24"/>
              </w:rPr>
              <w:t>（</w:t>
            </w:r>
            <w:r>
              <w:rPr>
                <w:rFonts w:eastAsiaTheme="minorEastAsia"/>
                <w:color w:val="auto"/>
                <w:sz w:val="24"/>
              </w:rPr>
              <w:t>T</w:t>
            </w:r>
            <w:r>
              <w:rPr>
                <w:rFonts w:hAnsiTheme="minorEastAsia" w:eastAsiaTheme="minorEastAsia"/>
                <w:color w:val="auto"/>
                <w:sz w:val="24"/>
              </w:rPr>
              <w:t>）</w:t>
            </w:r>
            <w:r>
              <w:rPr>
                <w:rFonts w:eastAsiaTheme="minorEastAsia"/>
                <w:color w:val="auto"/>
                <w:sz w:val="24"/>
              </w:rPr>
              <w:t>—</w:t>
            </w:r>
            <w:r>
              <w:rPr>
                <w:rFonts w:hAnsiTheme="minorEastAsia" w:eastAsiaTheme="minorEastAsia"/>
                <w:color w:val="auto"/>
                <w:sz w:val="24"/>
              </w:rPr>
              <w:t>靠近围护结构处室外声源的声压级</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7DDE10DE">
            <w:pPr>
              <w:spacing w:line="360" w:lineRule="auto"/>
              <w:ind w:firstLine="720" w:firstLineChars="300"/>
              <w:rPr>
                <w:rFonts w:eastAsiaTheme="minorEastAsia"/>
                <w:color w:val="auto"/>
                <w:sz w:val="24"/>
              </w:rPr>
            </w:pPr>
            <w:r>
              <w:rPr>
                <w:rFonts w:eastAsiaTheme="minorEastAsia"/>
                <w:color w:val="auto"/>
                <w:sz w:val="24"/>
              </w:rPr>
              <w:t>S—</w:t>
            </w:r>
            <w:r>
              <w:rPr>
                <w:rFonts w:hAnsiTheme="minorEastAsia" w:eastAsiaTheme="minorEastAsia"/>
                <w:color w:val="auto"/>
                <w:sz w:val="24"/>
              </w:rPr>
              <w:t>透声面积</w:t>
            </w:r>
            <w:r>
              <w:rPr>
                <w:rFonts w:hint="eastAsia" w:hAnsiTheme="minorEastAsia" w:eastAsiaTheme="minorEastAsia"/>
                <w:color w:val="auto"/>
                <w:sz w:val="24"/>
              </w:rPr>
              <w:t>，</w:t>
            </w:r>
            <w:r>
              <w:rPr>
                <w:rFonts w:eastAsiaTheme="minorEastAsia"/>
                <w:color w:val="auto"/>
                <w:sz w:val="24"/>
              </w:rPr>
              <w:t>m</w:t>
            </w:r>
            <w:r>
              <w:rPr>
                <w:rFonts w:eastAsiaTheme="minorEastAsia"/>
                <w:color w:val="auto"/>
                <w:sz w:val="24"/>
                <w:vertAlign w:val="superscript"/>
              </w:rPr>
              <w:t>2</w:t>
            </w:r>
            <w:r>
              <w:rPr>
                <w:rFonts w:hAnsiTheme="minorEastAsia" w:eastAsiaTheme="minorEastAsia"/>
                <w:color w:val="auto"/>
                <w:sz w:val="24"/>
              </w:rPr>
              <w:t>。</w:t>
            </w:r>
          </w:p>
          <w:p w14:paraId="07A1AC0D">
            <w:pPr>
              <w:spacing w:line="360" w:lineRule="auto"/>
              <w:ind w:firstLine="480" w:firstLineChars="200"/>
              <w:rPr>
                <w:rFonts w:eastAsiaTheme="minorEastAsia"/>
                <w:color w:val="auto"/>
                <w:sz w:val="24"/>
              </w:rPr>
            </w:pPr>
            <w:r>
              <w:rPr>
                <w:rFonts w:hAnsiTheme="minorEastAsia" w:eastAsiaTheme="minorEastAsia"/>
                <w:color w:val="auto"/>
                <w:sz w:val="24"/>
              </w:rPr>
              <w:t>（</w:t>
            </w:r>
            <w:r>
              <w:rPr>
                <w:rFonts w:eastAsiaTheme="minorEastAsia"/>
                <w:color w:val="auto"/>
                <w:sz w:val="24"/>
              </w:rPr>
              <w:t>4</w:t>
            </w:r>
            <w:r>
              <w:rPr>
                <w:rFonts w:hAnsiTheme="minorEastAsia" w:eastAsiaTheme="minorEastAsia"/>
                <w:color w:val="auto"/>
                <w:sz w:val="24"/>
              </w:rPr>
              <w:t>）户外声传播衰减计算</w:t>
            </w:r>
          </w:p>
          <w:p w14:paraId="4AD5A41C">
            <w:pPr>
              <w:spacing w:line="360" w:lineRule="auto"/>
              <w:ind w:firstLine="480" w:firstLineChars="200"/>
              <w:rPr>
                <w:rFonts w:eastAsiaTheme="minorEastAsia"/>
                <w:color w:val="auto"/>
                <w:sz w:val="24"/>
              </w:rPr>
            </w:pPr>
            <w:r>
              <w:rPr>
                <w:rFonts w:hAnsiTheme="minorEastAsia" w:eastAsiaTheme="minorEastAsia"/>
                <w:color w:val="auto"/>
                <w:sz w:val="24"/>
              </w:rPr>
              <w:t>户外声传播衰减包括几何发散（</w:t>
            </w:r>
            <w:r>
              <w:rPr>
                <w:rFonts w:eastAsiaTheme="minorEastAsia"/>
                <w:color w:val="auto"/>
                <w:sz w:val="24"/>
              </w:rPr>
              <w:t>A</w:t>
            </w:r>
            <w:r>
              <w:rPr>
                <w:rFonts w:eastAsiaTheme="minorEastAsia"/>
                <w:color w:val="auto"/>
                <w:sz w:val="24"/>
                <w:vertAlign w:val="subscript"/>
              </w:rPr>
              <w:t>div</w:t>
            </w:r>
            <w:r>
              <w:rPr>
                <w:rFonts w:hAnsiTheme="minorEastAsia" w:eastAsiaTheme="minorEastAsia"/>
                <w:color w:val="auto"/>
                <w:sz w:val="24"/>
              </w:rPr>
              <w:t>）、大气吸收（</w:t>
            </w:r>
            <w:r>
              <w:rPr>
                <w:rFonts w:eastAsiaTheme="minorEastAsia"/>
                <w:color w:val="auto"/>
                <w:sz w:val="24"/>
              </w:rPr>
              <w:t>A</w:t>
            </w:r>
            <w:r>
              <w:rPr>
                <w:rFonts w:eastAsiaTheme="minorEastAsia"/>
                <w:color w:val="auto"/>
                <w:sz w:val="24"/>
                <w:vertAlign w:val="subscript"/>
              </w:rPr>
              <w:t>atm</w:t>
            </w:r>
            <w:r>
              <w:rPr>
                <w:rFonts w:hAnsiTheme="minorEastAsia" w:eastAsiaTheme="minorEastAsia"/>
                <w:color w:val="auto"/>
                <w:sz w:val="24"/>
              </w:rPr>
              <w:t>）、地面效应（</w:t>
            </w:r>
            <w:r>
              <w:rPr>
                <w:rFonts w:eastAsiaTheme="minorEastAsia"/>
                <w:color w:val="auto"/>
                <w:sz w:val="24"/>
              </w:rPr>
              <w:t>A</w:t>
            </w:r>
            <w:r>
              <w:rPr>
                <w:rFonts w:eastAsiaTheme="minorEastAsia"/>
                <w:color w:val="auto"/>
                <w:sz w:val="24"/>
                <w:vertAlign w:val="subscript"/>
              </w:rPr>
              <w:t>gr</w:t>
            </w:r>
            <w:r>
              <w:rPr>
                <w:rFonts w:hAnsiTheme="minorEastAsia" w:eastAsiaTheme="minorEastAsia"/>
                <w:color w:val="auto"/>
                <w:sz w:val="24"/>
              </w:rPr>
              <w:t>）、屏障屏蔽（</w:t>
            </w:r>
            <w:r>
              <w:rPr>
                <w:rFonts w:eastAsiaTheme="minorEastAsia"/>
                <w:color w:val="auto"/>
                <w:sz w:val="24"/>
              </w:rPr>
              <w:t>A</w:t>
            </w:r>
            <w:r>
              <w:rPr>
                <w:rFonts w:eastAsiaTheme="minorEastAsia"/>
                <w:color w:val="auto"/>
                <w:sz w:val="24"/>
                <w:vertAlign w:val="subscript"/>
              </w:rPr>
              <w:t>bar</w:t>
            </w:r>
            <w:r>
              <w:rPr>
                <w:rFonts w:hAnsiTheme="minorEastAsia" w:eastAsiaTheme="minorEastAsia"/>
                <w:color w:val="auto"/>
                <w:sz w:val="24"/>
              </w:rPr>
              <w:t>）、其他多方面效应（</w:t>
            </w:r>
            <w:r>
              <w:rPr>
                <w:rFonts w:eastAsiaTheme="minorEastAsia"/>
                <w:color w:val="auto"/>
                <w:sz w:val="24"/>
              </w:rPr>
              <w:t>A</w:t>
            </w:r>
            <w:r>
              <w:rPr>
                <w:rFonts w:eastAsiaTheme="minorEastAsia"/>
                <w:color w:val="auto"/>
                <w:sz w:val="24"/>
                <w:vertAlign w:val="subscript"/>
              </w:rPr>
              <w:t>misc</w:t>
            </w:r>
            <w:r>
              <w:rPr>
                <w:rFonts w:hAnsiTheme="minorEastAsia" w:eastAsiaTheme="minorEastAsia"/>
                <w:color w:val="auto"/>
                <w:sz w:val="24"/>
              </w:rPr>
              <w:t>）引起的衰减。</w:t>
            </w:r>
          </w:p>
          <w:p w14:paraId="4BFBEE46">
            <w:pPr>
              <w:spacing w:line="360" w:lineRule="auto"/>
              <w:ind w:firstLine="480" w:firstLineChars="200"/>
              <w:rPr>
                <w:rFonts w:eastAsiaTheme="minorEastAsia"/>
                <w:color w:val="auto"/>
                <w:sz w:val="24"/>
              </w:rPr>
            </w:pPr>
            <w:r>
              <w:rPr>
                <w:rFonts w:hAnsiTheme="minorEastAsia" w:eastAsiaTheme="minorEastAsia"/>
                <w:color w:val="auto"/>
                <w:sz w:val="24"/>
              </w:rPr>
              <w:t>距声源点</w:t>
            </w:r>
            <w:r>
              <w:rPr>
                <w:rFonts w:eastAsiaTheme="minorEastAsia"/>
                <w:color w:val="auto"/>
                <w:sz w:val="24"/>
              </w:rPr>
              <w:t>r</w:t>
            </w:r>
            <w:r>
              <w:rPr>
                <w:rFonts w:hAnsiTheme="minorEastAsia" w:eastAsiaTheme="minorEastAsia"/>
                <w:color w:val="auto"/>
                <w:sz w:val="24"/>
              </w:rPr>
              <w:t>处的</w:t>
            </w:r>
            <w:r>
              <w:rPr>
                <w:rFonts w:eastAsiaTheme="minorEastAsia"/>
                <w:color w:val="auto"/>
                <w:sz w:val="24"/>
              </w:rPr>
              <w:t>A</w:t>
            </w:r>
            <w:r>
              <w:rPr>
                <w:rFonts w:hAnsiTheme="minorEastAsia" w:eastAsiaTheme="minorEastAsia"/>
                <w:color w:val="auto"/>
                <w:sz w:val="24"/>
              </w:rPr>
              <w:t>声级按下式计算：</w:t>
            </w:r>
          </w:p>
          <w:p w14:paraId="79C44E13">
            <w:pPr>
              <w:spacing w:line="360" w:lineRule="auto"/>
              <w:jc w:val="center"/>
              <w:rPr>
                <w:rFonts w:eastAsiaTheme="minorEastAsia"/>
                <w:color w:val="auto"/>
                <w:sz w:val="24"/>
              </w:rPr>
            </w:pPr>
            <w:r>
              <w:rPr>
                <w:rFonts w:eastAsiaTheme="minorEastAsia"/>
                <w:color w:val="auto"/>
                <w:sz w:val="24"/>
              </w:rPr>
              <w:drawing>
                <wp:inline distT="0" distB="0" distL="0" distR="0">
                  <wp:extent cx="3924935" cy="336550"/>
                  <wp:effectExtent l="0" t="0" r="18415" b="6350"/>
                  <wp:docPr id="89" name="图片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144"/>
                          <pic:cNvPicPr>
                            <a:picLocks noChangeAspect="1" noChangeArrowheads="1"/>
                          </pic:cNvPicPr>
                        </pic:nvPicPr>
                        <pic:blipFill>
                          <a:blip r:embed="rId27" cstate="print"/>
                          <a:srcRect/>
                          <a:stretch>
                            <a:fillRect/>
                          </a:stretch>
                        </pic:blipFill>
                        <pic:spPr>
                          <a:xfrm>
                            <a:off x="0" y="0"/>
                            <a:ext cx="3924935" cy="336550"/>
                          </a:xfrm>
                          <a:prstGeom prst="rect">
                            <a:avLst/>
                          </a:prstGeom>
                          <a:noFill/>
                          <a:ln w="9525">
                            <a:noFill/>
                            <a:miter lim="800000"/>
                            <a:headEnd/>
                            <a:tailEnd/>
                          </a:ln>
                        </pic:spPr>
                      </pic:pic>
                    </a:graphicData>
                  </a:graphic>
                </wp:inline>
              </w:drawing>
            </w:r>
          </w:p>
          <w:p w14:paraId="1B0398A4">
            <w:pPr>
              <w:spacing w:line="360" w:lineRule="auto"/>
              <w:ind w:firstLine="480" w:firstLineChars="200"/>
              <w:rPr>
                <w:rFonts w:eastAsiaTheme="minorEastAsia"/>
                <w:color w:val="auto"/>
                <w:sz w:val="24"/>
              </w:rPr>
            </w:pPr>
            <w:r>
              <w:rPr>
                <w:rFonts w:hAnsiTheme="minorEastAsia" w:eastAsiaTheme="minorEastAsia"/>
                <w:color w:val="auto"/>
                <w:sz w:val="24"/>
              </w:rPr>
              <w:t>（</w:t>
            </w:r>
            <w:r>
              <w:rPr>
                <w:rFonts w:eastAsiaTheme="minorEastAsia"/>
                <w:color w:val="auto"/>
                <w:sz w:val="24"/>
              </w:rPr>
              <w:t>5</w:t>
            </w:r>
            <w:r>
              <w:rPr>
                <w:rFonts w:hAnsiTheme="minorEastAsia" w:eastAsiaTheme="minorEastAsia"/>
                <w:color w:val="auto"/>
                <w:sz w:val="24"/>
              </w:rPr>
              <w:t>）拟建工程声源对预测点产生的贡献值计算</w:t>
            </w:r>
          </w:p>
          <w:p w14:paraId="168320A2">
            <w:pPr>
              <w:autoSpaceDE w:val="0"/>
              <w:autoSpaceDN w:val="0"/>
              <w:spacing w:line="360" w:lineRule="auto"/>
              <w:ind w:firstLine="1200" w:firstLineChars="500"/>
              <w:contextualSpacing/>
              <w:rPr>
                <w:rFonts w:eastAsiaTheme="minorEastAsia"/>
                <w:color w:val="auto"/>
                <w:sz w:val="24"/>
              </w:rPr>
            </w:pPr>
            <w:r>
              <w:rPr>
                <w:rFonts w:eastAsiaTheme="minorEastAsia"/>
                <w:color w:val="auto"/>
                <w:sz w:val="24"/>
              </w:rPr>
              <w:drawing>
                <wp:inline distT="0" distB="0" distL="0" distR="0">
                  <wp:extent cx="3336290" cy="727075"/>
                  <wp:effectExtent l="0" t="0" r="16510" b="1587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28"/>
                          <a:srcRect/>
                          <a:stretch>
                            <a:fillRect/>
                          </a:stretch>
                        </pic:blipFill>
                        <pic:spPr>
                          <a:xfrm>
                            <a:off x="0" y="0"/>
                            <a:ext cx="3334168" cy="727179"/>
                          </a:xfrm>
                          <a:prstGeom prst="rect">
                            <a:avLst/>
                          </a:prstGeom>
                          <a:noFill/>
                          <a:ln w="9525">
                            <a:noFill/>
                            <a:miter lim="800000"/>
                            <a:headEnd/>
                            <a:tailEnd/>
                          </a:ln>
                        </pic:spPr>
                      </pic:pic>
                    </a:graphicData>
                  </a:graphic>
                </wp:inline>
              </w:drawing>
            </w:r>
          </w:p>
          <w:p w14:paraId="24F42BFF">
            <w:pPr>
              <w:spacing w:line="360" w:lineRule="auto"/>
              <w:ind w:firstLine="480" w:firstLineChars="200"/>
              <w:rPr>
                <w:rFonts w:eastAsiaTheme="minorEastAsia"/>
                <w:color w:val="auto"/>
                <w:sz w:val="24"/>
              </w:rPr>
            </w:pPr>
            <w:r>
              <w:rPr>
                <w:rFonts w:hAnsiTheme="minorEastAsia" w:eastAsiaTheme="minorEastAsia"/>
                <w:color w:val="auto"/>
                <w:sz w:val="24"/>
              </w:rPr>
              <w:t>式中：</w:t>
            </w:r>
            <w:r>
              <w:rPr>
                <w:rFonts w:eastAsiaTheme="minorEastAsia"/>
                <w:color w:val="auto"/>
                <w:sz w:val="24"/>
              </w:rPr>
              <w:t>L</w:t>
            </w:r>
            <w:r>
              <w:rPr>
                <w:rFonts w:eastAsiaTheme="minorEastAsia"/>
                <w:color w:val="auto"/>
                <w:sz w:val="24"/>
                <w:vertAlign w:val="subscript"/>
              </w:rPr>
              <w:t>eqg</w:t>
            </w:r>
            <w:r>
              <w:rPr>
                <w:rFonts w:eastAsiaTheme="minorEastAsia"/>
                <w:color w:val="auto"/>
                <w:sz w:val="24"/>
              </w:rPr>
              <w:t>—</w:t>
            </w:r>
            <w:r>
              <w:rPr>
                <w:rFonts w:hAnsiTheme="minorEastAsia" w:eastAsiaTheme="minorEastAsia"/>
                <w:color w:val="auto"/>
                <w:sz w:val="24"/>
              </w:rPr>
              <w:t>建设项目声源</w:t>
            </w:r>
            <w:r>
              <w:rPr>
                <w:rFonts w:hint="eastAsia" w:hAnsiTheme="minorEastAsia" w:eastAsiaTheme="minorEastAsia"/>
                <w:color w:val="auto"/>
                <w:sz w:val="24"/>
              </w:rPr>
              <w:t>在</w:t>
            </w:r>
            <w:r>
              <w:rPr>
                <w:rFonts w:hAnsiTheme="minorEastAsia" w:eastAsiaTheme="minorEastAsia"/>
                <w:color w:val="auto"/>
                <w:sz w:val="24"/>
              </w:rPr>
              <w:t>预测点产生的噪声贡献值</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7E76DA02">
            <w:pPr>
              <w:spacing w:line="360" w:lineRule="auto"/>
              <w:ind w:firstLine="1200" w:firstLineChars="500"/>
              <w:rPr>
                <w:rFonts w:eastAsiaTheme="minorEastAsia"/>
                <w:color w:val="auto"/>
                <w:sz w:val="24"/>
              </w:rPr>
            </w:pPr>
            <w:r>
              <w:rPr>
                <w:rFonts w:eastAsiaTheme="minorEastAsia"/>
                <w:color w:val="auto"/>
                <w:sz w:val="24"/>
              </w:rPr>
              <w:t>T—</w:t>
            </w:r>
            <w:r>
              <w:rPr>
                <w:rFonts w:hAnsiTheme="minorEastAsia" w:eastAsiaTheme="minorEastAsia"/>
                <w:color w:val="auto"/>
                <w:sz w:val="24"/>
              </w:rPr>
              <w:t>用于计算</w:t>
            </w:r>
            <w:r>
              <w:rPr>
                <w:rFonts w:hint="eastAsia" w:hAnsiTheme="minorEastAsia" w:eastAsiaTheme="minorEastAsia"/>
                <w:color w:val="auto"/>
                <w:sz w:val="24"/>
              </w:rPr>
              <w:t>等效声级</w:t>
            </w:r>
            <w:r>
              <w:rPr>
                <w:rFonts w:hAnsiTheme="minorEastAsia" w:eastAsiaTheme="minorEastAsia"/>
                <w:color w:val="auto"/>
                <w:sz w:val="24"/>
              </w:rPr>
              <w:t>的时间</w:t>
            </w:r>
            <w:r>
              <w:rPr>
                <w:rFonts w:hint="eastAsia" w:hAnsiTheme="minorEastAsia" w:eastAsiaTheme="minorEastAsia"/>
                <w:color w:val="auto"/>
                <w:sz w:val="24"/>
              </w:rPr>
              <w:t>，</w:t>
            </w:r>
            <w:r>
              <w:rPr>
                <w:rFonts w:eastAsiaTheme="minorEastAsia"/>
                <w:color w:val="auto"/>
                <w:sz w:val="24"/>
              </w:rPr>
              <w:t>s</w:t>
            </w:r>
            <w:r>
              <w:rPr>
                <w:rFonts w:hAnsiTheme="minorEastAsia" w:eastAsiaTheme="minorEastAsia"/>
                <w:color w:val="auto"/>
                <w:sz w:val="24"/>
              </w:rPr>
              <w:t>；</w:t>
            </w:r>
          </w:p>
          <w:p w14:paraId="45FF558A">
            <w:pPr>
              <w:spacing w:line="360" w:lineRule="auto"/>
              <w:ind w:firstLine="1200" w:firstLineChars="500"/>
              <w:rPr>
                <w:rFonts w:eastAsiaTheme="minorEastAsia"/>
                <w:color w:val="auto"/>
                <w:sz w:val="24"/>
              </w:rPr>
            </w:pPr>
            <w:r>
              <w:rPr>
                <w:rFonts w:eastAsiaTheme="minorEastAsia"/>
                <w:color w:val="auto"/>
                <w:sz w:val="24"/>
              </w:rPr>
              <w:t>N—</w:t>
            </w:r>
            <w:r>
              <w:rPr>
                <w:rFonts w:hAnsiTheme="minorEastAsia" w:eastAsiaTheme="minorEastAsia"/>
                <w:color w:val="auto"/>
                <w:sz w:val="24"/>
              </w:rPr>
              <w:t>室外声源个数；</w:t>
            </w:r>
          </w:p>
          <w:p w14:paraId="46AF9EF4">
            <w:pPr>
              <w:spacing w:line="360" w:lineRule="auto"/>
              <w:ind w:firstLine="1200" w:firstLineChars="500"/>
              <w:rPr>
                <w:rFonts w:eastAsiaTheme="minorEastAsia"/>
                <w:color w:val="auto"/>
                <w:sz w:val="24"/>
              </w:rPr>
            </w:pPr>
            <w:r>
              <w:rPr>
                <w:rFonts w:eastAsiaTheme="minorEastAsia"/>
                <w:color w:val="auto"/>
                <w:sz w:val="24"/>
              </w:rPr>
              <w:t>t</w:t>
            </w:r>
            <w:r>
              <w:rPr>
                <w:rFonts w:eastAsiaTheme="minorEastAsia"/>
                <w:color w:val="auto"/>
                <w:sz w:val="24"/>
                <w:vertAlign w:val="subscript"/>
              </w:rPr>
              <w:t>i</w:t>
            </w:r>
            <w:r>
              <w:rPr>
                <w:rFonts w:eastAsiaTheme="minorEastAsia"/>
                <w:color w:val="auto"/>
                <w:sz w:val="24"/>
              </w:rPr>
              <w:t>—</w:t>
            </w:r>
            <w:r>
              <w:rPr>
                <w:rFonts w:hAnsiTheme="minorEastAsia" w:eastAsiaTheme="minorEastAsia"/>
                <w:color w:val="auto"/>
                <w:sz w:val="24"/>
              </w:rPr>
              <w:t>在</w:t>
            </w:r>
            <w:r>
              <w:rPr>
                <w:rFonts w:eastAsiaTheme="minorEastAsia"/>
                <w:color w:val="auto"/>
                <w:sz w:val="24"/>
              </w:rPr>
              <w:t>T</w:t>
            </w:r>
            <w:r>
              <w:rPr>
                <w:rFonts w:hAnsiTheme="minorEastAsia" w:eastAsiaTheme="minorEastAsia"/>
                <w:color w:val="auto"/>
                <w:sz w:val="24"/>
              </w:rPr>
              <w:t>时间内</w:t>
            </w:r>
            <w:r>
              <w:rPr>
                <w:rFonts w:eastAsiaTheme="minorEastAsia"/>
                <w:color w:val="auto"/>
                <w:sz w:val="24"/>
              </w:rPr>
              <w:t>i</w:t>
            </w:r>
            <w:r>
              <w:rPr>
                <w:rFonts w:hAnsiTheme="minorEastAsia" w:eastAsiaTheme="minorEastAsia"/>
                <w:color w:val="auto"/>
                <w:sz w:val="24"/>
              </w:rPr>
              <w:t>声源工作时间</w:t>
            </w:r>
            <w:r>
              <w:rPr>
                <w:rFonts w:hint="eastAsia" w:hAnsiTheme="minorEastAsia" w:eastAsiaTheme="minorEastAsia"/>
                <w:color w:val="auto"/>
                <w:sz w:val="24"/>
              </w:rPr>
              <w:t>，</w:t>
            </w:r>
            <w:r>
              <w:rPr>
                <w:rFonts w:eastAsiaTheme="minorEastAsia"/>
                <w:color w:val="auto"/>
                <w:sz w:val="24"/>
              </w:rPr>
              <w:t>s</w:t>
            </w:r>
            <w:r>
              <w:rPr>
                <w:rFonts w:hAnsiTheme="minorEastAsia" w:eastAsiaTheme="minorEastAsia"/>
                <w:color w:val="auto"/>
                <w:sz w:val="24"/>
              </w:rPr>
              <w:t>；</w:t>
            </w:r>
          </w:p>
          <w:p w14:paraId="7D772B11">
            <w:pPr>
              <w:spacing w:line="360" w:lineRule="auto"/>
              <w:ind w:firstLine="1200" w:firstLineChars="500"/>
              <w:rPr>
                <w:rFonts w:eastAsiaTheme="minorEastAsia"/>
                <w:color w:val="auto"/>
                <w:sz w:val="24"/>
              </w:rPr>
            </w:pPr>
            <w:r>
              <w:rPr>
                <w:rFonts w:eastAsiaTheme="minorEastAsia"/>
                <w:color w:val="auto"/>
                <w:sz w:val="24"/>
              </w:rPr>
              <w:t>M—</w:t>
            </w:r>
            <w:r>
              <w:rPr>
                <w:rFonts w:hAnsiTheme="minorEastAsia" w:eastAsiaTheme="minorEastAsia"/>
                <w:color w:val="auto"/>
                <w:sz w:val="24"/>
              </w:rPr>
              <w:t>等效室外声源个数；</w:t>
            </w:r>
          </w:p>
          <w:p w14:paraId="7458304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jc w:val="left"/>
              <w:textAlignment w:val="auto"/>
              <w:rPr>
                <w:rFonts w:hAnsiTheme="minorEastAsia" w:eastAsiaTheme="minorEastAsia"/>
                <w:color w:val="auto"/>
                <w:sz w:val="24"/>
              </w:rPr>
            </w:pPr>
            <w:r>
              <w:rPr>
                <w:rFonts w:eastAsiaTheme="minorEastAsia"/>
                <w:color w:val="auto"/>
                <w:sz w:val="24"/>
              </w:rPr>
              <w:t>tj—</w:t>
            </w:r>
            <w:r>
              <w:rPr>
                <w:rFonts w:hAnsiTheme="minorEastAsia" w:eastAsiaTheme="minorEastAsia"/>
                <w:color w:val="auto"/>
                <w:sz w:val="24"/>
              </w:rPr>
              <w:t>在</w:t>
            </w:r>
            <w:r>
              <w:rPr>
                <w:rFonts w:eastAsiaTheme="minorEastAsia"/>
                <w:color w:val="auto"/>
                <w:sz w:val="24"/>
              </w:rPr>
              <w:t>T</w:t>
            </w:r>
            <w:r>
              <w:rPr>
                <w:rFonts w:hAnsiTheme="minorEastAsia" w:eastAsiaTheme="minorEastAsia"/>
                <w:color w:val="auto"/>
                <w:sz w:val="24"/>
              </w:rPr>
              <w:t>时间内</w:t>
            </w:r>
            <w:r>
              <w:rPr>
                <w:rFonts w:eastAsiaTheme="minorEastAsia"/>
                <w:color w:val="auto"/>
                <w:sz w:val="24"/>
              </w:rPr>
              <w:t>j</w:t>
            </w:r>
            <w:r>
              <w:rPr>
                <w:rFonts w:hAnsiTheme="minorEastAsia" w:eastAsiaTheme="minorEastAsia"/>
                <w:color w:val="auto"/>
                <w:sz w:val="24"/>
              </w:rPr>
              <w:t>声源工作时间</w:t>
            </w:r>
            <w:r>
              <w:rPr>
                <w:rFonts w:hint="eastAsia" w:hAnsiTheme="minorEastAsia" w:eastAsiaTheme="minorEastAsia"/>
                <w:color w:val="auto"/>
                <w:sz w:val="24"/>
              </w:rPr>
              <w:t>，</w:t>
            </w:r>
            <w:r>
              <w:rPr>
                <w:rFonts w:eastAsiaTheme="minorEastAsia"/>
                <w:color w:val="auto"/>
                <w:sz w:val="24"/>
              </w:rPr>
              <w:t>s</w:t>
            </w:r>
            <w:r>
              <w:rPr>
                <w:rFonts w:hAnsiTheme="minorEastAsia" w:eastAsiaTheme="minorEastAsia"/>
                <w:color w:val="auto"/>
                <w:sz w:val="24"/>
              </w:rPr>
              <w:t>。</w:t>
            </w:r>
          </w:p>
          <w:p w14:paraId="35C841F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jc w:val="left"/>
              <w:textAlignment w:val="auto"/>
              <w:rPr>
                <w:rFonts w:hint="default" w:ascii="Times New Roman" w:hAnsi="Times New Roman" w:cs="Times New Roman"/>
                <w:color w:val="auto"/>
                <w:sz w:val="24"/>
                <w:szCs w:val="24"/>
                <w:highlight w:val="none"/>
              </w:rPr>
            </w:pPr>
            <w:r>
              <w:rPr>
                <w:rFonts w:hint="eastAsia" w:ascii="Times New Roman" w:cs="Times New Roman" w:hAnsiTheme="minorEastAsia" w:eastAsiaTheme="minorEastAsia"/>
                <w:color w:val="auto"/>
                <w:sz w:val="24"/>
              </w:rPr>
              <w:t>预测</w:t>
            </w:r>
            <w:r>
              <w:rPr>
                <w:rFonts w:hint="eastAsia" w:ascii="Times New Roman" w:cs="Times New Roman" w:hAnsiTheme="minorEastAsia" w:eastAsiaTheme="minorEastAsia"/>
                <w:color w:val="auto"/>
                <w:sz w:val="24"/>
                <w:lang w:val="en-US" w:eastAsia="zh-CN"/>
              </w:rPr>
              <w:t>结果</w:t>
            </w:r>
            <w:r>
              <w:rPr>
                <w:rFonts w:hint="eastAsia" w:ascii="Times New Roman" w:cs="Times New Roman" w:hAnsiTheme="minorEastAsia" w:eastAsiaTheme="minorEastAsia"/>
                <w:color w:val="auto"/>
                <w:sz w:val="24"/>
              </w:rPr>
              <w:t>见表4-</w:t>
            </w:r>
            <w:r>
              <w:rPr>
                <w:rFonts w:hint="eastAsia" w:ascii="Times New Roman" w:cs="Times New Roman" w:hAnsiTheme="minorEastAsia" w:eastAsiaTheme="minorEastAsia"/>
                <w:color w:val="auto"/>
                <w:sz w:val="24"/>
                <w:lang w:val="en-US" w:eastAsia="zh-CN"/>
              </w:rPr>
              <w:t>1</w:t>
            </w:r>
            <w:r>
              <w:rPr>
                <w:rFonts w:hint="eastAsia" w:cs="Times New Roman" w:hAnsiTheme="minorEastAsia" w:eastAsiaTheme="minorEastAsia"/>
                <w:color w:val="auto"/>
                <w:sz w:val="24"/>
                <w:lang w:val="en-US" w:eastAsia="zh-CN"/>
              </w:rPr>
              <w:t>5、4-16</w:t>
            </w:r>
            <w:r>
              <w:rPr>
                <w:rFonts w:hint="eastAsia" w:ascii="Times New Roman" w:cs="Times New Roman" w:hAnsiTheme="minorEastAsia" w:eastAsiaTheme="minorEastAsia"/>
                <w:color w:val="auto"/>
                <w:sz w:val="24"/>
              </w:rPr>
              <w:t>。</w:t>
            </w:r>
          </w:p>
          <w:p w14:paraId="53165FBB">
            <w:pPr>
              <w:keepNext w:val="0"/>
              <w:keepLines w:val="0"/>
              <w:pageBreakBefore w:val="0"/>
              <w:suppressLineNumbers w:val="0"/>
              <w:wordWrap/>
              <w:bidi w:val="0"/>
              <w:spacing w:before="0" w:beforeAutospacing="0" w:after="0" w:afterAutospacing="0" w:line="240" w:lineRule="auto"/>
              <w:ind w:left="0" w:leftChars="0" w:right="0"/>
              <w:jc w:val="center"/>
              <w:rPr>
                <w:rFonts w:hint="default" w:ascii="Times New Roman" w:hAnsi="Times New Roman" w:eastAsia="宋体" w:cs="Times New Roman"/>
                <w:b/>
                <w:bCs/>
                <w:iCs/>
                <w:color w:val="auto"/>
                <w:kern w:val="0"/>
                <w:sz w:val="21"/>
                <w:szCs w:val="21"/>
                <w:highlight w:val="none"/>
                <w:lang w:val="en-US" w:eastAsia="zh-CN" w:bidi="ar-SA"/>
              </w:rPr>
            </w:pPr>
            <w:r>
              <w:rPr>
                <w:rFonts w:hint="default" w:ascii="Times New Roman" w:hAnsi="Times New Roman" w:eastAsia="宋体" w:cs="Times New Roman"/>
                <w:b/>
                <w:bCs/>
                <w:iCs/>
                <w:color w:val="auto"/>
                <w:kern w:val="0"/>
                <w:sz w:val="21"/>
                <w:szCs w:val="21"/>
                <w:highlight w:val="none"/>
                <w:lang w:val="en-US" w:eastAsia="zh-CN" w:bidi="ar-SA"/>
              </w:rPr>
              <w:t>表4-</w:t>
            </w:r>
            <w:r>
              <w:rPr>
                <w:rFonts w:hint="eastAsia" w:ascii="Times New Roman" w:hAnsi="Times New Roman" w:eastAsia="宋体" w:cs="Times New Roman"/>
                <w:b/>
                <w:bCs/>
                <w:iCs/>
                <w:color w:val="auto"/>
                <w:kern w:val="0"/>
                <w:sz w:val="21"/>
                <w:szCs w:val="21"/>
                <w:highlight w:val="none"/>
                <w:lang w:val="en-US" w:eastAsia="zh-CN" w:bidi="ar-SA"/>
              </w:rPr>
              <w:t>15</w:t>
            </w:r>
            <w:r>
              <w:rPr>
                <w:rFonts w:hint="default" w:ascii="Times New Roman" w:hAnsi="Times New Roman" w:eastAsia="宋体" w:cs="Times New Roman"/>
                <w:b/>
                <w:bCs/>
                <w:iCs/>
                <w:color w:val="auto"/>
                <w:kern w:val="0"/>
                <w:sz w:val="21"/>
                <w:szCs w:val="21"/>
                <w:highlight w:val="none"/>
                <w:lang w:val="en-US" w:eastAsia="zh-CN" w:bidi="ar-SA"/>
              </w:rPr>
              <w:t xml:space="preserve">  运营期间厂界噪声预测结果    单位：dB（A）</w:t>
            </w:r>
          </w:p>
          <w:tbl>
            <w:tblPr>
              <w:tblStyle w:val="32"/>
              <w:tblW w:w="81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651"/>
              <w:gridCol w:w="1304"/>
              <w:gridCol w:w="1306"/>
              <w:gridCol w:w="1304"/>
              <w:gridCol w:w="1306"/>
              <w:gridCol w:w="1307"/>
            </w:tblGrid>
            <w:tr w14:paraId="6DBCD2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609" w:hRule="atLeast"/>
                <w:jc w:val="center"/>
              </w:trPr>
              <w:tc>
                <w:tcPr>
                  <w:tcW w:w="1009" w:type="pct"/>
                  <w:vMerge w:val="restart"/>
                  <w:tcBorders>
                    <w:tl2br w:val="nil"/>
                    <w:tr2bl w:val="nil"/>
                  </w:tcBorders>
                  <w:noWrap w:val="0"/>
                  <w:vAlign w:val="center"/>
                </w:tcPr>
                <w:p w14:paraId="0F79CB26">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ascii="Times New Roman" w:hAnsi="Times New Roman" w:cs="Times New Roman"/>
                      <w:snapToGrid w:val="0"/>
                      <w:color w:val="auto"/>
                      <w:kern w:val="0"/>
                      <w:highlight w:val="none"/>
                    </w:rPr>
                  </w:pPr>
                  <w:r>
                    <w:rPr>
                      <w:rFonts w:hint="default" w:ascii="Times New Roman" w:hAnsi="Times New Roman" w:cs="Times New Roman"/>
                      <w:snapToGrid w:val="0"/>
                      <w:color w:val="auto"/>
                      <w:kern w:val="0"/>
                      <w:highlight w:val="none"/>
                    </w:rPr>
                    <w:t>预测点</w:t>
                  </w:r>
                </w:p>
              </w:tc>
              <w:tc>
                <w:tcPr>
                  <w:tcW w:w="1595" w:type="pct"/>
                  <w:gridSpan w:val="2"/>
                  <w:tcBorders>
                    <w:tl2br w:val="nil"/>
                    <w:tr2bl w:val="nil"/>
                  </w:tcBorders>
                  <w:noWrap w:val="0"/>
                  <w:vAlign w:val="center"/>
                </w:tcPr>
                <w:p w14:paraId="52E0BDAC">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ascii="Times New Roman" w:hAnsi="Times New Roman" w:cs="Times New Roman"/>
                      <w:snapToGrid w:val="0"/>
                      <w:color w:val="auto"/>
                      <w:kern w:val="0"/>
                      <w:highlight w:val="none"/>
                      <w:lang w:val="en-US" w:eastAsia="zh-CN"/>
                    </w:rPr>
                  </w:pPr>
                  <w:r>
                    <w:rPr>
                      <w:rFonts w:hint="eastAsia" w:ascii="Times New Roman" w:hAnsi="Times New Roman" w:cs="Times New Roman"/>
                      <w:snapToGrid w:val="0"/>
                      <w:color w:val="auto"/>
                      <w:kern w:val="0"/>
                      <w:highlight w:val="none"/>
                      <w:lang w:val="en-US" w:eastAsia="zh-CN"/>
                    </w:rPr>
                    <w:t>环境噪声预测值</w:t>
                  </w:r>
                </w:p>
              </w:tc>
              <w:tc>
                <w:tcPr>
                  <w:tcW w:w="1595" w:type="pct"/>
                  <w:gridSpan w:val="2"/>
                  <w:tcBorders>
                    <w:tl2br w:val="nil"/>
                    <w:tr2bl w:val="nil"/>
                  </w:tcBorders>
                  <w:noWrap w:val="0"/>
                  <w:vAlign w:val="center"/>
                </w:tcPr>
                <w:p w14:paraId="3B92E8B4">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eastAsia" w:ascii="Times New Roman" w:hAnsi="Times New Roman" w:cs="Times New Roman"/>
                      <w:snapToGrid w:val="0"/>
                      <w:color w:val="auto"/>
                      <w:kern w:val="0"/>
                      <w:highlight w:val="none"/>
                      <w:lang w:val="en-US" w:eastAsia="zh-CN"/>
                    </w:rPr>
                  </w:pPr>
                  <w:r>
                    <w:rPr>
                      <w:rFonts w:hint="eastAsia" w:ascii="Times New Roman" w:hAnsi="Times New Roman" w:cs="Times New Roman"/>
                      <w:snapToGrid w:val="0"/>
                      <w:color w:val="auto"/>
                      <w:kern w:val="0"/>
                      <w:highlight w:val="none"/>
                      <w:lang w:val="en-US" w:eastAsia="zh-CN"/>
                    </w:rPr>
                    <w:t>评价结果</w:t>
                  </w:r>
                </w:p>
              </w:tc>
              <w:tc>
                <w:tcPr>
                  <w:tcW w:w="799" w:type="pct"/>
                  <w:vMerge w:val="restart"/>
                  <w:tcBorders>
                    <w:tl2br w:val="nil"/>
                    <w:tr2bl w:val="nil"/>
                  </w:tcBorders>
                  <w:noWrap w:val="0"/>
                  <w:vAlign w:val="center"/>
                </w:tcPr>
                <w:p w14:paraId="5DC44269">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eastAsia" w:ascii="Times New Roman" w:hAnsi="Times New Roman" w:cs="Times New Roman"/>
                      <w:snapToGrid w:val="0"/>
                      <w:color w:val="auto"/>
                      <w:kern w:val="0"/>
                      <w:highlight w:val="none"/>
                      <w:lang w:val="en-US" w:eastAsia="zh-CN"/>
                    </w:rPr>
                  </w:pPr>
                  <w:r>
                    <w:rPr>
                      <w:rFonts w:hint="eastAsia" w:cs="Times New Roman"/>
                      <w:snapToGrid w:val="0"/>
                      <w:color w:val="auto"/>
                      <w:kern w:val="0"/>
                      <w:highlight w:val="none"/>
                      <w:lang w:val="en-US" w:eastAsia="zh-CN"/>
                    </w:rPr>
                    <w:t>超标和达标情况</w:t>
                  </w:r>
                </w:p>
              </w:tc>
            </w:tr>
            <w:tr w14:paraId="5A8AD3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71" w:hRule="atLeast"/>
                <w:jc w:val="center"/>
              </w:trPr>
              <w:tc>
                <w:tcPr>
                  <w:tcW w:w="1009" w:type="pct"/>
                  <w:vMerge w:val="continue"/>
                  <w:tcBorders>
                    <w:tl2br w:val="nil"/>
                    <w:tr2bl w:val="nil"/>
                  </w:tcBorders>
                  <w:noWrap w:val="0"/>
                  <w:vAlign w:val="center"/>
                </w:tcPr>
                <w:p w14:paraId="61167CE7">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color w:val="auto"/>
                    </w:rPr>
                  </w:pPr>
                </w:p>
              </w:tc>
              <w:tc>
                <w:tcPr>
                  <w:tcW w:w="797" w:type="pct"/>
                  <w:tcBorders>
                    <w:tl2br w:val="nil"/>
                    <w:tr2bl w:val="nil"/>
                  </w:tcBorders>
                  <w:noWrap w:val="0"/>
                  <w:vAlign w:val="center"/>
                </w:tcPr>
                <w:p w14:paraId="52A6B350">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eastAsia" w:ascii="Times New Roman" w:hAnsi="Times New Roman" w:cs="Times New Roman"/>
                      <w:snapToGrid w:val="0"/>
                      <w:color w:val="auto"/>
                      <w:kern w:val="0"/>
                      <w:highlight w:val="none"/>
                      <w:lang w:val="en-US" w:eastAsia="zh-CN"/>
                    </w:rPr>
                  </w:pPr>
                  <w:r>
                    <w:rPr>
                      <w:rFonts w:hint="eastAsia" w:cs="Times New Roman"/>
                      <w:snapToGrid w:val="0"/>
                      <w:color w:val="auto"/>
                      <w:kern w:val="0"/>
                      <w:highlight w:val="none"/>
                      <w:lang w:val="en-US" w:eastAsia="zh-CN"/>
                    </w:rPr>
                    <w:t>昼间</w:t>
                  </w:r>
                </w:p>
              </w:tc>
              <w:tc>
                <w:tcPr>
                  <w:tcW w:w="797" w:type="pct"/>
                  <w:tcBorders>
                    <w:tl2br w:val="nil"/>
                    <w:tr2bl w:val="nil"/>
                  </w:tcBorders>
                  <w:noWrap w:val="0"/>
                  <w:vAlign w:val="center"/>
                </w:tcPr>
                <w:p w14:paraId="7440E15C">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eastAsia" w:ascii="Times New Roman" w:hAnsi="Times New Roman" w:cs="Times New Roman"/>
                      <w:snapToGrid w:val="0"/>
                      <w:color w:val="auto"/>
                      <w:kern w:val="0"/>
                      <w:highlight w:val="none"/>
                      <w:lang w:val="en-US" w:eastAsia="zh-CN"/>
                    </w:rPr>
                  </w:pPr>
                  <w:r>
                    <w:rPr>
                      <w:rFonts w:hint="eastAsia" w:cs="Times New Roman"/>
                      <w:snapToGrid w:val="0"/>
                      <w:color w:val="auto"/>
                      <w:kern w:val="0"/>
                      <w:highlight w:val="none"/>
                      <w:lang w:val="en-US" w:eastAsia="zh-CN"/>
                    </w:rPr>
                    <w:t>夜间</w:t>
                  </w:r>
                </w:p>
              </w:tc>
              <w:tc>
                <w:tcPr>
                  <w:tcW w:w="797" w:type="pct"/>
                  <w:tcBorders>
                    <w:tl2br w:val="nil"/>
                    <w:tr2bl w:val="nil"/>
                  </w:tcBorders>
                  <w:noWrap w:val="0"/>
                  <w:vAlign w:val="center"/>
                </w:tcPr>
                <w:p w14:paraId="6144EB38">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eastAsia" w:ascii="Times New Roman" w:hAnsi="Times New Roman" w:cs="Times New Roman"/>
                      <w:snapToGrid w:val="0"/>
                      <w:color w:val="auto"/>
                      <w:kern w:val="0"/>
                      <w:highlight w:val="none"/>
                      <w:lang w:val="en-US" w:eastAsia="zh-CN"/>
                    </w:rPr>
                  </w:pPr>
                  <w:r>
                    <w:rPr>
                      <w:rFonts w:hint="eastAsia" w:cs="Times New Roman"/>
                      <w:snapToGrid w:val="0"/>
                      <w:color w:val="auto"/>
                      <w:kern w:val="0"/>
                      <w:highlight w:val="none"/>
                      <w:lang w:val="en-US" w:eastAsia="zh-CN"/>
                    </w:rPr>
                    <w:t>昼间</w:t>
                  </w:r>
                </w:p>
              </w:tc>
              <w:tc>
                <w:tcPr>
                  <w:tcW w:w="797" w:type="pct"/>
                  <w:tcBorders>
                    <w:tl2br w:val="nil"/>
                    <w:tr2bl w:val="nil"/>
                  </w:tcBorders>
                  <w:noWrap w:val="0"/>
                  <w:vAlign w:val="center"/>
                </w:tcPr>
                <w:p w14:paraId="070BAFC2">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eastAsia" w:ascii="Times New Roman" w:hAnsi="Times New Roman" w:cs="Times New Roman"/>
                      <w:snapToGrid w:val="0"/>
                      <w:color w:val="auto"/>
                      <w:kern w:val="0"/>
                      <w:highlight w:val="none"/>
                      <w:lang w:val="en-US" w:eastAsia="zh-CN"/>
                    </w:rPr>
                  </w:pPr>
                  <w:r>
                    <w:rPr>
                      <w:rFonts w:hint="eastAsia" w:cs="Times New Roman"/>
                      <w:snapToGrid w:val="0"/>
                      <w:color w:val="auto"/>
                      <w:kern w:val="0"/>
                      <w:highlight w:val="none"/>
                      <w:lang w:val="en-US" w:eastAsia="zh-CN"/>
                    </w:rPr>
                    <w:t>夜间</w:t>
                  </w:r>
                </w:p>
              </w:tc>
              <w:tc>
                <w:tcPr>
                  <w:tcW w:w="799" w:type="pct"/>
                  <w:vMerge w:val="continue"/>
                  <w:tcBorders>
                    <w:tl2br w:val="nil"/>
                    <w:tr2bl w:val="nil"/>
                  </w:tcBorders>
                  <w:noWrap w:val="0"/>
                  <w:vAlign w:val="center"/>
                </w:tcPr>
                <w:p w14:paraId="1DF6AC74">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eastAsia" w:cs="Times New Roman"/>
                      <w:snapToGrid w:val="0"/>
                      <w:color w:val="auto"/>
                      <w:kern w:val="0"/>
                      <w:highlight w:val="none"/>
                      <w:lang w:val="en-US" w:eastAsia="zh-CN"/>
                    </w:rPr>
                  </w:pPr>
                </w:p>
              </w:tc>
            </w:tr>
            <w:tr w14:paraId="7EB914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19" w:hRule="atLeast"/>
                <w:jc w:val="center"/>
              </w:trPr>
              <w:tc>
                <w:tcPr>
                  <w:tcW w:w="1009" w:type="pct"/>
                  <w:tcBorders>
                    <w:tl2br w:val="nil"/>
                    <w:tr2bl w:val="nil"/>
                  </w:tcBorders>
                  <w:noWrap w:val="0"/>
                  <w:vAlign w:val="center"/>
                </w:tcPr>
                <w:p w14:paraId="2AEA7EAC">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ascii="Times New Roman" w:hAnsi="Times New Roman" w:eastAsia="宋体" w:cs="Times New Roman"/>
                      <w:bCs/>
                      <w:snapToGrid w:val="0"/>
                      <w:color w:val="auto"/>
                      <w:kern w:val="0"/>
                      <w:highlight w:val="none"/>
                      <w:lang w:val="en-US" w:eastAsia="zh-CN"/>
                    </w:rPr>
                  </w:pPr>
                  <w:r>
                    <w:rPr>
                      <w:rFonts w:hint="default" w:ascii="Times New Roman" w:hAnsi="Times New Roman" w:eastAsia="宋体"/>
                      <w:color w:val="auto"/>
                      <w:szCs w:val="21"/>
                      <w:highlight w:val="none"/>
                    </w:rPr>
                    <w:t>厂界</w:t>
                  </w:r>
                  <w:r>
                    <w:rPr>
                      <w:rFonts w:hint="default"/>
                      <w:color w:val="auto"/>
                      <w:szCs w:val="21"/>
                      <w:highlight w:val="none"/>
                    </w:rPr>
                    <w:t>东侧</w:t>
                  </w:r>
                </w:p>
              </w:tc>
              <w:tc>
                <w:tcPr>
                  <w:tcW w:w="797" w:type="pct"/>
                  <w:tcBorders>
                    <w:tl2br w:val="nil"/>
                    <w:tr2bl w:val="nil"/>
                  </w:tcBorders>
                  <w:noWrap w:val="0"/>
                  <w:vAlign w:val="center"/>
                </w:tcPr>
                <w:p w14:paraId="3A57F4BF">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ascii="Times New Roman" w:hAnsi="Times New Roman"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45.1</w:t>
                  </w:r>
                </w:p>
              </w:tc>
              <w:tc>
                <w:tcPr>
                  <w:tcW w:w="797" w:type="pct"/>
                  <w:tcBorders>
                    <w:tl2br w:val="nil"/>
                    <w:tr2bl w:val="nil"/>
                  </w:tcBorders>
                  <w:noWrap w:val="0"/>
                  <w:vAlign w:val="center"/>
                </w:tcPr>
                <w:p w14:paraId="1D94A7D4">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cs="Times New Roman"/>
                      <w:color w:val="auto"/>
                      <w:highlight w:val="none"/>
                      <w:lang w:val="en-US" w:eastAsia="zh-CN"/>
                    </w:rPr>
                  </w:pPr>
                  <w:r>
                    <w:rPr>
                      <w:rFonts w:hint="eastAsia" w:cs="Times New Roman"/>
                      <w:color w:val="auto"/>
                      <w:highlight w:val="none"/>
                      <w:lang w:val="en-US" w:eastAsia="zh-CN"/>
                    </w:rPr>
                    <w:t>0</w:t>
                  </w:r>
                </w:p>
              </w:tc>
              <w:tc>
                <w:tcPr>
                  <w:tcW w:w="1305" w:type="dxa"/>
                  <w:tcBorders>
                    <w:tl2br w:val="nil"/>
                    <w:tr2bl w:val="nil"/>
                  </w:tcBorders>
                  <w:noWrap w:val="0"/>
                  <w:vAlign w:val="center"/>
                </w:tcPr>
                <w:p w14:paraId="456F927F">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eastAsia="宋体" w:cs="Times New Roman"/>
                      <w:bCs/>
                      <w:snapToGrid w:val="0"/>
                      <w:color w:val="auto"/>
                      <w:kern w:val="0"/>
                      <w:highlight w:val="none"/>
                      <w:lang w:val="en-US" w:eastAsia="zh-CN"/>
                    </w:rPr>
                  </w:pPr>
                  <w:r>
                    <w:rPr>
                      <w:rFonts w:hint="eastAsia" w:cs="Times New Roman"/>
                      <w:color w:val="auto"/>
                      <w:sz w:val="20"/>
                      <w:szCs w:val="20"/>
                      <w:highlight w:val="none"/>
                      <w:vertAlign w:val="baseline"/>
                      <w:lang w:val="en-US" w:eastAsia="zh-CN"/>
                    </w:rPr>
                    <w:t>55</w:t>
                  </w:r>
                </w:p>
              </w:tc>
              <w:tc>
                <w:tcPr>
                  <w:tcW w:w="1305" w:type="dxa"/>
                  <w:tcBorders>
                    <w:tl2br w:val="nil"/>
                    <w:tr2bl w:val="nil"/>
                  </w:tcBorders>
                  <w:noWrap w:val="0"/>
                  <w:vAlign w:val="center"/>
                </w:tcPr>
                <w:p w14:paraId="724A2156">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eastAsia="宋体" w:cs="Times New Roman"/>
                      <w:bCs/>
                      <w:snapToGrid w:val="0"/>
                      <w:color w:val="auto"/>
                      <w:kern w:val="0"/>
                      <w:highlight w:val="none"/>
                      <w:lang w:val="en-US" w:eastAsia="zh-CN"/>
                    </w:rPr>
                  </w:pPr>
                  <w:r>
                    <w:rPr>
                      <w:rFonts w:hint="eastAsia" w:cs="Times New Roman"/>
                      <w:color w:val="auto"/>
                      <w:sz w:val="20"/>
                      <w:szCs w:val="20"/>
                      <w:highlight w:val="none"/>
                      <w:vertAlign w:val="baseline"/>
                      <w:lang w:val="en-US" w:eastAsia="zh-CN"/>
                    </w:rPr>
                    <w:t>45</w:t>
                  </w:r>
                </w:p>
              </w:tc>
              <w:tc>
                <w:tcPr>
                  <w:tcW w:w="799" w:type="pct"/>
                  <w:tcBorders>
                    <w:tl2br w:val="nil"/>
                    <w:tr2bl w:val="nil"/>
                  </w:tcBorders>
                  <w:noWrap w:val="0"/>
                  <w:vAlign w:val="center"/>
                </w:tcPr>
                <w:p w14:paraId="6E2EE5DC">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eastAsia" w:cs="Times New Roman"/>
                      <w:bCs/>
                      <w:snapToGrid w:val="0"/>
                      <w:color w:val="auto"/>
                      <w:kern w:val="0"/>
                      <w:highlight w:val="none"/>
                      <w:lang w:val="en-US" w:eastAsia="zh-CN"/>
                    </w:rPr>
                  </w:pPr>
                  <w:r>
                    <w:rPr>
                      <w:rFonts w:hint="eastAsia" w:cs="Times New Roman"/>
                      <w:bCs/>
                      <w:snapToGrid w:val="0"/>
                      <w:color w:val="auto"/>
                      <w:kern w:val="0"/>
                      <w:highlight w:val="none"/>
                      <w:lang w:val="en-US" w:eastAsia="zh-CN"/>
                    </w:rPr>
                    <w:t>达标</w:t>
                  </w:r>
                </w:p>
              </w:tc>
            </w:tr>
            <w:tr w14:paraId="369CF3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19" w:hRule="atLeast"/>
                <w:jc w:val="center"/>
              </w:trPr>
              <w:tc>
                <w:tcPr>
                  <w:tcW w:w="1009" w:type="pct"/>
                  <w:tcBorders>
                    <w:tl2br w:val="nil"/>
                    <w:tr2bl w:val="nil"/>
                  </w:tcBorders>
                  <w:noWrap w:val="0"/>
                  <w:vAlign w:val="center"/>
                </w:tcPr>
                <w:p w14:paraId="2AF038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jc w:val="center"/>
                    <w:textAlignment w:val="auto"/>
                    <w:rPr>
                      <w:rFonts w:hint="eastAsia" w:ascii="Times New Roman" w:hAnsi="Times New Roman" w:cs="Times New Roman"/>
                      <w:color w:val="auto"/>
                      <w:highlight w:val="none"/>
                      <w:lang w:val="en-US" w:eastAsia="zh-CN"/>
                    </w:rPr>
                  </w:pPr>
                  <w:r>
                    <w:rPr>
                      <w:rFonts w:hint="default" w:ascii="Times New Roman" w:hAnsi="Times New Roman" w:eastAsia="宋体"/>
                      <w:color w:val="auto"/>
                      <w:szCs w:val="21"/>
                      <w:highlight w:val="none"/>
                    </w:rPr>
                    <w:t>厂界</w:t>
                  </w:r>
                  <w:r>
                    <w:rPr>
                      <w:rFonts w:hint="eastAsia" w:ascii="Times New Roman" w:hAnsi="Times New Roman" w:eastAsia="宋体"/>
                      <w:color w:val="auto"/>
                      <w:szCs w:val="21"/>
                      <w:highlight w:val="none"/>
                      <w:lang w:eastAsia="zh-CN"/>
                    </w:rPr>
                    <w:t>南侧</w:t>
                  </w:r>
                </w:p>
              </w:tc>
              <w:tc>
                <w:tcPr>
                  <w:tcW w:w="797" w:type="pct"/>
                  <w:tcBorders>
                    <w:tl2br w:val="nil"/>
                    <w:tr2bl w:val="nil"/>
                  </w:tcBorders>
                  <w:noWrap w:val="0"/>
                  <w:vAlign w:val="center"/>
                </w:tcPr>
                <w:p w14:paraId="5D924C26">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44.6</w:t>
                  </w:r>
                </w:p>
              </w:tc>
              <w:tc>
                <w:tcPr>
                  <w:tcW w:w="797" w:type="pct"/>
                  <w:tcBorders>
                    <w:tl2br w:val="nil"/>
                    <w:tr2bl w:val="nil"/>
                  </w:tcBorders>
                  <w:noWrap w:val="0"/>
                  <w:vAlign w:val="center"/>
                </w:tcPr>
                <w:p w14:paraId="4A8F113E">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cs="Times New Roman"/>
                      <w:color w:val="auto"/>
                      <w:highlight w:val="none"/>
                      <w:lang w:val="en-US" w:eastAsia="zh-CN"/>
                    </w:rPr>
                  </w:pPr>
                  <w:r>
                    <w:rPr>
                      <w:rFonts w:hint="eastAsia" w:cs="Times New Roman"/>
                      <w:color w:val="auto"/>
                      <w:highlight w:val="none"/>
                      <w:lang w:val="en-US" w:eastAsia="zh-CN"/>
                    </w:rPr>
                    <w:t>0</w:t>
                  </w:r>
                </w:p>
              </w:tc>
              <w:tc>
                <w:tcPr>
                  <w:tcW w:w="1305" w:type="dxa"/>
                  <w:tcBorders>
                    <w:tl2br w:val="nil"/>
                    <w:tr2bl w:val="nil"/>
                  </w:tcBorders>
                  <w:noWrap w:val="0"/>
                  <w:vAlign w:val="center"/>
                </w:tcPr>
                <w:p w14:paraId="57450F37">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snapToGrid w:val="0"/>
                      <w:color w:val="auto"/>
                      <w:kern w:val="0"/>
                      <w:highlight w:val="none"/>
                    </w:rPr>
                  </w:pPr>
                  <w:r>
                    <w:rPr>
                      <w:rFonts w:hint="eastAsia" w:cs="Times New Roman"/>
                      <w:color w:val="auto"/>
                      <w:sz w:val="20"/>
                      <w:szCs w:val="20"/>
                      <w:highlight w:val="none"/>
                      <w:vertAlign w:val="baseline"/>
                      <w:lang w:val="en-US" w:eastAsia="zh-CN"/>
                    </w:rPr>
                    <w:t>55</w:t>
                  </w:r>
                </w:p>
              </w:tc>
              <w:tc>
                <w:tcPr>
                  <w:tcW w:w="1305" w:type="dxa"/>
                  <w:tcBorders>
                    <w:tl2br w:val="nil"/>
                    <w:tr2bl w:val="nil"/>
                  </w:tcBorders>
                  <w:noWrap w:val="0"/>
                  <w:vAlign w:val="center"/>
                </w:tcPr>
                <w:p w14:paraId="3E07E4FF">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snapToGrid w:val="0"/>
                      <w:color w:val="auto"/>
                      <w:kern w:val="0"/>
                      <w:highlight w:val="none"/>
                    </w:rPr>
                  </w:pPr>
                  <w:r>
                    <w:rPr>
                      <w:rFonts w:hint="eastAsia" w:cs="Times New Roman"/>
                      <w:color w:val="auto"/>
                      <w:sz w:val="20"/>
                      <w:szCs w:val="20"/>
                      <w:highlight w:val="none"/>
                      <w:vertAlign w:val="baseline"/>
                      <w:lang w:val="en-US" w:eastAsia="zh-CN"/>
                    </w:rPr>
                    <w:t>45</w:t>
                  </w:r>
                </w:p>
              </w:tc>
              <w:tc>
                <w:tcPr>
                  <w:tcW w:w="799" w:type="pct"/>
                  <w:tcBorders>
                    <w:tl2br w:val="nil"/>
                    <w:tr2bl w:val="nil"/>
                  </w:tcBorders>
                  <w:noWrap w:val="0"/>
                  <w:vAlign w:val="center"/>
                </w:tcPr>
                <w:p w14:paraId="2885ABEF">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eastAsia" w:cs="Times New Roman"/>
                      <w:bCs/>
                      <w:snapToGrid w:val="0"/>
                      <w:color w:val="auto"/>
                      <w:kern w:val="0"/>
                      <w:highlight w:val="none"/>
                      <w:lang w:val="en-US" w:eastAsia="zh-CN"/>
                    </w:rPr>
                  </w:pPr>
                  <w:r>
                    <w:rPr>
                      <w:rFonts w:hint="eastAsia" w:cs="Times New Roman"/>
                      <w:bCs/>
                      <w:snapToGrid w:val="0"/>
                      <w:color w:val="auto"/>
                      <w:kern w:val="0"/>
                      <w:highlight w:val="none"/>
                      <w:lang w:val="en-US" w:eastAsia="zh-CN"/>
                    </w:rPr>
                    <w:t>达标</w:t>
                  </w:r>
                </w:p>
              </w:tc>
            </w:tr>
            <w:tr w14:paraId="2B50A6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19" w:hRule="atLeast"/>
                <w:jc w:val="center"/>
              </w:trPr>
              <w:tc>
                <w:tcPr>
                  <w:tcW w:w="1009" w:type="pct"/>
                  <w:tcBorders>
                    <w:tl2br w:val="nil"/>
                    <w:tr2bl w:val="nil"/>
                  </w:tcBorders>
                  <w:noWrap w:val="0"/>
                  <w:vAlign w:val="center"/>
                </w:tcPr>
                <w:p w14:paraId="02937359">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eastAsia" w:ascii="Times New Roman" w:hAnsi="Times New Roman" w:eastAsia="宋体"/>
                      <w:color w:val="auto"/>
                      <w:szCs w:val="21"/>
                      <w:highlight w:val="none"/>
                    </w:rPr>
                  </w:pPr>
                  <w:r>
                    <w:rPr>
                      <w:rFonts w:hint="eastAsia"/>
                      <w:color w:val="auto"/>
                      <w:szCs w:val="21"/>
                      <w:highlight w:val="none"/>
                      <w:lang w:eastAsia="zh-CN"/>
                    </w:rPr>
                    <w:t>厂界西侧</w:t>
                  </w:r>
                </w:p>
              </w:tc>
              <w:tc>
                <w:tcPr>
                  <w:tcW w:w="797" w:type="pct"/>
                  <w:tcBorders>
                    <w:tl2br w:val="nil"/>
                    <w:tr2bl w:val="nil"/>
                  </w:tcBorders>
                  <w:noWrap w:val="0"/>
                  <w:vAlign w:val="center"/>
                </w:tcPr>
                <w:p w14:paraId="78A9206F">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54.2</w:t>
                  </w:r>
                </w:p>
              </w:tc>
              <w:tc>
                <w:tcPr>
                  <w:tcW w:w="797" w:type="pct"/>
                  <w:tcBorders>
                    <w:tl2br w:val="nil"/>
                    <w:tr2bl w:val="nil"/>
                  </w:tcBorders>
                  <w:noWrap w:val="0"/>
                  <w:vAlign w:val="center"/>
                </w:tcPr>
                <w:p w14:paraId="4E408017">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cs="Times New Roman"/>
                      <w:color w:val="auto"/>
                      <w:highlight w:val="none"/>
                      <w:lang w:val="en-US" w:eastAsia="zh-CN"/>
                    </w:rPr>
                  </w:pPr>
                  <w:r>
                    <w:rPr>
                      <w:rFonts w:hint="eastAsia" w:cs="Times New Roman"/>
                      <w:color w:val="auto"/>
                      <w:highlight w:val="none"/>
                      <w:lang w:val="en-US" w:eastAsia="zh-CN"/>
                    </w:rPr>
                    <w:t>0</w:t>
                  </w:r>
                </w:p>
              </w:tc>
              <w:tc>
                <w:tcPr>
                  <w:tcW w:w="1305" w:type="dxa"/>
                  <w:tcBorders>
                    <w:tl2br w:val="nil"/>
                    <w:tr2bl w:val="nil"/>
                  </w:tcBorders>
                  <w:noWrap w:val="0"/>
                  <w:vAlign w:val="center"/>
                </w:tcPr>
                <w:p w14:paraId="50EB66AA">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snapToGrid w:val="0"/>
                      <w:color w:val="auto"/>
                      <w:kern w:val="0"/>
                      <w:highlight w:val="none"/>
                    </w:rPr>
                  </w:pPr>
                  <w:r>
                    <w:rPr>
                      <w:rFonts w:hint="eastAsia" w:cs="Times New Roman"/>
                      <w:color w:val="auto"/>
                      <w:sz w:val="20"/>
                      <w:szCs w:val="20"/>
                      <w:highlight w:val="none"/>
                      <w:vertAlign w:val="baseline"/>
                      <w:lang w:val="en-US" w:eastAsia="zh-CN"/>
                    </w:rPr>
                    <w:t>55</w:t>
                  </w:r>
                </w:p>
              </w:tc>
              <w:tc>
                <w:tcPr>
                  <w:tcW w:w="1305" w:type="dxa"/>
                  <w:tcBorders>
                    <w:tl2br w:val="nil"/>
                    <w:tr2bl w:val="nil"/>
                  </w:tcBorders>
                  <w:noWrap w:val="0"/>
                  <w:vAlign w:val="center"/>
                </w:tcPr>
                <w:p w14:paraId="79080404">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snapToGrid w:val="0"/>
                      <w:color w:val="auto"/>
                      <w:kern w:val="0"/>
                      <w:highlight w:val="none"/>
                    </w:rPr>
                  </w:pPr>
                  <w:r>
                    <w:rPr>
                      <w:rFonts w:hint="eastAsia" w:cs="Times New Roman"/>
                      <w:color w:val="auto"/>
                      <w:sz w:val="20"/>
                      <w:szCs w:val="20"/>
                      <w:highlight w:val="none"/>
                      <w:vertAlign w:val="baseline"/>
                      <w:lang w:val="en-US" w:eastAsia="zh-CN"/>
                    </w:rPr>
                    <w:t>45</w:t>
                  </w:r>
                </w:p>
              </w:tc>
              <w:tc>
                <w:tcPr>
                  <w:tcW w:w="799" w:type="pct"/>
                  <w:tcBorders>
                    <w:tl2br w:val="nil"/>
                    <w:tr2bl w:val="nil"/>
                  </w:tcBorders>
                  <w:noWrap w:val="0"/>
                  <w:vAlign w:val="center"/>
                </w:tcPr>
                <w:p w14:paraId="508B869D">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eastAsia" w:cs="Times New Roman"/>
                      <w:bCs/>
                      <w:snapToGrid w:val="0"/>
                      <w:color w:val="auto"/>
                      <w:kern w:val="0"/>
                      <w:highlight w:val="none"/>
                      <w:lang w:val="en-US" w:eastAsia="zh-CN"/>
                    </w:rPr>
                  </w:pPr>
                  <w:r>
                    <w:rPr>
                      <w:rFonts w:hint="eastAsia" w:cs="Times New Roman"/>
                      <w:bCs/>
                      <w:snapToGrid w:val="0"/>
                      <w:color w:val="auto"/>
                      <w:kern w:val="0"/>
                      <w:highlight w:val="none"/>
                      <w:lang w:val="en-US" w:eastAsia="zh-CN"/>
                    </w:rPr>
                    <w:t>达标</w:t>
                  </w:r>
                </w:p>
              </w:tc>
            </w:tr>
            <w:tr w14:paraId="15BC7C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75" w:hRule="atLeast"/>
                <w:jc w:val="center"/>
              </w:trPr>
              <w:tc>
                <w:tcPr>
                  <w:tcW w:w="1009" w:type="pct"/>
                  <w:tcBorders>
                    <w:tl2br w:val="nil"/>
                    <w:tr2bl w:val="nil"/>
                  </w:tcBorders>
                  <w:noWrap w:val="0"/>
                  <w:vAlign w:val="center"/>
                </w:tcPr>
                <w:p w14:paraId="6249BB55">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eastAsia" w:ascii="Times New Roman" w:hAnsi="Times New Roman" w:eastAsia="宋体"/>
                      <w:color w:val="auto"/>
                      <w:szCs w:val="21"/>
                      <w:highlight w:val="none"/>
                    </w:rPr>
                  </w:pPr>
                  <w:r>
                    <w:rPr>
                      <w:rFonts w:hint="eastAsia"/>
                      <w:color w:val="auto"/>
                      <w:szCs w:val="21"/>
                      <w:highlight w:val="none"/>
                      <w:lang w:eastAsia="zh-CN"/>
                    </w:rPr>
                    <w:t>厂界</w:t>
                  </w:r>
                  <w:r>
                    <w:rPr>
                      <w:rFonts w:hint="default"/>
                      <w:color w:val="auto"/>
                      <w:szCs w:val="21"/>
                      <w:highlight w:val="none"/>
                    </w:rPr>
                    <w:t>北侧</w:t>
                  </w:r>
                </w:p>
              </w:tc>
              <w:tc>
                <w:tcPr>
                  <w:tcW w:w="797" w:type="pct"/>
                  <w:tcBorders>
                    <w:tl2br w:val="nil"/>
                    <w:tr2bl w:val="nil"/>
                  </w:tcBorders>
                  <w:noWrap w:val="0"/>
                  <w:vAlign w:val="center"/>
                </w:tcPr>
                <w:p w14:paraId="25EA7B81">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50.7</w:t>
                  </w:r>
                </w:p>
              </w:tc>
              <w:tc>
                <w:tcPr>
                  <w:tcW w:w="797" w:type="pct"/>
                  <w:tcBorders>
                    <w:tl2br w:val="nil"/>
                    <w:tr2bl w:val="nil"/>
                  </w:tcBorders>
                  <w:noWrap w:val="0"/>
                  <w:vAlign w:val="center"/>
                </w:tcPr>
                <w:p w14:paraId="66999420">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cs="Times New Roman"/>
                      <w:color w:val="auto"/>
                      <w:highlight w:val="none"/>
                      <w:lang w:val="en-US" w:eastAsia="zh-CN"/>
                    </w:rPr>
                  </w:pPr>
                  <w:r>
                    <w:rPr>
                      <w:rFonts w:hint="eastAsia" w:cs="Times New Roman"/>
                      <w:color w:val="auto"/>
                      <w:highlight w:val="none"/>
                      <w:lang w:val="en-US" w:eastAsia="zh-CN"/>
                    </w:rPr>
                    <w:t>0</w:t>
                  </w:r>
                </w:p>
              </w:tc>
              <w:tc>
                <w:tcPr>
                  <w:tcW w:w="1305" w:type="dxa"/>
                  <w:tcBorders>
                    <w:tl2br w:val="nil"/>
                    <w:tr2bl w:val="nil"/>
                  </w:tcBorders>
                  <w:noWrap w:val="0"/>
                  <w:vAlign w:val="center"/>
                </w:tcPr>
                <w:p w14:paraId="5B98CF86">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snapToGrid w:val="0"/>
                      <w:color w:val="auto"/>
                      <w:kern w:val="0"/>
                      <w:highlight w:val="none"/>
                    </w:rPr>
                  </w:pPr>
                  <w:r>
                    <w:rPr>
                      <w:rFonts w:hint="eastAsia" w:cs="Times New Roman"/>
                      <w:color w:val="auto"/>
                      <w:sz w:val="20"/>
                      <w:szCs w:val="20"/>
                      <w:highlight w:val="none"/>
                      <w:vertAlign w:val="baseline"/>
                      <w:lang w:val="en-US" w:eastAsia="zh-CN"/>
                    </w:rPr>
                    <w:t>55</w:t>
                  </w:r>
                </w:p>
              </w:tc>
              <w:tc>
                <w:tcPr>
                  <w:tcW w:w="1305" w:type="dxa"/>
                  <w:tcBorders>
                    <w:tl2br w:val="nil"/>
                    <w:tr2bl w:val="nil"/>
                  </w:tcBorders>
                  <w:noWrap w:val="0"/>
                  <w:vAlign w:val="center"/>
                </w:tcPr>
                <w:p w14:paraId="2793A0AE">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snapToGrid w:val="0"/>
                      <w:color w:val="auto"/>
                      <w:kern w:val="0"/>
                      <w:highlight w:val="none"/>
                    </w:rPr>
                  </w:pPr>
                  <w:r>
                    <w:rPr>
                      <w:rFonts w:hint="eastAsia" w:cs="Times New Roman"/>
                      <w:color w:val="auto"/>
                      <w:sz w:val="20"/>
                      <w:szCs w:val="20"/>
                      <w:highlight w:val="none"/>
                      <w:vertAlign w:val="baseline"/>
                      <w:lang w:val="en-US" w:eastAsia="zh-CN"/>
                    </w:rPr>
                    <w:t>45</w:t>
                  </w:r>
                </w:p>
              </w:tc>
              <w:tc>
                <w:tcPr>
                  <w:tcW w:w="799" w:type="pct"/>
                  <w:tcBorders>
                    <w:tl2br w:val="nil"/>
                    <w:tr2bl w:val="nil"/>
                  </w:tcBorders>
                  <w:noWrap w:val="0"/>
                  <w:vAlign w:val="center"/>
                </w:tcPr>
                <w:p w14:paraId="1D160386">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eastAsia" w:cs="Times New Roman"/>
                      <w:bCs/>
                      <w:snapToGrid w:val="0"/>
                      <w:color w:val="auto"/>
                      <w:kern w:val="0"/>
                      <w:highlight w:val="none"/>
                      <w:lang w:val="en-US" w:eastAsia="zh-CN"/>
                    </w:rPr>
                  </w:pPr>
                  <w:r>
                    <w:rPr>
                      <w:rFonts w:hint="eastAsia" w:cs="Times New Roman"/>
                      <w:bCs/>
                      <w:snapToGrid w:val="0"/>
                      <w:color w:val="auto"/>
                      <w:kern w:val="0"/>
                      <w:highlight w:val="none"/>
                      <w:lang w:val="en-US" w:eastAsia="zh-CN"/>
                    </w:rPr>
                    <w:t>达标</w:t>
                  </w:r>
                </w:p>
              </w:tc>
            </w:tr>
          </w:tbl>
          <w:p w14:paraId="4859BFC4">
            <w:pPr>
              <w:keepNext w:val="0"/>
              <w:keepLines w:val="0"/>
              <w:pageBreakBefore w:val="0"/>
              <w:suppressLineNumbers w:val="0"/>
              <w:wordWrap/>
              <w:bidi w:val="0"/>
              <w:spacing w:before="0" w:beforeAutospacing="0" w:after="0" w:afterAutospacing="0" w:line="240" w:lineRule="auto"/>
              <w:ind w:left="0" w:leftChars="0" w:right="0"/>
              <w:jc w:val="center"/>
              <w:rPr>
                <w:rFonts w:hint="eastAsia" w:ascii="Times New Roman" w:hAnsi="Times New Roman" w:eastAsia="宋体" w:cs="Times New Roman"/>
                <w:b/>
                <w:bCs/>
                <w:iCs/>
                <w:color w:val="auto"/>
                <w:kern w:val="0"/>
                <w:sz w:val="21"/>
                <w:szCs w:val="21"/>
                <w:highlight w:val="none"/>
                <w:lang w:val="en-US" w:eastAsia="zh-CN" w:bidi="ar-SA"/>
              </w:rPr>
            </w:pPr>
            <w:r>
              <w:rPr>
                <w:rFonts w:hint="default" w:ascii="Times New Roman" w:hAnsi="Times New Roman" w:eastAsia="宋体" w:cs="Times New Roman"/>
                <w:b/>
                <w:bCs/>
                <w:iCs/>
                <w:color w:val="auto"/>
                <w:kern w:val="0"/>
                <w:sz w:val="21"/>
                <w:szCs w:val="21"/>
                <w:highlight w:val="none"/>
                <w:lang w:val="en-US" w:eastAsia="zh-CN" w:bidi="ar-SA"/>
              </w:rPr>
              <w:t>表4-</w:t>
            </w:r>
            <w:r>
              <w:rPr>
                <w:rFonts w:hint="eastAsia" w:ascii="Times New Roman" w:hAnsi="Times New Roman" w:eastAsia="宋体" w:cs="Times New Roman"/>
                <w:b/>
                <w:bCs/>
                <w:iCs/>
                <w:color w:val="auto"/>
                <w:kern w:val="0"/>
                <w:sz w:val="21"/>
                <w:szCs w:val="21"/>
                <w:highlight w:val="none"/>
                <w:lang w:val="en-US" w:eastAsia="zh-CN" w:bidi="ar-SA"/>
              </w:rPr>
              <w:t>16</w:t>
            </w:r>
            <w:r>
              <w:rPr>
                <w:rFonts w:hint="default" w:ascii="Times New Roman" w:hAnsi="Times New Roman" w:eastAsia="宋体" w:cs="Times New Roman"/>
                <w:b/>
                <w:bCs/>
                <w:iCs/>
                <w:color w:val="auto"/>
                <w:kern w:val="0"/>
                <w:sz w:val="21"/>
                <w:szCs w:val="21"/>
                <w:highlight w:val="none"/>
                <w:lang w:val="en-US" w:eastAsia="zh-CN" w:bidi="ar-SA"/>
              </w:rPr>
              <w:t xml:space="preserve">  </w:t>
            </w:r>
            <w:r>
              <w:rPr>
                <w:rFonts w:hint="eastAsia" w:ascii="Times New Roman" w:hAnsi="Times New Roman" w:eastAsia="宋体" w:cs="Times New Roman"/>
                <w:b/>
                <w:bCs/>
                <w:iCs/>
                <w:color w:val="auto"/>
                <w:kern w:val="0"/>
                <w:sz w:val="21"/>
                <w:szCs w:val="21"/>
                <w:highlight w:val="none"/>
                <w:lang w:val="en-US" w:eastAsia="zh-CN" w:bidi="ar-SA"/>
              </w:rPr>
              <w:t>声环境保护目标噪声预测结果与达标分析表</w:t>
            </w:r>
            <w:r>
              <w:rPr>
                <w:rFonts w:hint="default" w:ascii="Times New Roman" w:hAnsi="Times New Roman" w:eastAsia="宋体" w:cs="Times New Roman"/>
                <w:b/>
                <w:bCs/>
                <w:iCs/>
                <w:color w:val="auto"/>
                <w:kern w:val="0"/>
                <w:sz w:val="21"/>
                <w:szCs w:val="21"/>
                <w:highlight w:val="none"/>
                <w:lang w:val="en-US" w:eastAsia="zh-CN" w:bidi="ar-SA"/>
              </w:rPr>
              <w:t xml:space="preserve">    单位：dB（A）</w:t>
            </w:r>
          </w:p>
          <w:tbl>
            <w:tblPr>
              <w:tblStyle w:val="33"/>
              <w:tblW w:w="819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2"/>
              <w:gridCol w:w="887"/>
              <w:gridCol w:w="570"/>
              <w:gridCol w:w="570"/>
              <w:gridCol w:w="570"/>
              <w:gridCol w:w="570"/>
              <w:gridCol w:w="570"/>
              <w:gridCol w:w="570"/>
              <w:gridCol w:w="570"/>
              <w:gridCol w:w="570"/>
              <w:gridCol w:w="570"/>
              <w:gridCol w:w="570"/>
              <w:gridCol w:w="570"/>
              <w:gridCol w:w="570"/>
            </w:tblGrid>
            <w:tr w14:paraId="3605AE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472" w:type="dxa"/>
                  <w:vMerge w:val="restart"/>
                  <w:tcBorders>
                    <w:tl2br w:val="nil"/>
                    <w:tr2bl w:val="nil"/>
                  </w:tcBorders>
                  <w:vAlign w:val="center"/>
                </w:tcPr>
                <w:p w14:paraId="29443E4F">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eastAsia" w:ascii="Times New Roman" w:hAnsi="Times New Roman" w:eastAsia="宋体" w:cs="Times New Roman"/>
                      <w:color w:val="auto"/>
                      <w:sz w:val="20"/>
                      <w:szCs w:val="20"/>
                      <w:highlight w:val="none"/>
                      <w:vertAlign w:val="baseline"/>
                      <w:lang w:eastAsia="zh-CN"/>
                    </w:rPr>
                  </w:pPr>
                  <w:r>
                    <w:rPr>
                      <w:rFonts w:hint="eastAsia" w:cs="Times New Roman"/>
                      <w:color w:val="auto"/>
                      <w:sz w:val="20"/>
                      <w:szCs w:val="20"/>
                      <w:highlight w:val="none"/>
                      <w:vertAlign w:val="baseline"/>
                      <w:lang w:eastAsia="zh-CN"/>
                    </w:rPr>
                    <w:t>序号</w:t>
                  </w:r>
                </w:p>
              </w:tc>
              <w:tc>
                <w:tcPr>
                  <w:tcW w:w="887" w:type="dxa"/>
                  <w:vMerge w:val="restart"/>
                  <w:tcBorders>
                    <w:tl2br w:val="nil"/>
                    <w:tr2bl w:val="nil"/>
                  </w:tcBorders>
                  <w:vAlign w:val="center"/>
                </w:tcPr>
                <w:p w14:paraId="1A23C102">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eastAsia" w:ascii="Times New Roman" w:hAnsi="Times New Roman" w:eastAsia="宋体" w:cs="Times New Roman"/>
                      <w:color w:val="auto"/>
                      <w:sz w:val="20"/>
                      <w:szCs w:val="20"/>
                      <w:highlight w:val="none"/>
                      <w:vertAlign w:val="baseline"/>
                      <w:lang w:eastAsia="zh-CN"/>
                    </w:rPr>
                  </w:pPr>
                  <w:r>
                    <w:rPr>
                      <w:rFonts w:hint="eastAsia" w:cs="Times New Roman"/>
                      <w:color w:val="auto"/>
                      <w:sz w:val="20"/>
                      <w:szCs w:val="20"/>
                      <w:highlight w:val="none"/>
                      <w:vertAlign w:val="baseline"/>
                      <w:lang w:eastAsia="zh-CN"/>
                    </w:rPr>
                    <w:t>环环境保护目标名称</w:t>
                  </w:r>
                </w:p>
              </w:tc>
              <w:tc>
                <w:tcPr>
                  <w:tcW w:w="1140" w:type="dxa"/>
                  <w:gridSpan w:val="2"/>
                  <w:tcBorders>
                    <w:tl2br w:val="nil"/>
                    <w:tr2bl w:val="nil"/>
                  </w:tcBorders>
                  <w:vAlign w:val="center"/>
                </w:tcPr>
                <w:p w14:paraId="6BA17F99">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eastAsia" w:cs="Times New Roman"/>
                      <w:color w:val="auto"/>
                      <w:sz w:val="20"/>
                      <w:szCs w:val="20"/>
                      <w:highlight w:val="none"/>
                      <w:vertAlign w:val="baseline"/>
                      <w:lang w:val="en-US" w:eastAsia="zh-CN"/>
                    </w:rPr>
                  </w:pPr>
                  <w:r>
                    <w:rPr>
                      <w:rFonts w:hint="eastAsia" w:cs="Times New Roman"/>
                      <w:color w:val="auto"/>
                      <w:sz w:val="20"/>
                      <w:szCs w:val="20"/>
                      <w:highlight w:val="none"/>
                      <w:vertAlign w:val="baseline"/>
                      <w:lang w:val="en-US" w:eastAsia="zh-CN"/>
                    </w:rPr>
                    <w:t>噪声</w:t>
                  </w:r>
                </w:p>
                <w:p w14:paraId="76208EF5">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eastAsia="宋体" w:cs="Times New Roman"/>
                      <w:color w:val="auto"/>
                      <w:sz w:val="20"/>
                      <w:szCs w:val="20"/>
                      <w:highlight w:val="none"/>
                      <w:vertAlign w:val="baseline"/>
                      <w:lang w:val="en-US" w:eastAsia="zh-CN"/>
                    </w:rPr>
                  </w:pPr>
                  <w:r>
                    <w:rPr>
                      <w:rFonts w:hint="eastAsia" w:cs="Times New Roman"/>
                      <w:color w:val="auto"/>
                      <w:sz w:val="20"/>
                      <w:szCs w:val="20"/>
                      <w:highlight w:val="none"/>
                      <w:vertAlign w:val="baseline"/>
                      <w:lang w:val="en-US" w:eastAsia="zh-CN"/>
                    </w:rPr>
                    <w:t>现状值</w:t>
                  </w:r>
                </w:p>
              </w:tc>
              <w:tc>
                <w:tcPr>
                  <w:tcW w:w="1140" w:type="dxa"/>
                  <w:gridSpan w:val="2"/>
                  <w:tcBorders>
                    <w:tl2br w:val="nil"/>
                    <w:tr2bl w:val="nil"/>
                  </w:tcBorders>
                  <w:vAlign w:val="center"/>
                </w:tcPr>
                <w:p w14:paraId="03124E1B">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eastAsia" w:cs="Times New Roman"/>
                      <w:color w:val="auto"/>
                      <w:sz w:val="20"/>
                      <w:szCs w:val="20"/>
                      <w:highlight w:val="none"/>
                      <w:vertAlign w:val="baseline"/>
                      <w:lang w:eastAsia="zh-CN"/>
                    </w:rPr>
                  </w:pPr>
                  <w:r>
                    <w:rPr>
                      <w:rFonts w:hint="eastAsia" w:cs="Times New Roman"/>
                      <w:color w:val="auto"/>
                      <w:sz w:val="20"/>
                      <w:szCs w:val="20"/>
                      <w:highlight w:val="none"/>
                      <w:vertAlign w:val="baseline"/>
                      <w:lang w:eastAsia="zh-CN"/>
                    </w:rPr>
                    <w:t>噪声</w:t>
                  </w:r>
                </w:p>
                <w:p w14:paraId="06CD4225">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eastAsia" w:ascii="Times New Roman" w:hAnsi="Times New Roman" w:eastAsia="宋体" w:cs="Times New Roman"/>
                      <w:color w:val="auto"/>
                      <w:sz w:val="20"/>
                      <w:szCs w:val="20"/>
                      <w:highlight w:val="none"/>
                      <w:vertAlign w:val="baseline"/>
                      <w:lang w:eastAsia="zh-CN"/>
                    </w:rPr>
                  </w:pPr>
                  <w:r>
                    <w:rPr>
                      <w:rFonts w:hint="eastAsia" w:cs="Times New Roman"/>
                      <w:color w:val="auto"/>
                      <w:sz w:val="20"/>
                      <w:szCs w:val="20"/>
                      <w:highlight w:val="none"/>
                      <w:vertAlign w:val="baseline"/>
                      <w:lang w:eastAsia="zh-CN"/>
                    </w:rPr>
                    <w:t>标准</w:t>
                  </w:r>
                </w:p>
              </w:tc>
              <w:tc>
                <w:tcPr>
                  <w:tcW w:w="1140" w:type="dxa"/>
                  <w:gridSpan w:val="2"/>
                  <w:tcBorders>
                    <w:tl2br w:val="nil"/>
                    <w:tr2bl w:val="nil"/>
                  </w:tcBorders>
                  <w:vAlign w:val="center"/>
                </w:tcPr>
                <w:p w14:paraId="3C1799E5">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eastAsia" w:cs="Times New Roman"/>
                      <w:color w:val="auto"/>
                      <w:sz w:val="20"/>
                      <w:szCs w:val="20"/>
                      <w:highlight w:val="none"/>
                      <w:vertAlign w:val="baseline"/>
                      <w:lang w:eastAsia="zh-CN"/>
                    </w:rPr>
                  </w:pPr>
                  <w:r>
                    <w:rPr>
                      <w:rFonts w:hint="eastAsia" w:cs="Times New Roman"/>
                      <w:color w:val="auto"/>
                      <w:sz w:val="20"/>
                      <w:szCs w:val="20"/>
                      <w:highlight w:val="none"/>
                      <w:vertAlign w:val="baseline"/>
                      <w:lang w:eastAsia="zh-CN"/>
                    </w:rPr>
                    <w:t>噪声</w:t>
                  </w:r>
                </w:p>
                <w:p w14:paraId="188C4239">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eastAsia" w:ascii="Times New Roman" w:hAnsi="Times New Roman" w:eastAsia="宋体" w:cs="Times New Roman"/>
                      <w:color w:val="auto"/>
                      <w:sz w:val="20"/>
                      <w:szCs w:val="20"/>
                      <w:highlight w:val="none"/>
                      <w:vertAlign w:val="baseline"/>
                      <w:lang w:eastAsia="zh-CN"/>
                    </w:rPr>
                  </w:pPr>
                  <w:r>
                    <w:rPr>
                      <w:rFonts w:hint="eastAsia" w:cs="Times New Roman"/>
                      <w:color w:val="auto"/>
                      <w:sz w:val="20"/>
                      <w:szCs w:val="20"/>
                      <w:highlight w:val="none"/>
                      <w:vertAlign w:val="baseline"/>
                      <w:lang w:eastAsia="zh-CN"/>
                    </w:rPr>
                    <w:t>贡献值</w:t>
                  </w:r>
                </w:p>
              </w:tc>
              <w:tc>
                <w:tcPr>
                  <w:tcW w:w="1140" w:type="dxa"/>
                  <w:gridSpan w:val="2"/>
                  <w:tcBorders>
                    <w:tl2br w:val="nil"/>
                    <w:tr2bl w:val="nil"/>
                  </w:tcBorders>
                  <w:vAlign w:val="center"/>
                </w:tcPr>
                <w:p w14:paraId="5C737C82">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eastAsia" w:cs="Times New Roman"/>
                      <w:color w:val="auto"/>
                      <w:sz w:val="20"/>
                      <w:szCs w:val="20"/>
                      <w:highlight w:val="none"/>
                      <w:vertAlign w:val="baseline"/>
                      <w:lang w:eastAsia="zh-CN"/>
                    </w:rPr>
                  </w:pPr>
                  <w:r>
                    <w:rPr>
                      <w:rFonts w:hint="eastAsia" w:cs="Times New Roman"/>
                      <w:color w:val="auto"/>
                      <w:sz w:val="20"/>
                      <w:szCs w:val="20"/>
                      <w:highlight w:val="none"/>
                      <w:vertAlign w:val="baseline"/>
                      <w:lang w:eastAsia="zh-CN"/>
                    </w:rPr>
                    <w:t>噪声</w:t>
                  </w:r>
                </w:p>
                <w:p w14:paraId="5F444508">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eastAsia" w:cs="Times New Roman"/>
                      <w:color w:val="auto"/>
                      <w:sz w:val="20"/>
                      <w:szCs w:val="20"/>
                      <w:highlight w:val="none"/>
                      <w:vertAlign w:val="baseline"/>
                      <w:lang w:eastAsia="zh-CN"/>
                    </w:rPr>
                  </w:pPr>
                  <w:r>
                    <w:rPr>
                      <w:rFonts w:hint="eastAsia" w:cs="Times New Roman"/>
                      <w:color w:val="auto"/>
                      <w:sz w:val="20"/>
                      <w:szCs w:val="20"/>
                      <w:highlight w:val="none"/>
                      <w:vertAlign w:val="baseline"/>
                      <w:lang w:eastAsia="zh-CN"/>
                    </w:rPr>
                    <w:t>预测值</w:t>
                  </w:r>
                </w:p>
              </w:tc>
              <w:tc>
                <w:tcPr>
                  <w:tcW w:w="1140" w:type="dxa"/>
                  <w:gridSpan w:val="2"/>
                  <w:tcBorders>
                    <w:tl2br w:val="nil"/>
                    <w:tr2bl w:val="nil"/>
                  </w:tcBorders>
                  <w:vAlign w:val="center"/>
                </w:tcPr>
                <w:p w14:paraId="78ED9DDF">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eastAsia" w:cs="Times New Roman"/>
                      <w:color w:val="auto"/>
                      <w:sz w:val="20"/>
                      <w:szCs w:val="20"/>
                      <w:highlight w:val="none"/>
                      <w:vertAlign w:val="baseline"/>
                      <w:lang w:eastAsia="zh-CN"/>
                    </w:rPr>
                  </w:pPr>
                  <w:r>
                    <w:rPr>
                      <w:rFonts w:hint="eastAsia" w:cs="Times New Roman"/>
                      <w:color w:val="auto"/>
                      <w:sz w:val="20"/>
                      <w:szCs w:val="20"/>
                      <w:highlight w:val="none"/>
                      <w:vertAlign w:val="baseline"/>
                      <w:lang w:eastAsia="zh-CN"/>
                    </w:rPr>
                    <w:t>较现状增量</w:t>
                  </w:r>
                </w:p>
              </w:tc>
              <w:tc>
                <w:tcPr>
                  <w:tcW w:w="1140" w:type="dxa"/>
                  <w:gridSpan w:val="2"/>
                  <w:tcBorders>
                    <w:tl2br w:val="nil"/>
                    <w:tr2bl w:val="nil"/>
                  </w:tcBorders>
                  <w:vAlign w:val="center"/>
                </w:tcPr>
                <w:p w14:paraId="3EFBEE7B">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eastAsia" w:cs="Times New Roman"/>
                      <w:color w:val="auto"/>
                      <w:sz w:val="20"/>
                      <w:szCs w:val="20"/>
                      <w:highlight w:val="none"/>
                      <w:vertAlign w:val="baseline"/>
                      <w:lang w:eastAsia="zh-CN"/>
                    </w:rPr>
                  </w:pPr>
                  <w:r>
                    <w:rPr>
                      <w:rFonts w:hint="eastAsia" w:cs="Times New Roman"/>
                      <w:color w:val="auto"/>
                      <w:sz w:val="20"/>
                      <w:szCs w:val="20"/>
                      <w:highlight w:val="none"/>
                      <w:vertAlign w:val="baseline"/>
                      <w:lang w:eastAsia="zh-CN"/>
                    </w:rPr>
                    <w:t>超标和达标情况</w:t>
                  </w:r>
                </w:p>
              </w:tc>
            </w:tr>
            <w:tr w14:paraId="354F77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472" w:type="dxa"/>
                  <w:vMerge w:val="continue"/>
                  <w:tcBorders>
                    <w:tl2br w:val="nil"/>
                    <w:tr2bl w:val="nil"/>
                  </w:tcBorders>
                  <w:vAlign w:val="center"/>
                </w:tcPr>
                <w:p w14:paraId="293DA0E5">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p>
              </w:tc>
              <w:tc>
                <w:tcPr>
                  <w:tcW w:w="887" w:type="dxa"/>
                  <w:vMerge w:val="continue"/>
                  <w:tcBorders>
                    <w:tl2br w:val="nil"/>
                    <w:tr2bl w:val="nil"/>
                  </w:tcBorders>
                  <w:vAlign w:val="center"/>
                </w:tcPr>
                <w:p w14:paraId="2816C0D6">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p>
              </w:tc>
              <w:tc>
                <w:tcPr>
                  <w:tcW w:w="570" w:type="dxa"/>
                  <w:tcBorders>
                    <w:tl2br w:val="nil"/>
                    <w:tr2bl w:val="nil"/>
                  </w:tcBorders>
                  <w:vAlign w:val="center"/>
                </w:tcPr>
                <w:p w14:paraId="1D2AAF64">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r>
                    <w:rPr>
                      <w:rFonts w:hint="eastAsia" w:cs="Times New Roman"/>
                      <w:color w:val="auto"/>
                      <w:sz w:val="20"/>
                      <w:szCs w:val="20"/>
                      <w:highlight w:val="none"/>
                      <w:vertAlign w:val="baseline"/>
                      <w:lang w:eastAsia="zh-CN"/>
                    </w:rPr>
                    <w:t>昼间</w:t>
                  </w:r>
                </w:p>
              </w:tc>
              <w:tc>
                <w:tcPr>
                  <w:tcW w:w="570" w:type="dxa"/>
                  <w:tcBorders>
                    <w:tl2br w:val="nil"/>
                    <w:tr2bl w:val="nil"/>
                  </w:tcBorders>
                  <w:vAlign w:val="center"/>
                </w:tcPr>
                <w:p w14:paraId="26129711">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r>
                    <w:rPr>
                      <w:rFonts w:hint="eastAsia" w:cs="Times New Roman"/>
                      <w:color w:val="auto"/>
                      <w:sz w:val="20"/>
                      <w:szCs w:val="20"/>
                      <w:highlight w:val="none"/>
                      <w:vertAlign w:val="baseline"/>
                      <w:lang w:eastAsia="zh-CN"/>
                    </w:rPr>
                    <w:t>夜间</w:t>
                  </w:r>
                </w:p>
              </w:tc>
              <w:tc>
                <w:tcPr>
                  <w:tcW w:w="570" w:type="dxa"/>
                  <w:tcBorders>
                    <w:tl2br w:val="nil"/>
                    <w:tr2bl w:val="nil"/>
                  </w:tcBorders>
                  <w:vAlign w:val="center"/>
                </w:tcPr>
                <w:p w14:paraId="41C446FB">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r>
                    <w:rPr>
                      <w:rFonts w:hint="eastAsia" w:cs="Times New Roman"/>
                      <w:color w:val="auto"/>
                      <w:sz w:val="20"/>
                      <w:szCs w:val="20"/>
                      <w:highlight w:val="none"/>
                      <w:vertAlign w:val="baseline"/>
                      <w:lang w:eastAsia="zh-CN"/>
                    </w:rPr>
                    <w:t>昼间</w:t>
                  </w:r>
                </w:p>
              </w:tc>
              <w:tc>
                <w:tcPr>
                  <w:tcW w:w="570" w:type="dxa"/>
                  <w:tcBorders>
                    <w:tl2br w:val="nil"/>
                    <w:tr2bl w:val="nil"/>
                  </w:tcBorders>
                  <w:vAlign w:val="center"/>
                </w:tcPr>
                <w:p w14:paraId="2C1F037A">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r>
                    <w:rPr>
                      <w:rFonts w:hint="eastAsia" w:cs="Times New Roman"/>
                      <w:color w:val="auto"/>
                      <w:sz w:val="20"/>
                      <w:szCs w:val="20"/>
                      <w:highlight w:val="none"/>
                      <w:vertAlign w:val="baseline"/>
                      <w:lang w:eastAsia="zh-CN"/>
                    </w:rPr>
                    <w:t>夜间</w:t>
                  </w:r>
                </w:p>
              </w:tc>
              <w:tc>
                <w:tcPr>
                  <w:tcW w:w="570" w:type="dxa"/>
                  <w:tcBorders>
                    <w:tl2br w:val="nil"/>
                    <w:tr2bl w:val="nil"/>
                  </w:tcBorders>
                  <w:vAlign w:val="center"/>
                </w:tcPr>
                <w:p w14:paraId="3D7BBD48">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r>
                    <w:rPr>
                      <w:rFonts w:hint="eastAsia" w:cs="Times New Roman"/>
                      <w:color w:val="auto"/>
                      <w:sz w:val="20"/>
                      <w:szCs w:val="20"/>
                      <w:highlight w:val="none"/>
                      <w:vertAlign w:val="baseline"/>
                      <w:lang w:eastAsia="zh-CN"/>
                    </w:rPr>
                    <w:t>昼间</w:t>
                  </w:r>
                </w:p>
              </w:tc>
              <w:tc>
                <w:tcPr>
                  <w:tcW w:w="570" w:type="dxa"/>
                  <w:tcBorders>
                    <w:tl2br w:val="nil"/>
                    <w:tr2bl w:val="nil"/>
                  </w:tcBorders>
                  <w:vAlign w:val="center"/>
                </w:tcPr>
                <w:p w14:paraId="6A009D53">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r>
                    <w:rPr>
                      <w:rFonts w:hint="eastAsia" w:cs="Times New Roman"/>
                      <w:color w:val="auto"/>
                      <w:sz w:val="20"/>
                      <w:szCs w:val="20"/>
                      <w:highlight w:val="none"/>
                      <w:vertAlign w:val="baseline"/>
                      <w:lang w:eastAsia="zh-CN"/>
                    </w:rPr>
                    <w:t>夜间</w:t>
                  </w:r>
                </w:p>
              </w:tc>
              <w:tc>
                <w:tcPr>
                  <w:tcW w:w="570" w:type="dxa"/>
                  <w:tcBorders>
                    <w:tl2br w:val="nil"/>
                    <w:tr2bl w:val="nil"/>
                  </w:tcBorders>
                  <w:vAlign w:val="center"/>
                </w:tcPr>
                <w:p w14:paraId="2D411332">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r>
                    <w:rPr>
                      <w:rFonts w:hint="eastAsia" w:cs="Times New Roman"/>
                      <w:color w:val="auto"/>
                      <w:sz w:val="20"/>
                      <w:szCs w:val="20"/>
                      <w:highlight w:val="none"/>
                      <w:vertAlign w:val="baseline"/>
                      <w:lang w:eastAsia="zh-CN"/>
                    </w:rPr>
                    <w:t>昼间</w:t>
                  </w:r>
                </w:p>
              </w:tc>
              <w:tc>
                <w:tcPr>
                  <w:tcW w:w="570" w:type="dxa"/>
                  <w:tcBorders>
                    <w:tl2br w:val="nil"/>
                    <w:tr2bl w:val="nil"/>
                  </w:tcBorders>
                  <w:vAlign w:val="center"/>
                </w:tcPr>
                <w:p w14:paraId="65B38162">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r>
                    <w:rPr>
                      <w:rFonts w:hint="eastAsia" w:cs="Times New Roman"/>
                      <w:color w:val="auto"/>
                      <w:sz w:val="20"/>
                      <w:szCs w:val="20"/>
                      <w:highlight w:val="none"/>
                      <w:vertAlign w:val="baseline"/>
                      <w:lang w:eastAsia="zh-CN"/>
                    </w:rPr>
                    <w:t>夜间</w:t>
                  </w:r>
                </w:p>
              </w:tc>
              <w:tc>
                <w:tcPr>
                  <w:tcW w:w="570" w:type="dxa"/>
                  <w:tcBorders>
                    <w:tl2br w:val="nil"/>
                    <w:tr2bl w:val="nil"/>
                  </w:tcBorders>
                  <w:vAlign w:val="center"/>
                </w:tcPr>
                <w:p w14:paraId="4C128F52">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r>
                    <w:rPr>
                      <w:rFonts w:hint="eastAsia" w:cs="Times New Roman"/>
                      <w:color w:val="auto"/>
                      <w:sz w:val="20"/>
                      <w:szCs w:val="20"/>
                      <w:highlight w:val="none"/>
                      <w:vertAlign w:val="baseline"/>
                      <w:lang w:eastAsia="zh-CN"/>
                    </w:rPr>
                    <w:t>昼间</w:t>
                  </w:r>
                </w:p>
              </w:tc>
              <w:tc>
                <w:tcPr>
                  <w:tcW w:w="570" w:type="dxa"/>
                  <w:tcBorders>
                    <w:tl2br w:val="nil"/>
                    <w:tr2bl w:val="nil"/>
                  </w:tcBorders>
                  <w:vAlign w:val="center"/>
                </w:tcPr>
                <w:p w14:paraId="7B445A49">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r>
                    <w:rPr>
                      <w:rFonts w:hint="eastAsia" w:cs="Times New Roman"/>
                      <w:color w:val="auto"/>
                      <w:sz w:val="20"/>
                      <w:szCs w:val="20"/>
                      <w:highlight w:val="none"/>
                      <w:vertAlign w:val="baseline"/>
                      <w:lang w:eastAsia="zh-CN"/>
                    </w:rPr>
                    <w:t>夜间</w:t>
                  </w:r>
                </w:p>
              </w:tc>
              <w:tc>
                <w:tcPr>
                  <w:tcW w:w="570" w:type="dxa"/>
                  <w:tcBorders>
                    <w:tl2br w:val="nil"/>
                    <w:tr2bl w:val="nil"/>
                  </w:tcBorders>
                  <w:vAlign w:val="center"/>
                </w:tcPr>
                <w:p w14:paraId="219B7789">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r>
                    <w:rPr>
                      <w:rFonts w:hint="eastAsia" w:cs="Times New Roman"/>
                      <w:color w:val="auto"/>
                      <w:sz w:val="20"/>
                      <w:szCs w:val="20"/>
                      <w:highlight w:val="none"/>
                      <w:vertAlign w:val="baseline"/>
                      <w:lang w:eastAsia="zh-CN"/>
                    </w:rPr>
                    <w:t>昼间</w:t>
                  </w:r>
                </w:p>
              </w:tc>
              <w:tc>
                <w:tcPr>
                  <w:tcW w:w="570" w:type="dxa"/>
                  <w:tcBorders>
                    <w:tl2br w:val="nil"/>
                    <w:tr2bl w:val="nil"/>
                  </w:tcBorders>
                  <w:vAlign w:val="center"/>
                </w:tcPr>
                <w:p w14:paraId="3A76DCF3">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r>
                    <w:rPr>
                      <w:rFonts w:hint="eastAsia" w:cs="Times New Roman"/>
                      <w:color w:val="auto"/>
                      <w:sz w:val="20"/>
                      <w:szCs w:val="20"/>
                      <w:highlight w:val="none"/>
                      <w:vertAlign w:val="baseline"/>
                      <w:lang w:eastAsia="zh-CN"/>
                    </w:rPr>
                    <w:t>夜间</w:t>
                  </w:r>
                </w:p>
              </w:tc>
            </w:tr>
            <w:tr w14:paraId="753999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trPr>
              <w:tc>
                <w:tcPr>
                  <w:tcW w:w="472" w:type="dxa"/>
                  <w:tcBorders>
                    <w:tl2br w:val="nil"/>
                    <w:tr2bl w:val="nil"/>
                  </w:tcBorders>
                  <w:vAlign w:val="center"/>
                </w:tcPr>
                <w:p w14:paraId="16DEF5DF">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eastAsia" w:cs="Times New Roman"/>
                      <w:color w:val="auto"/>
                      <w:sz w:val="20"/>
                      <w:szCs w:val="20"/>
                      <w:highlight w:val="none"/>
                      <w:vertAlign w:val="baseline"/>
                      <w:lang w:val="en-US" w:eastAsia="zh-CN"/>
                    </w:rPr>
                  </w:pPr>
                  <w:r>
                    <w:rPr>
                      <w:rFonts w:hint="eastAsia" w:cs="Times New Roman"/>
                      <w:color w:val="auto"/>
                      <w:sz w:val="20"/>
                      <w:szCs w:val="20"/>
                      <w:highlight w:val="none"/>
                      <w:vertAlign w:val="baseline"/>
                      <w:lang w:val="en-US" w:eastAsia="zh-CN"/>
                    </w:rPr>
                    <w:t>1</w:t>
                  </w:r>
                </w:p>
              </w:tc>
              <w:tc>
                <w:tcPr>
                  <w:tcW w:w="887" w:type="dxa"/>
                  <w:tcBorders>
                    <w:tl2br w:val="nil"/>
                    <w:tr2bl w:val="nil"/>
                  </w:tcBorders>
                  <w:vAlign w:val="center"/>
                </w:tcPr>
                <w:p w14:paraId="31B3D693">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cs="Times New Roman"/>
                      <w:color w:val="auto"/>
                      <w:sz w:val="20"/>
                      <w:szCs w:val="20"/>
                      <w:highlight w:val="none"/>
                      <w:vertAlign w:val="baseline"/>
                      <w:lang w:val="en-US" w:eastAsia="zh-CN"/>
                    </w:rPr>
                  </w:pPr>
                  <w:r>
                    <w:rPr>
                      <w:rFonts w:hint="eastAsia" w:cs="Times New Roman"/>
                      <w:color w:val="auto"/>
                      <w:sz w:val="20"/>
                      <w:szCs w:val="20"/>
                      <w:highlight w:val="none"/>
                      <w:vertAlign w:val="baseline"/>
                      <w:lang w:val="en-US" w:eastAsia="zh-CN"/>
                    </w:rPr>
                    <w:t>公立村</w:t>
                  </w:r>
                </w:p>
              </w:tc>
              <w:tc>
                <w:tcPr>
                  <w:tcW w:w="570" w:type="dxa"/>
                  <w:tcBorders>
                    <w:tl2br w:val="nil"/>
                    <w:tr2bl w:val="nil"/>
                  </w:tcBorders>
                  <w:vAlign w:val="center"/>
                </w:tcPr>
                <w:p w14:paraId="5C45FCF1">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cs="Times New Roman"/>
                      <w:color w:val="auto"/>
                      <w:sz w:val="20"/>
                      <w:szCs w:val="20"/>
                      <w:highlight w:val="none"/>
                      <w:vertAlign w:val="baseline"/>
                      <w:lang w:val="en-US" w:eastAsia="zh-CN"/>
                    </w:rPr>
                  </w:pPr>
                  <w:r>
                    <w:rPr>
                      <w:rFonts w:hint="eastAsia" w:cs="Times New Roman"/>
                      <w:color w:val="auto"/>
                      <w:sz w:val="20"/>
                      <w:szCs w:val="20"/>
                      <w:highlight w:val="none"/>
                      <w:vertAlign w:val="baseline"/>
                      <w:lang w:val="en-US" w:eastAsia="zh-CN"/>
                    </w:rPr>
                    <w:t>51.0</w:t>
                  </w:r>
                </w:p>
              </w:tc>
              <w:tc>
                <w:tcPr>
                  <w:tcW w:w="570" w:type="dxa"/>
                  <w:tcBorders>
                    <w:tl2br w:val="nil"/>
                    <w:tr2bl w:val="nil"/>
                  </w:tcBorders>
                  <w:vAlign w:val="center"/>
                </w:tcPr>
                <w:p w14:paraId="2D98A774">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cs="Times New Roman"/>
                      <w:color w:val="auto"/>
                      <w:sz w:val="20"/>
                      <w:szCs w:val="20"/>
                      <w:highlight w:val="none"/>
                      <w:vertAlign w:val="baseline"/>
                      <w:lang w:val="en-US" w:eastAsia="zh-CN"/>
                    </w:rPr>
                  </w:pPr>
                  <w:r>
                    <w:rPr>
                      <w:rFonts w:hint="eastAsia" w:cs="Times New Roman"/>
                      <w:color w:val="auto"/>
                      <w:sz w:val="20"/>
                      <w:szCs w:val="20"/>
                      <w:highlight w:val="none"/>
                      <w:vertAlign w:val="baseline"/>
                      <w:lang w:val="en-US" w:eastAsia="zh-CN"/>
                    </w:rPr>
                    <w:t>38.4</w:t>
                  </w:r>
                </w:p>
              </w:tc>
              <w:tc>
                <w:tcPr>
                  <w:tcW w:w="570" w:type="dxa"/>
                  <w:tcBorders>
                    <w:tl2br w:val="nil"/>
                    <w:tr2bl w:val="nil"/>
                  </w:tcBorders>
                  <w:vAlign w:val="center"/>
                </w:tcPr>
                <w:p w14:paraId="2BEF87BC">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cs="Times New Roman"/>
                      <w:color w:val="auto"/>
                      <w:sz w:val="20"/>
                      <w:szCs w:val="20"/>
                      <w:highlight w:val="none"/>
                      <w:vertAlign w:val="baseline"/>
                      <w:lang w:val="en-US" w:eastAsia="zh-CN"/>
                    </w:rPr>
                  </w:pPr>
                  <w:r>
                    <w:rPr>
                      <w:rFonts w:hint="eastAsia" w:cs="Times New Roman"/>
                      <w:color w:val="auto"/>
                      <w:sz w:val="20"/>
                      <w:szCs w:val="20"/>
                      <w:highlight w:val="none"/>
                      <w:vertAlign w:val="baseline"/>
                      <w:lang w:val="en-US" w:eastAsia="zh-CN"/>
                    </w:rPr>
                    <w:t>55</w:t>
                  </w:r>
                </w:p>
              </w:tc>
              <w:tc>
                <w:tcPr>
                  <w:tcW w:w="570" w:type="dxa"/>
                  <w:tcBorders>
                    <w:tl2br w:val="nil"/>
                    <w:tr2bl w:val="nil"/>
                  </w:tcBorders>
                  <w:vAlign w:val="center"/>
                </w:tcPr>
                <w:p w14:paraId="740D1C86">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cs="Times New Roman"/>
                      <w:color w:val="auto"/>
                      <w:sz w:val="20"/>
                      <w:szCs w:val="20"/>
                      <w:highlight w:val="none"/>
                      <w:vertAlign w:val="baseline"/>
                      <w:lang w:val="en-US" w:eastAsia="zh-CN"/>
                    </w:rPr>
                  </w:pPr>
                  <w:r>
                    <w:rPr>
                      <w:rFonts w:hint="eastAsia" w:cs="Times New Roman"/>
                      <w:color w:val="auto"/>
                      <w:sz w:val="20"/>
                      <w:szCs w:val="20"/>
                      <w:highlight w:val="none"/>
                      <w:vertAlign w:val="baseline"/>
                      <w:lang w:val="en-US" w:eastAsia="zh-CN"/>
                    </w:rPr>
                    <w:t>45</w:t>
                  </w:r>
                </w:p>
              </w:tc>
              <w:tc>
                <w:tcPr>
                  <w:tcW w:w="570" w:type="dxa"/>
                  <w:tcBorders>
                    <w:tl2br w:val="nil"/>
                    <w:tr2bl w:val="nil"/>
                  </w:tcBorders>
                  <w:vAlign w:val="center"/>
                </w:tcPr>
                <w:p w14:paraId="78C28251">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cs="Times New Roman"/>
                      <w:color w:val="auto"/>
                      <w:sz w:val="20"/>
                      <w:szCs w:val="20"/>
                      <w:highlight w:val="none"/>
                      <w:vertAlign w:val="baseline"/>
                      <w:lang w:val="en-US" w:eastAsia="zh-CN"/>
                    </w:rPr>
                  </w:pPr>
                  <w:r>
                    <w:rPr>
                      <w:rFonts w:hint="eastAsia" w:cs="Times New Roman"/>
                      <w:color w:val="auto"/>
                      <w:sz w:val="20"/>
                      <w:szCs w:val="20"/>
                      <w:highlight w:val="none"/>
                      <w:vertAlign w:val="baseline"/>
                      <w:lang w:val="en-US" w:eastAsia="zh-CN"/>
                    </w:rPr>
                    <w:t>33.6</w:t>
                  </w:r>
                </w:p>
              </w:tc>
              <w:tc>
                <w:tcPr>
                  <w:tcW w:w="570" w:type="dxa"/>
                  <w:tcBorders>
                    <w:tl2br w:val="nil"/>
                    <w:tr2bl w:val="nil"/>
                  </w:tcBorders>
                  <w:vAlign w:val="center"/>
                </w:tcPr>
                <w:p w14:paraId="6E122C0C">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cs="Times New Roman"/>
                      <w:color w:val="auto"/>
                      <w:sz w:val="20"/>
                      <w:szCs w:val="20"/>
                      <w:highlight w:val="none"/>
                      <w:vertAlign w:val="baseline"/>
                      <w:lang w:val="en-US" w:eastAsia="zh-CN"/>
                    </w:rPr>
                  </w:pPr>
                  <w:r>
                    <w:rPr>
                      <w:rFonts w:hint="eastAsia" w:cs="Times New Roman"/>
                      <w:color w:val="auto"/>
                      <w:sz w:val="20"/>
                      <w:szCs w:val="20"/>
                      <w:highlight w:val="none"/>
                      <w:vertAlign w:val="baseline"/>
                      <w:lang w:val="en-US" w:eastAsia="zh-CN"/>
                    </w:rPr>
                    <w:t>0</w:t>
                  </w:r>
                </w:p>
              </w:tc>
              <w:tc>
                <w:tcPr>
                  <w:tcW w:w="570" w:type="dxa"/>
                  <w:tcBorders>
                    <w:tl2br w:val="nil"/>
                    <w:tr2bl w:val="nil"/>
                  </w:tcBorders>
                  <w:vAlign w:val="center"/>
                </w:tcPr>
                <w:p w14:paraId="7C4CCDC1">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eastAsia="宋体" w:cs="Times New Roman"/>
                      <w:color w:val="auto"/>
                      <w:kern w:val="2"/>
                      <w:sz w:val="20"/>
                      <w:szCs w:val="20"/>
                      <w:highlight w:val="none"/>
                      <w:vertAlign w:val="baseline"/>
                      <w:lang w:val="en-US" w:eastAsia="zh-CN" w:bidi="ar-SA"/>
                    </w:rPr>
                  </w:pPr>
                  <w:r>
                    <w:rPr>
                      <w:rFonts w:hint="eastAsia" w:cs="Times New Roman"/>
                      <w:color w:val="auto"/>
                      <w:kern w:val="2"/>
                      <w:sz w:val="20"/>
                      <w:szCs w:val="20"/>
                      <w:highlight w:val="none"/>
                      <w:vertAlign w:val="baseline"/>
                      <w:lang w:val="en-US" w:eastAsia="zh-CN" w:bidi="ar-SA"/>
                    </w:rPr>
                    <w:t>53.4</w:t>
                  </w:r>
                </w:p>
              </w:tc>
              <w:tc>
                <w:tcPr>
                  <w:tcW w:w="570" w:type="dxa"/>
                  <w:tcBorders>
                    <w:tl2br w:val="nil"/>
                    <w:tr2bl w:val="nil"/>
                  </w:tcBorders>
                  <w:vAlign w:val="center"/>
                </w:tcPr>
                <w:p w14:paraId="72BDD625">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eastAsia="宋体" w:cs="Times New Roman"/>
                      <w:color w:val="auto"/>
                      <w:kern w:val="2"/>
                      <w:sz w:val="20"/>
                      <w:szCs w:val="20"/>
                      <w:highlight w:val="none"/>
                      <w:vertAlign w:val="baseline"/>
                      <w:lang w:val="en-US" w:eastAsia="zh-CN" w:bidi="ar-SA"/>
                    </w:rPr>
                  </w:pPr>
                  <w:r>
                    <w:rPr>
                      <w:rFonts w:hint="eastAsia" w:cs="Times New Roman"/>
                      <w:color w:val="auto"/>
                      <w:kern w:val="2"/>
                      <w:sz w:val="20"/>
                      <w:szCs w:val="20"/>
                      <w:highlight w:val="none"/>
                      <w:vertAlign w:val="baseline"/>
                      <w:lang w:val="en-US" w:eastAsia="zh-CN" w:bidi="ar-SA"/>
                    </w:rPr>
                    <w:t>38.4</w:t>
                  </w:r>
                </w:p>
              </w:tc>
              <w:tc>
                <w:tcPr>
                  <w:tcW w:w="570" w:type="dxa"/>
                  <w:tcBorders>
                    <w:tl2br w:val="nil"/>
                    <w:tr2bl w:val="nil"/>
                  </w:tcBorders>
                  <w:vAlign w:val="center"/>
                </w:tcPr>
                <w:p w14:paraId="5FC9A949">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cs="Times New Roman"/>
                      <w:color w:val="auto"/>
                      <w:sz w:val="20"/>
                      <w:szCs w:val="20"/>
                      <w:highlight w:val="none"/>
                      <w:vertAlign w:val="baseline"/>
                      <w:lang w:val="en-US" w:eastAsia="zh-CN"/>
                    </w:rPr>
                  </w:pPr>
                  <w:r>
                    <w:rPr>
                      <w:rFonts w:hint="eastAsia" w:cs="Times New Roman"/>
                      <w:color w:val="auto"/>
                      <w:sz w:val="20"/>
                      <w:szCs w:val="20"/>
                      <w:highlight w:val="none"/>
                      <w:vertAlign w:val="baseline"/>
                      <w:lang w:val="en-US" w:eastAsia="zh-CN"/>
                    </w:rPr>
                    <w:t>2.4</w:t>
                  </w:r>
                </w:p>
              </w:tc>
              <w:tc>
                <w:tcPr>
                  <w:tcW w:w="570" w:type="dxa"/>
                  <w:tcBorders>
                    <w:tl2br w:val="nil"/>
                    <w:tr2bl w:val="nil"/>
                  </w:tcBorders>
                  <w:vAlign w:val="center"/>
                </w:tcPr>
                <w:p w14:paraId="67FB92AE">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cs="Times New Roman"/>
                      <w:color w:val="auto"/>
                      <w:sz w:val="20"/>
                      <w:szCs w:val="20"/>
                      <w:highlight w:val="none"/>
                      <w:vertAlign w:val="baseline"/>
                      <w:lang w:val="en-US" w:eastAsia="zh-CN"/>
                    </w:rPr>
                  </w:pPr>
                  <w:r>
                    <w:rPr>
                      <w:rFonts w:hint="eastAsia" w:cs="Times New Roman"/>
                      <w:color w:val="auto"/>
                      <w:sz w:val="20"/>
                      <w:szCs w:val="20"/>
                      <w:highlight w:val="none"/>
                      <w:vertAlign w:val="baseline"/>
                      <w:lang w:val="en-US" w:eastAsia="zh-CN"/>
                    </w:rPr>
                    <w:t>0</w:t>
                  </w:r>
                </w:p>
              </w:tc>
              <w:tc>
                <w:tcPr>
                  <w:tcW w:w="570" w:type="dxa"/>
                  <w:tcBorders>
                    <w:tl2br w:val="nil"/>
                    <w:tr2bl w:val="nil"/>
                  </w:tcBorders>
                  <w:vAlign w:val="center"/>
                </w:tcPr>
                <w:p w14:paraId="22858274">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cs="Times New Roman"/>
                      <w:color w:val="auto"/>
                      <w:sz w:val="20"/>
                      <w:szCs w:val="20"/>
                      <w:highlight w:val="none"/>
                      <w:vertAlign w:val="baseline"/>
                      <w:lang w:eastAsia="zh-CN"/>
                    </w:rPr>
                  </w:pPr>
                  <w:r>
                    <w:rPr>
                      <w:rFonts w:hint="eastAsia" w:cs="Times New Roman"/>
                      <w:color w:val="auto"/>
                      <w:sz w:val="20"/>
                      <w:szCs w:val="20"/>
                      <w:highlight w:val="none"/>
                      <w:vertAlign w:val="baseline"/>
                      <w:lang w:eastAsia="zh-CN"/>
                    </w:rPr>
                    <w:t>达标</w:t>
                  </w:r>
                </w:p>
              </w:tc>
              <w:tc>
                <w:tcPr>
                  <w:tcW w:w="570" w:type="dxa"/>
                  <w:tcBorders>
                    <w:tl2br w:val="nil"/>
                    <w:tr2bl w:val="nil"/>
                  </w:tcBorders>
                  <w:vAlign w:val="center"/>
                </w:tcPr>
                <w:p w14:paraId="70D5A945">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cs="Times New Roman"/>
                      <w:color w:val="auto"/>
                      <w:sz w:val="20"/>
                      <w:szCs w:val="20"/>
                      <w:highlight w:val="none"/>
                      <w:vertAlign w:val="baseline"/>
                      <w:lang w:eastAsia="zh-CN"/>
                    </w:rPr>
                  </w:pPr>
                  <w:r>
                    <w:rPr>
                      <w:rFonts w:hint="eastAsia" w:cs="Times New Roman"/>
                      <w:color w:val="auto"/>
                      <w:sz w:val="20"/>
                      <w:szCs w:val="20"/>
                      <w:highlight w:val="none"/>
                      <w:vertAlign w:val="baseline"/>
                      <w:lang w:eastAsia="zh-CN"/>
                    </w:rPr>
                    <w:t>达标</w:t>
                  </w:r>
                </w:p>
              </w:tc>
            </w:tr>
          </w:tbl>
          <w:p w14:paraId="6EF23A02">
            <w:pPr>
              <w:spacing w:line="360" w:lineRule="auto"/>
              <w:ind w:firstLine="480" w:firstLineChars="200"/>
              <w:rPr>
                <w:rFonts w:hint="eastAsia"/>
                <w:color w:val="auto"/>
                <w:sz w:val="24"/>
                <w:highlight w:val="none"/>
                <w:lang w:val="en-US" w:eastAsia="zh-CN" w:bidi="ar"/>
              </w:rPr>
            </w:pPr>
            <w:r>
              <w:rPr>
                <w:rFonts w:hint="default" w:ascii="Times New Roman" w:hAnsi="Times New Roman" w:cs="Times New Roman"/>
                <w:color w:val="auto"/>
                <w:sz w:val="24"/>
                <w:highlight w:val="none"/>
              </w:rPr>
              <w:t>由预测结果可知</w:t>
            </w:r>
            <w:r>
              <w:rPr>
                <w:rFonts w:hint="eastAsia" w:cs="Times New Roman"/>
                <w:color w:val="auto"/>
                <w:sz w:val="24"/>
                <w:highlight w:val="none"/>
                <w:lang w:eastAsia="zh-CN"/>
              </w:rPr>
              <w:t>，</w:t>
            </w:r>
            <w:r>
              <w:rPr>
                <w:color w:val="auto"/>
                <w:sz w:val="24"/>
              </w:rPr>
              <w:t>通过选用低噪声设备，采取基础减振、厂房隔声、距离衰减等综合降噪措施后，</w:t>
            </w:r>
            <w:r>
              <w:rPr>
                <w:rFonts w:hint="eastAsia"/>
                <w:color w:val="auto"/>
                <w:sz w:val="24"/>
              </w:rPr>
              <w:t>此项目夜间不生产，厂界四周</w:t>
            </w:r>
            <w:r>
              <w:rPr>
                <w:color w:val="auto"/>
                <w:sz w:val="24"/>
              </w:rPr>
              <w:t>噪声能够满足</w:t>
            </w:r>
            <w:r>
              <w:rPr>
                <w:rFonts w:hint="default" w:ascii="Times New Roman" w:hAnsi="Times New Roman" w:cs="Times New Roman" w:eastAsiaTheme="minorEastAsia"/>
                <w:color w:val="auto"/>
                <w:kern w:val="0"/>
                <w:sz w:val="24"/>
              </w:rPr>
              <w:t>《工业企业厂界环境噪声排放标准》（GB</w:t>
            </w:r>
            <w:r>
              <w:rPr>
                <w:rFonts w:hint="eastAsia" w:ascii="Times New Roman" w:hAnsi="Times New Roman" w:cs="Times New Roman" w:eastAsiaTheme="minorEastAsia"/>
                <w:color w:val="auto"/>
                <w:kern w:val="0"/>
                <w:sz w:val="24"/>
                <w:lang w:val="en-US" w:eastAsia="zh-CN"/>
              </w:rPr>
              <w:t xml:space="preserve"> </w:t>
            </w:r>
            <w:r>
              <w:rPr>
                <w:rFonts w:hint="default" w:ascii="Times New Roman" w:hAnsi="Times New Roman" w:cs="Times New Roman" w:eastAsiaTheme="minorEastAsia"/>
                <w:color w:val="auto"/>
                <w:kern w:val="0"/>
                <w:sz w:val="24"/>
              </w:rPr>
              <w:t>12348-2008）表1中</w:t>
            </w:r>
            <w:r>
              <w:rPr>
                <w:rFonts w:hint="eastAsia" w:cs="Times New Roman" w:eastAsiaTheme="minorEastAsia"/>
                <w:color w:val="auto"/>
                <w:kern w:val="0"/>
                <w:sz w:val="24"/>
                <w:lang w:val="en-US" w:eastAsia="zh-CN"/>
              </w:rPr>
              <w:t>1</w:t>
            </w:r>
            <w:r>
              <w:rPr>
                <w:rFonts w:hint="default" w:ascii="Times New Roman" w:hAnsi="Times New Roman" w:cs="Times New Roman" w:eastAsiaTheme="minorEastAsia"/>
                <w:color w:val="auto"/>
                <w:kern w:val="0"/>
                <w:sz w:val="24"/>
              </w:rPr>
              <w:t>类标准要求</w:t>
            </w:r>
            <w:r>
              <w:rPr>
                <w:rFonts w:hint="eastAsia"/>
                <w:color w:val="auto"/>
                <w:sz w:val="24"/>
                <w:lang w:eastAsia="zh-CN"/>
              </w:rPr>
              <w:t>，</w:t>
            </w:r>
            <w:r>
              <w:rPr>
                <w:rFonts w:hint="default" w:ascii="Times New Roman" w:hAnsi="Times New Roman" w:cs="Times New Roman"/>
                <w:color w:val="auto"/>
                <w:kern w:val="0"/>
                <w:sz w:val="24"/>
                <w:szCs w:val="24"/>
                <w:highlight w:val="none"/>
                <w:lang w:eastAsia="zh-CN"/>
              </w:rPr>
              <w:t>项目敏感目标处满足《声环境质量标准》</w:t>
            </w:r>
            <w:r>
              <w:rPr>
                <w:rFonts w:hint="eastAsia"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eastAsia="zh-CN"/>
              </w:rPr>
              <w:t>GB</w:t>
            </w:r>
            <w:r>
              <w:rPr>
                <w:rFonts w:hint="eastAsia" w:ascii="Times New Roman" w:hAnsi="Times New Roman" w:cs="Times New Roman"/>
                <w:color w:val="auto"/>
                <w:kern w:val="0"/>
                <w:sz w:val="24"/>
                <w:szCs w:val="24"/>
                <w:highlight w:val="none"/>
                <w:lang w:val="en-US" w:eastAsia="zh-CN"/>
              </w:rPr>
              <w:t xml:space="preserve"> </w:t>
            </w:r>
            <w:r>
              <w:rPr>
                <w:rFonts w:hint="default" w:ascii="Times New Roman" w:hAnsi="Times New Roman" w:cs="Times New Roman"/>
                <w:color w:val="auto"/>
                <w:kern w:val="0"/>
                <w:sz w:val="24"/>
                <w:szCs w:val="24"/>
                <w:highlight w:val="none"/>
                <w:lang w:eastAsia="zh-CN"/>
              </w:rPr>
              <w:t>3096-2008</w:t>
            </w:r>
            <w:r>
              <w:rPr>
                <w:rFonts w:hint="eastAsia" w:cs="Times New Roman"/>
                <w:color w:val="auto"/>
                <w:kern w:val="0"/>
                <w:sz w:val="24"/>
                <w:szCs w:val="24"/>
                <w:highlight w:val="none"/>
                <w:lang w:eastAsia="zh-CN"/>
              </w:rPr>
              <w:t>）</w:t>
            </w:r>
            <w:r>
              <w:rPr>
                <w:rFonts w:hint="eastAsia" w:cs="Times New Roman"/>
                <w:color w:val="auto"/>
                <w:kern w:val="0"/>
                <w:sz w:val="24"/>
                <w:szCs w:val="24"/>
                <w:highlight w:val="none"/>
                <w:lang w:val="en-US" w:eastAsia="zh-CN"/>
              </w:rPr>
              <w:t>1</w:t>
            </w:r>
            <w:r>
              <w:rPr>
                <w:rFonts w:hint="default" w:ascii="Times New Roman" w:hAnsi="Times New Roman" w:cs="Times New Roman"/>
                <w:color w:val="auto"/>
                <w:kern w:val="0"/>
                <w:sz w:val="24"/>
                <w:szCs w:val="24"/>
                <w:highlight w:val="none"/>
                <w:lang w:eastAsia="zh-CN"/>
              </w:rPr>
              <w:t>类标准限值的要求</w:t>
            </w:r>
            <w:r>
              <w:rPr>
                <w:rFonts w:hint="default" w:ascii="Times New Roman" w:hAnsi="Times New Roman" w:cs="Times New Roman" w:eastAsiaTheme="minorEastAsia"/>
                <w:color w:val="auto"/>
                <w:kern w:val="0"/>
                <w:sz w:val="24"/>
                <w:lang w:val="en-US" w:eastAsia="zh-CN"/>
              </w:rPr>
              <w:t>。</w:t>
            </w:r>
            <w:r>
              <w:rPr>
                <w:color w:val="auto"/>
                <w:sz w:val="24"/>
              </w:rPr>
              <w:t>项目运营对周围环境噪声影响较小。</w:t>
            </w:r>
          </w:p>
          <w:p w14:paraId="1110C139">
            <w:pPr>
              <w:keepNext w:val="0"/>
              <w:keepLines w:val="0"/>
              <w:pageBreakBefore w:val="0"/>
              <w:suppressLineNumbers w:val="0"/>
              <w:wordWrap/>
              <w:bidi w:val="0"/>
              <w:spacing w:before="0" w:beforeAutospacing="0" w:after="0" w:afterAutospacing="0" w:line="360" w:lineRule="auto"/>
              <w:ind w:left="0" w:leftChars="0" w:right="0" w:firstLine="480" w:firstLineChars="200"/>
              <w:rPr>
                <w:rFonts w:hint="default" w:ascii="Times New Roman" w:hAnsi="Times New Roman" w:eastAsia="宋体"/>
                <w:color w:val="auto"/>
                <w:sz w:val="24"/>
                <w:highlight w:val="none"/>
              </w:rPr>
            </w:pPr>
            <w:r>
              <w:rPr>
                <w:rFonts w:hint="eastAsia"/>
                <w:color w:val="auto"/>
                <w:sz w:val="24"/>
                <w:highlight w:val="none"/>
                <w:lang w:val="en-US" w:eastAsia="zh-CN" w:bidi="ar"/>
              </w:rPr>
              <w:t>3、</w:t>
            </w:r>
            <w:r>
              <w:rPr>
                <w:rFonts w:hint="eastAsia" w:ascii="Times New Roman" w:hAnsi="Times New Roman" w:eastAsia="宋体"/>
                <w:color w:val="auto"/>
                <w:sz w:val="24"/>
                <w:highlight w:val="none"/>
                <w:lang w:bidi="ar"/>
              </w:rPr>
              <w:t>污染防治措施及环境影响分析</w:t>
            </w:r>
          </w:p>
          <w:p w14:paraId="1776E180">
            <w:pPr>
              <w:keepNext w:val="0"/>
              <w:keepLines w:val="0"/>
              <w:pageBreakBefore w:val="0"/>
              <w:suppressLineNumbers w:val="0"/>
              <w:wordWrap/>
              <w:bidi w:val="0"/>
              <w:spacing w:before="0" w:beforeAutospacing="0" w:after="0" w:afterAutospacing="0" w:line="360" w:lineRule="auto"/>
              <w:ind w:left="0" w:leftChars="0" w:right="0" w:firstLine="48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rPr>
              <w:t>根据预测结果，本项目选用低噪声设备，厂房封闭、加装减振、安装消声器等措施，优化厂区布置，采取降噪措施后本项目厂界</w:t>
            </w:r>
            <w:r>
              <w:rPr>
                <w:rFonts w:hint="eastAsia" w:cs="Times New Roman"/>
                <w:bCs/>
                <w:color w:val="auto"/>
                <w:sz w:val="24"/>
                <w:highlight w:val="none"/>
                <w:lang w:val="en-US" w:eastAsia="zh-CN"/>
              </w:rPr>
              <w:t>四周</w:t>
            </w:r>
            <w:r>
              <w:rPr>
                <w:rFonts w:hint="default" w:ascii="Times New Roman" w:hAnsi="Times New Roman" w:eastAsia="宋体" w:cs="Times New Roman"/>
                <w:bCs/>
                <w:color w:val="auto"/>
                <w:sz w:val="24"/>
                <w:highlight w:val="none"/>
              </w:rPr>
              <w:t>噪声</w:t>
            </w:r>
            <w:r>
              <w:rPr>
                <w:rFonts w:hint="eastAsia" w:cs="Times New Roman"/>
                <w:bCs/>
                <w:color w:val="auto"/>
                <w:sz w:val="24"/>
                <w:highlight w:val="none"/>
                <w:lang w:val="en-US" w:eastAsia="zh-CN"/>
              </w:rPr>
              <w:t>满足</w:t>
            </w:r>
            <w:r>
              <w:rPr>
                <w:rFonts w:hint="default" w:ascii="Times New Roman" w:hAnsi="Times New Roman" w:eastAsia="宋体" w:cs="Times New Roman"/>
                <w:bCs/>
                <w:color w:val="auto"/>
                <w:sz w:val="24"/>
                <w:highlight w:val="none"/>
              </w:rPr>
              <w:t>《工业企业厂界环境噪声排放标准》（GB12348-2008）表1中</w:t>
            </w:r>
            <w:r>
              <w:rPr>
                <w:rFonts w:hint="eastAsia" w:cs="Times New Roman"/>
                <w:bCs/>
                <w:color w:val="auto"/>
                <w:sz w:val="24"/>
                <w:highlight w:val="none"/>
                <w:lang w:val="en-US" w:eastAsia="zh-CN"/>
              </w:rPr>
              <w:t>1</w:t>
            </w:r>
            <w:r>
              <w:rPr>
                <w:rFonts w:hint="default" w:ascii="Times New Roman" w:hAnsi="Times New Roman" w:eastAsia="宋体" w:cs="Times New Roman"/>
                <w:bCs/>
                <w:color w:val="auto"/>
                <w:sz w:val="24"/>
                <w:highlight w:val="none"/>
              </w:rPr>
              <w:t>类标准。</w:t>
            </w:r>
            <w:r>
              <w:rPr>
                <w:rFonts w:hint="default" w:ascii="Times New Roman" w:hAnsi="Times New Roman" w:cs="Times New Roman"/>
                <w:color w:val="auto"/>
                <w:kern w:val="0"/>
                <w:sz w:val="24"/>
                <w:szCs w:val="24"/>
                <w:highlight w:val="none"/>
                <w:lang w:eastAsia="zh-CN"/>
              </w:rPr>
              <w:t>项目敏感目标处满足《声环境质量标准》</w:t>
            </w:r>
            <w:r>
              <w:rPr>
                <w:rFonts w:hint="eastAsia"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eastAsia="zh-CN"/>
              </w:rPr>
              <w:t>GB</w:t>
            </w:r>
            <w:r>
              <w:rPr>
                <w:rFonts w:hint="eastAsia" w:ascii="Times New Roman" w:hAnsi="Times New Roman" w:cs="Times New Roman"/>
                <w:color w:val="auto"/>
                <w:kern w:val="0"/>
                <w:sz w:val="24"/>
                <w:szCs w:val="24"/>
                <w:highlight w:val="none"/>
                <w:lang w:val="en-US" w:eastAsia="zh-CN"/>
              </w:rPr>
              <w:t xml:space="preserve"> </w:t>
            </w:r>
            <w:r>
              <w:rPr>
                <w:rFonts w:hint="default" w:ascii="Times New Roman" w:hAnsi="Times New Roman" w:cs="Times New Roman"/>
                <w:color w:val="auto"/>
                <w:kern w:val="0"/>
                <w:sz w:val="24"/>
                <w:szCs w:val="24"/>
                <w:highlight w:val="none"/>
                <w:lang w:eastAsia="zh-CN"/>
              </w:rPr>
              <w:t>3096-2008</w:t>
            </w:r>
            <w:r>
              <w:rPr>
                <w:rFonts w:hint="eastAsia" w:cs="Times New Roman"/>
                <w:color w:val="auto"/>
                <w:kern w:val="0"/>
                <w:sz w:val="24"/>
                <w:szCs w:val="24"/>
                <w:highlight w:val="none"/>
                <w:lang w:eastAsia="zh-CN"/>
              </w:rPr>
              <w:t>）</w:t>
            </w:r>
            <w:r>
              <w:rPr>
                <w:rFonts w:hint="eastAsia" w:cs="Times New Roman"/>
                <w:color w:val="auto"/>
                <w:kern w:val="0"/>
                <w:sz w:val="24"/>
                <w:szCs w:val="24"/>
                <w:highlight w:val="none"/>
                <w:lang w:val="en-US" w:eastAsia="zh-CN"/>
              </w:rPr>
              <w:t>1</w:t>
            </w:r>
            <w:r>
              <w:rPr>
                <w:rFonts w:hint="default" w:ascii="Times New Roman" w:hAnsi="Times New Roman" w:cs="Times New Roman"/>
                <w:color w:val="auto"/>
                <w:kern w:val="0"/>
                <w:sz w:val="24"/>
                <w:szCs w:val="24"/>
                <w:highlight w:val="none"/>
                <w:lang w:eastAsia="zh-CN"/>
              </w:rPr>
              <w:t>类标准限值的要求</w:t>
            </w:r>
            <w:r>
              <w:rPr>
                <w:rFonts w:hint="eastAsia" w:ascii="Times New Roman" w:hAnsi="Times New Roman" w:cs="Times New Roman"/>
                <w:color w:val="auto"/>
                <w:kern w:val="0"/>
                <w:sz w:val="24"/>
                <w:szCs w:val="24"/>
                <w:highlight w:val="none"/>
                <w:lang w:eastAsia="zh-CN"/>
              </w:rPr>
              <w:t>。</w:t>
            </w:r>
            <w:r>
              <w:rPr>
                <w:rFonts w:hint="default" w:ascii="Times New Roman" w:hAnsi="Times New Roman" w:eastAsia="宋体" w:cs="Times New Roman"/>
                <w:bCs/>
                <w:color w:val="auto"/>
                <w:sz w:val="24"/>
                <w:highlight w:val="none"/>
              </w:rPr>
              <w:t>采取措施后本项目噪声对周围声环境造成的不利影响较小，可被环境接受。</w:t>
            </w:r>
          </w:p>
          <w:p w14:paraId="33D202E9">
            <w:pPr>
              <w:keepNext w:val="0"/>
              <w:keepLines w:val="0"/>
              <w:pageBreakBefore w:val="0"/>
              <w:suppressLineNumbers w:val="0"/>
              <w:wordWrap/>
              <w:bidi w:val="0"/>
              <w:spacing w:before="0" w:beforeAutospacing="0" w:after="0" w:afterAutospacing="0" w:line="360" w:lineRule="auto"/>
              <w:ind w:left="0" w:leftChars="0" w:right="0" w:firstLine="480" w:firstLineChars="200"/>
              <w:rPr>
                <w:rFonts w:hint="default" w:ascii="Times New Roman" w:hAnsi="Times New Roman" w:eastAsia="宋体" w:cs="Times New Roman"/>
                <w:color w:val="auto"/>
                <w:sz w:val="24"/>
                <w:highlight w:val="none"/>
                <w:lang w:val="en-US" w:eastAsia="zh-CN" w:bidi="ar"/>
              </w:rPr>
            </w:pPr>
            <w:r>
              <w:rPr>
                <w:rFonts w:hint="default" w:ascii="Times New Roman" w:hAnsi="Times New Roman" w:eastAsia="宋体" w:cs="Times New Roman"/>
                <w:color w:val="auto"/>
                <w:sz w:val="24"/>
                <w:highlight w:val="none"/>
                <w:lang w:val="en-US" w:eastAsia="zh-CN" w:bidi="ar"/>
              </w:rPr>
              <w:t>针对本项目噪声源的特点，本次评价提出以下措施：</w:t>
            </w:r>
          </w:p>
          <w:p w14:paraId="12C3D1D8">
            <w:pPr>
              <w:keepNext w:val="0"/>
              <w:keepLines w:val="0"/>
              <w:pageBreakBefore w:val="0"/>
              <w:suppressLineNumbers w:val="0"/>
              <w:wordWrap/>
              <w:bidi w:val="0"/>
              <w:spacing w:before="0" w:beforeAutospacing="0" w:after="0" w:afterAutospacing="0" w:line="360" w:lineRule="auto"/>
              <w:ind w:left="0" w:leftChars="0" w:right="0" w:firstLine="480" w:firstLineChars="200"/>
              <w:rPr>
                <w:rFonts w:hint="eastAsia" w:ascii="Times New Roman" w:hAnsi="Times New Roman" w:eastAsia="宋体" w:cs="Times New Roman"/>
                <w:color w:val="auto"/>
                <w:sz w:val="24"/>
                <w:highlight w:val="none"/>
                <w:lang w:val="en-US" w:eastAsia="zh-CN" w:bidi="ar"/>
              </w:rPr>
            </w:pPr>
            <w:r>
              <w:rPr>
                <w:rFonts w:hint="eastAsia" w:ascii="Times New Roman" w:hAnsi="Times New Roman" w:eastAsia="宋体" w:cs="Times New Roman"/>
                <w:color w:val="auto"/>
                <w:sz w:val="24"/>
                <w:highlight w:val="none"/>
                <w:lang w:val="en-US" w:eastAsia="zh-CN" w:bidi="ar"/>
              </w:rPr>
              <w:t>①合理布局，将高噪声源尽量布置远离厂界和噪声敏感点。</w:t>
            </w:r>
          </w:p>
          <w:p w14:paraId="30538BB6">
            <w:pPr>
              <w:keepNext w:val="0"/>
              <w:keepLines w:val="0"/>
              <w:pageBreakBefore w:val="0"/>
              <w:suppressLineNumbers w:val="0"/>
              <w:wordWrap/>
              <w:bidi w:val="0"/>
              <w:spacing w:before="0" w:beforeAutospacing="0" w:after="0" w:afterAutospacing="0" w:line="360" w:lineRule="auto"/>
              <w:ind w:left="0" w:leftChars="0" w:right="0" w:firstLine="480" w:firstLineChars="200"/>
              <w:rPr>
                <w:rFonts w:hint="eastAsia" w:ascii="Times New Roman" w:hAnsi="Times New Roman" w:eastAsia="宋体" w:cs="Times New Roman"/>
                <w:color w:val="auto"/>
                <w:sz w:val="24"/>
                <w:highlight w:val="none"/>
                <w:lang w:val="en-US" w:eastAsia="zh-CN" w:bidi="ar"/>
              </w:rPr>
            </w:pPr>
            <w:r>
              <w:rPr>
                <w:rFonts w:hint="eastAsia" w:ascii="Times New Roman" w:hAnsi="Times New Roman" w:eastAsia="宋体" w:cs="Times New Roman"/>
                <w:color w:val="auto"/>
                <w:sz w:val="24"/>
                <w:highlight w:val="none"/>
                <w:lang w:val="en-US" w:eastAsia="zh-CN" w:bidi="ar"/>
              </w:rPr>
              <w:t>②生产设备已选取新型低噪声设备，定期进行维修，防止机械摩擦造成噪声污染。</w:t>
            </w:r>
          </w:p>
          <w:p w14:paraId="52A63C8B">
            <w:pPr>
              <w:keepNext w:val="0"/>
              <w:keepLines w:val="0"/>
              <w:pageBreakBefore w:val="0"/>
              <w:suppressLineNumbers w:val="0"/>
              <w:wordWrap/>
              <w:bidi w:val="0"/>
              <w:spacing w:before="0" w:beforeAutospacing="0" w:after="0" w:afterAutospacing="0" w:line="360" w:lineRule="auto"/>
              <w:ind w:left="0" w:leftChars="0" w:right="0" w:firstLine="480" w:firstLineChars="200"/>
              <w:rPr>
                <w:rFonts w:hint="eastAsia" w:ascii="Times New Roman" w:hAnsi="Times New Roman" w:eastAsia="宋体" w:cs="Times New Roman"/>
                <w:color w:val="auto"/>
                <w:sz w:val="24"/>
                <w:highlight w:val="none"/>
                <w:lang w:val="en-US" w:eastAsia="zh-CN" w:bidi="ar"/>
              </w:rPr>
            </w:pPr>
            <w:r>
              <w:rPr>
                <w:rFonts w:hint="eastAsia" w:ascii="Times New Roman" w:hAnsi="Times New Roman" w:eastAsia="宋体" w:cs="Times New Roman"/>
                <w:color w:val="auto"/>
                <w:sz w:val="24"/>
                <w:highlight w:val="none"/>
                <w:lang w:val="en-US" w:eastAsia="zh-CN" w:bidi="ar"/>
              </w:rPr>
              <w:t>③加强对各类噪声源的控制和管理，对于高噪设备进行隔声、减振、消声等降噪措施处理，减少噪声污染。选用低噪声设备、高噪声设备基础减振、车间门窗封闭、墙面进行吸声处理等措施。</w:t>
            </w:r>
          </w:p>
          <w:p w14:paraId="40D48BFD">
            <w:pPr>
              <w:keepNext w:val="0"/>
              <w:keepLines w:val="0"/>
              <w:pageBreakBefore w:val="0"/>
              <w:suppressLineNumbers w:val="0"/>
              <w:wordWrap/>
              <w:bidi w:val="0"/>
              <w:spacing w:before="0" w:beforeAutospacing="0" w:after="0" w:afterAutospacing="0" w:line="360" w:lineRule="auto"/>
              <w:ind w:left="0" w:leftChars="0" w:right="0" w:firstLine="480" w:firstLineChars="200"/>
              <w:rPr>
                <w:rFonts w:hint="eastAsia" w:ascii="Times New Roman" w:hAnsi="Times New Roman" w:eastAsia="宋体" w:cs="Times New Roman"/>
                <w:color w:val="auto"/>
                <w:sz w:val="24"/>
                <w:highlight w:val="none"/>
                <w:lang w:val="en-US" w:eastAsia="zh-CN" w:bidi="ar"/>
              </w:rPr>
            </w:pPr>
            <w:r>
              <w:rPr>
                <w:rFonts w:hint="eastAsia" w:ascii="Times New Roman" w:hAnsi="Times New Roman" w:eastAsia="宋体" w:cs="Times New Roman"/>
                <w:color w:val="auto"/>
                <w:sz w:val="24"/>
                <w:highlight w:val="none"/>
                <w:lang w:val="en-US" w:eastAsia="zh-CN" w:bidi="ar"/>
              </w:rPr>
              <w:t>降噪措施可行性：</w:t>
            </w:r>
          </w:p>
          <w:p w14:paraId="0262E233">
            <w:pPr>
              <w:keepNext w:val="0"/>
              <w:keepLines w:val="0"/>
              <w:pageBreakBefore w:val="0"/>
              <w:suppressLineNumbers w:val="0"/>
              <w:wordWrap/>
              <w:bidi w:val="0"/>
              <w:spacing w:before="0" w:beforeAutospacing="0" w:after="0" w:afterAutospacing="0" w:line="360" w:lineRule="auto"/>
              <w:ind w:left="0" w:leftChars="0" w:right="0" w:firstLine="480" w:firstLineChars="200"/>
              <w:rPr>
                <w:rFonts w:hint="eastAsia" w:ascii="Times New Roman" w:hAnsi="Times New Roman" w:eastAsia="宋体" w:cs="Times New Roman"/>
                <w:color w:val="auto"/>
                <w:sz w:val="24"/>
                <w:highlight w:val="none"/>
                <w:lang w:val="en-US" w:eastAsia="zh-CN" w:bidi="ar"/>
              </w:rPr>
            </w:pPr>
            <w:r>
              <w:rPr>
                <w:rFonts w:hint="eastAsia" w:ascii="Times New Roman" w:hAnsi="Times New Roman" w:eastAsia="宋体" w:cs="Times New Roman"/>
                <w:color w:val="auto"/>
                <w:sz w:val="24"/>
                <w:highlight w:val="none"/>
                <w:lang w:val="en-US" w:eastAsia="zh-CN" w:bidi="ar"/>
              </w:rPr>
              <w:t>（1）减振隔声技术</w:t>
            </w:r>
          </w:p>
          <w:p w14:paraId="5FC60A5D">
            <w:pPr>
              <w:keepNext w:val="0"/>
              <w:keepLines w:val="0"/>
              <w:pageBreakBefore w:val="0"/>
              <w:suppressLineNumbers w:val="0"/>
              <w:wordWrap/>
              <w:bidi w:val="0"/>
              <w:spacing w:before="0" w:beforeAutospacing="0" w:after="0" w:afterAutospacing="0" w:line="360" w:lineRule="auto"/>
              <w:ind w:left="0" w:leftChars="0" w:right="0" w:firstLine="480" w:firstLineChars="200"/>
              <w:rPr>
                <w:rFonts w:hint="eastAsia" w:ascii="Times New Roman" w:hAnsi="Times New Roman" w:eastAsia="宋体" w:cs="Times New Roman"/>
                <w:color w:val="auto"/>
                <w:sz w:val="24"/>
                <w:highlight w:val="none"/>
                <w:lang w:val="en-US" w:eastAsia="zh-CN" w:bidi="ar"/>
              </w:rPr>
            </w:pPr>
            <w:r>
              <w:rPr>
                <w:rFonts w:hint="eastAsia" w:ascii="Times New Roman" w:hAnsi="Times New Roman" w:eastAsia="宋体" w:cs="Times New Roman"/>
                <w:color w:val="auto"/>
                <w:sz w:val="24"/>
                <w:highlight w:val="none"/>
                <w:lang w:val="en-US" w:eastAsia="zh-CN" w:bidi="ar"/>
              </w:rPr>
              <w:t>声音传播是能量通过振动波方式辐射传播的，在传播途径上安装弹性材料或阻尼材料，隔绝或衰减振动的传播，就可以实现减振降噪的目的。可用的减振措施主要有隔震减震和阻尼减震，在设备安装时采用橡胶减振垫或弹簧减震，可以有效减少声能的传播，从而起到降噪的效果。</w:t>
            </w:r>
          </w:p>
          <w:p w14:paraId="2DC334EB">
            <w:pPr>
              <w:keepNext w:val="0"/>
              <w:keepLines w:val="0"/>
              <w:pageBreakBefore w:val="0"/>
              <w:suppressLineNumbers w:val="0"/>
              <w:wordWrap/>
              <w:bidi w:val="0"/>
              <w:spacing w:before="0" w:beforeAutospacing="0" w:after="0" w:afterAutospacing="0" w:line="360" w:lineRule="auto"/>
              <w:ind w:left="0" w:leftChars="0" w:right="0" w:firstLine="480" w:firstLineChars="200"/>
              <w:rPr>
                <w:rFonts w:hint="eastAsia" w:ascii="Times New Roman" w:hAnsi="Times New Roman" w:eastAsia="宋体" w:cs="Times New Roman"/>
                <w:color w:val="auto"/>
                <w:sz w:val="24"/>
                <w:highlight w:val="none"/>
                <w:lang w:val="en-US" w:eastAsia="zh-CN" w:bidi="ar"/>
              </w:rPr>
            </w:pPr>
            <w:r>
              <w:rPr>
                <w:rFonts w:hint="eastAsia" w:ascii="Times New Roman" w:hAnsi="Times New Roman" w:eastAsia="宋体" w:cs="Times New Roman"/>
                <w:color w:val="auto"/>
                <w:sz w:val="24"/>
                <w:highlight w:val="none"/>
                <w:lang w:val="en-US" w:eastAsia="zh-CN" w:bidi="ar"/>
              </w:rPr>
              <w:t>（2）隔声降噪技术</w:t>
            </w:r>
          </w:p>
          <w:p w14:paraId="5FA54D60">
            <w:pPr>
              <w:keepNext w:val="0"/>
              <w:keepLines w:val="0"/>
              <w:pageBreakBefore w:val="0"/>
              <w:suppressLineNumbers w:val="0"/>
              <w:wordWrap/>
              <w:bidi w:val="0"/>
              <w:spacing w:before="0" w:beforeAutospacing="0" w:after="0" w:afterAutospacing="0" w:line="360" w:lineRule="auto"/>
              <w:ind w:left="0" w:leftChars="0" w:right="0" w:firstLine="480" w:firstLineChars="200"/>
              <w:rPr>
                <w:rFonts w:hint="eastAsia" w:ascii="Times New Roman" w:hAnsi="Times New Roman" w:eastAsia="宋体" w:cs="Times New Roman"/>
                <w:color w:val="auto"/>
                <w:sz w:val="24"/>
                <w:highlight w:val="none"/>
                <w:lang w:val="en-US" w:eastAsia="zh-CN" w:bidi="ar"/>
              </w:rPr>
            </w:pPr>
            <w:r>
              <w:rPr>
                <w:rFonts w:hint="eastAsia" w:ascii="Times New Roman" w:hAnsi="Times New Roman" w:eastAsia="宋体" w:cs="Times New Roman"/>
                <w:color w:val="auto"/>
                <w:sz w:val="24"/>
                <w:highlight w:val="none"/>
                <w:lang w:val="en-US" w:eastAsia="zh-CN" w:bidi="ar"/>
              </w:rPr>
              <w:t>声波在通过空气的传播途径中，碰到一匀质屏蔽物时，由于两分界面特性阻抗的改变，使部分声能被屏蔽物发射回去，从而降低噪声的传播。隔声是用构件将噪声源接收者分开，使声能在传播途径中受到阻挡，从而降低或消除噪声的措施，称为隔声。</w:t>
            </w:r>
          </w:p>
          <w:p w14:paraId="1CFA4941">
            <w:pPr>
              <w:keepNext w:val="0"/>
              <w:keepLines w:val="0"/>
              <w:pageBreakBefore w:val="0"/>
              <w:suppressLineNumbers w:val="0"/>
              <w:wordWrap/>
              <w:bidi w:val="0"/>
              <w:spacing w:before="0" w:beforeAutospacing="0" w:after="0" w:afterAutospacing="0" w:line="360" w:lineRule="auto"/>
              <w:ind w:left="0" w:leftChars="0" w:right="0" w:firstLine="480" w:firstLineChars="200"/>
              <w:rPr>
                <w:rFonts w:hint="eastAsia" w:ascii="Times New Roman" w:hAnsi="Times New Roman" w:eastAsia="宋体" w:cs="Times New Roman"/>
                <w:color w:val="auto"/>
                <w:sz w:val="24"/>
                <w:highlight w:val="none"/>
                <w:lang w:val="en-US" w:eastAsia="zh-CN" w:bidi="ar"/>
              </w:rPr>
            </w:pPr>
            <w:r>
              <w:rPr>
                <w:rFonts w:hint="eastAsia" w:ascii="Times New Roman" w:hAnsi="Times New Roman" w:eastAsia="宋体" w:cs="Times New Roman"/>
                <w:color w:val="auto"/>
                <w:sz w:val="24"/>
                <w:highlight w:val="none"/>
                <w:lang w:val="en-US" w:eastAsia="zh-CN" w:bidi="ar"/>
              </w:rPr>
              <w:t>这些隔声措施包括：隔声墙、隔声窗、隔声罩、隔声屏障等，不同的隔声措施可以降噪20~50dB(A)。本项目针对不同的设备采用不同的隔声措施，主要有隔声间、隔声窗、隔声罩等，降噪效果在20dB(A）以上。</w:t>
            </w:r>
          </w:p>
          <w:p w14:paraId="714E5BF7">
            <w:pPr>
              <w:keepNext w:val="0"/>
              <w:keepLines w:val="0"/>
              <w:pageBreakBefore w:val="0"/>
              <w:suppressLineNumbers w:val="0"/>
              <w:wordWrap/>
              <w:bidi w:val="0"/>
              <w:spacing w:before="0" w:beforeAutospacing="0" w:after="0" w:afterAutospacing="0" w:line="360" w:lineRule="auto"/>
              <w:ind w:left="0" w:leftChars="0" w:right="0" w:firstLine="480" w:firstLineChars="200"/>
              <w:rPr>
                <w:rFonts w:hint="default" w:ascii="Times New Roman" w:hAnsi="Times New Roman" w:eastAsia="宋体" w:cs="Times New Roman"/>
                <w:color w:val="auto"/>
                <w:sz w:val="24"/>
                <w:highlight w:val="none"/>
                <w:lang w:val="en-US" w:eastAsia="zh-CN" w:bidi="ar"/>
              </w:rPr>
            </w:pPr>
            <w:r>
              <w:rPr>
                <w:rFonts w:hint="eastAsia" w:ascii="Times New Roman" w:hAnsi="Times New Roman" w:eastAsia="宋体" w:cs="Times New Roman"/>
                <w:color w:val="auto"/>
                <w:sz w:val="24"/>
                <w:highlight w:val="none"/>
                <w:lang w:val="en-US" w:eastAsia="zh-CN" w:bidi="ar"/>
              </w:rPr>
              <w:t>通过上述相应减振、隔声、降噪和设备合理布局等措施，再经墙体隔声以及距离衰减后，厂界噪声值符合《工业企业厂界环境噪声排放标准》（GB12348-2008）中的</w:t>
            </w:r>
            <w:r>
              <w:rPr>
                <w:rFonts w:hint="eastAsia" w:cs="Times New Roman"/>
                <w:color w:val="auto"/>
                <w:sz w:val="24"/>
                <w:highlight w:val="none"/>
                <w:lang w:val="en-US" w:eastAsia="zh-CN" w:bidi="ar"/>
              </w:rPr>
              <w:t>1</w:t>
            </w:r>
            <w:r>
              <w:rPr>
                <w:rFonts w:hint="eastAsia" w:ascii="Times New Roman" w:hAnsi="Times New Roman" w:eastAsia="宋体" w:cs="Times New Roman"/>
                <w:color w:val="auto"/>
                <w:sz w:val="24"/>
                <w:highlight w:val="none"/>
                <w:lang w:val="en-US" w:eastAsia="zh-CN" w:bidi="ar"/>
              </w:rPr>
              <w:t>类标准。</w:t>
            </w:r>
            <w:r>
              <w:rPr>
                <w:rFonts w:hint="default" w:ascii="Times New Roman" w:hAnsi="Times New Roman" w:eastAsia="宋体" w:cs="Times New Roman"/>
                <w:color w:val="auto"/>
                <w:sz w:val="24"/>
                <w:highlight w:val="none"/>
                <w:lang w:val="en-US" w:eastAsia="zh-CN" w:bidi="ar"/>
              </w:rPr>
              <w:t>项目敏感目标处满足《声环境质量标准》</w:t>
            </w:r>
            <w:r>
              <w:rPr>
                <w:rFonts w:hint="eastAsia" w:ascii="Times New Roman" w:hAnsi="Times New Roman" w:eastAsia="宋体" w:cs="Times New Roman"/>
                <w:color w:val="auto"/>
                <w:sz w:val="24"/>
                <w:highlight w:val="none"/>
                <w:lang w:val="en-US" w:eastAsia="zh-CN" w:bidi="ar"/>
              </w:rPr>
              <w:t>（</w:t>
            </w:r>
            <w:r>
              <w:rPr>
                <w:rFonts w:hint="default" w:ascii="Times New Roman" w:hAnsi="Times New Roman" w:eastAsia="宋体" w:cs="Times New Roman"/>
                <w:color w:val="auto"/>
                <w:sz w:val="24"/>
                <w:highlight w:val="none"/>
                <w:lang w:val="en-US" w:eastAsia="zh-CN" w:bidi="ar"/>
              </w:rPr>
              <w:t>GB</w:t>
            </w:r>
            <w:r>
              <w:rPr>
                <w:rFonts w:hint="eastAsia" w:ascii="Times New Roman" w:hAnsi="Times New Roman" w:eastAsia="宋体" w:cs="Times New Roman"/>
                <w:color w:val="auto"/>
                <w:sz w:val="24"/>
                <w:highlight w:val="none"/>
                <w:lang w:val="en-US" w:eastAsia="zh-CN" w:bidi="ar"/>
              </w:rPr>
              <w:t xml:space="preserve"> </w:t>
            </w:r>
            <w:r>
              <w:rPr>
                <w:rFonts w:hint="default" w:ascii="Times New Roman" w:hAnsi="Times New Roman" w:eastAsia="宋体" w:cs="Times New Roman"/>
                <w:color w:val="auto"/>
                <w:sz w:val="24"/>
                <w:highlight w:val="none"/>
                <w:lang w:val="en-US" w:eastAsia="zh-CN" w:bidi="ar"/>
              </w:rPr>
              <w:t>3096-2008</w:t>
            </w:r>
            <w:r>
              <w:rPr>
                <w:rFonts w:hint="eastAsia" w:ascii="Times New Roman" w:hAnsi="Times New Roman" w:eastAsia="宋体" w:cs="Times New Roman"/>
                <w:color w:val="auto"/>
                <w:sz w:val="24"/>
                <w:highlight w:val="none"/>
                <w:lang w:val="en-US" w:eastAsia="zh-CN" w:bidi="ar"/>
              </w:rPr>
              <w:t>）1</w:t>
            </w:r>
            <w:r>
              <w:rPr>
                <w:rFonts w:hint="default" w:ascii="Times New Roman" w:hAnsi="Times New Roman" w:eastAsia="宋体" w:cs="Times New Roman"/>
                <w:color w:val="auto"/>
                <w:sz w:val="24"/>
                <w:highlight w:val="none"/>
                <w:lang w:val="en-US" w:eastAsia="zh-CN" w:bidi="ar"/>
              </w:rPr>
              <w:t>类标准限值的要求。</w:t>
            </w:r>
          </w:p>
          <w:p w14:paraId="66DC0A8F">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4、</w:t>
            </w:r>
            <w:r>
              <w:rPr>
                <w:rFonts w:hint="eastAsia" w:ascii="Times New Roman" w:hAnsi="Times New Roman" w:eastAsia="宋体" w:cs="Times New Roman"/>
                <w:color w:val="auto"/>
                <w:highlight w:val="none"/>
              </w:rPr>
              <w:t>监测计划</w:t>
            </w:r>
          </w:p>
          <w:p w14:paraId="4887A317">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根据《排污单位自行监测技术指南 总则》</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HJ819-2017</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噪声监测要求详见表4-</w:t>
            </w:r>
            <w:r>
              <w:rPr>
                <w:rFonts w:hint="eastAsia" w:ascii="Times New Roman" w:hAnsi="Times New Roman" w:eastAsia="宋体" w:cs="Times New Roman"/>
                <w:color w:val="auto"/>
                <w:highlight w:val="none"/>
                <w:lang w:val="en-US" w:eastAsia="zh-CN"/>
              </w:rPr>
              <w:t>17</w:t>
            </w:r>
            <w:r>
              <w:rPr>
                <w:rFonts w:hint="default" w:ascii="Times New Roman" w:hAnsi="Times New Roman" w:eastAsia="宋体" w:cs="Times New Roman"/>
                <w:color w:val="auto"/>
                <w:highlight w:val="none"/>
              </w:rPr>
              <w:t>。</w:t>
            </w:r>
          </w:p>
          <w:p w14:paraId="7962D5CA">
            <w:pPr>
              <w:keepNext w:val="0"/>
              <w:keepLines w:val="0"/>
              <w:pageBreakBefore w:val="0"/>
              <w:suppressLineNumbers w:val="0"/>
              <w:wordWrap/>
              <w:bidi w:val="0"/>
              <w:spacing w:before="0" w:beforeAutospacing="0" w:after="0" w:afterAutospacing="0" w:line="240" w:lineRule="auto"/>
              <w:ind w:left="0" w:leftChars="0" w:right="0"/>
              <w:jc w:val="center"/>
              <w:rPr>
                <w:rFonts w:hint="default" w:ascii="Times New Roman" w:hAnsi="Times New Roman" w:eastAsia="宋体" w:cs="Times New Roman"/>
                <w:b/>
                <w:bCs/>
                <w:iCs/>
                <w:color w:val="auto"/>
                <w:kern w:val="0"/>
                <w:sz w:val="21"/>
                <w:szCs w:val="21"/>
                <w:highlight w:val="none"/>
                <w:lang w:val="en-US" w:eastAsia="zh-CN" w:bidi="ar-SA"/>
              </w:rPr>
            </w:pPr>
            <w:r>
              <w:rPr>
                <w:rFonts w:hint="default" w:ascii="Times New Roman" w:hAnsi="Times New Roman" w:eastAsia="宋体" w:cs="Times New Roman"/>
                <w:b/>
                <w:bCs/>
                <w:iCs/>
                <w:color w:val="auto"/>
                <w:kern w:val="0"/>
                <w:sz w:val="21"/>
                <w:szCs w:val="21"/>
                <w:highlight w:val="none"/>
                <w:lang w:val="en-US" w:eastAsia="zh-CN" w:bidi="ar-SA"/>
              </w:rPr>
              <w:t>表</w:t>
            </w:r>
            <w:r>
              <w:rPr>
                <w:rFonts w:hint="eastAsia" w:ascii="Times New Roman" w:hAnsi="Times New Roman" w:eastAsia="宋体" w:cs="Times New Roman"/>
                <w:b/>
                <w:bCs/>
                <w:iCs/>
                <w:color w:val="auto"/>
                <w:kern w:val="0"/>
                <w:sz w:val="21"/>
                <w:szCs w:val="21"/>
                <w:highlight w:val="none"/>
                <w:lang w:val="en-US" w:eastAsia="zh-CN" w:bidi="ar-SA"/>
              </w:rPr>
              <w:t>4-</w:t>
            </w:r>
            <w:r>
              <w:rPr>
                <w:rFonts w:hint="eastAsia" w:cs="Times New Roman"/>
                <w:b/>
                <w:bCs/>
                <w:iCs/>
                <w:color w:val="auto"/>
                <w:kern w:val="0"/>
                <w:sz w:val="21"/>
                <w:szCs w:val="21"/>
                <w:highlight w:val="none"/>
                <w:lang w:val="en-US" w:eastAsia="zh-CN" w:bidi="ar-SA"/>
              </w:rPr>
              <w:t xml:space="preserve">17 </w:t>
            </w:r>
            <w:r>
              <w:rPr>
                <w:rFonts w:hint="eastAsia" w:ascii="Times New Roman" w:hAnsi="Times New Roman" w:eastAsia="宋体" w:cs="Times New Roman"/>
                <w:b/>
                <w:bCs/>
                <w:iCs/>
                <w:color w:val="auto"/>
                <w:kern w:val="0"/>
                <w:sz w:val="21"/>
                <w:szCs w:val="21"/>
                <w:highlight w:val="none"/>
                <w:lang w:val="en-US" w:eastAsia="zh-CN" w:bidi="ar-SA"/>
              </w:rPr>
              <w:t xml:space="preserve"> </w:t>
            </w:r>
            <w:r>
              <w:rPr>
                <w:rFonts w:hint="default" w:ascii="Times New Roman" w:hAnsi="Times New Roman" w:eastAsia="宋体" w:cs="Times New Roman"/>
                <w:b/>
                <w:bCs/>
                <w:iCs/>
                <w:color w:val="auto"/>
                <w:kern w:val="0"/>
                <w:sz w:val="21"/>
                <w:szCs w:val="21"/>
                <w:highlight w:val="none"/>
                <w:lang w:val="en-US" w:eastAsia="zh-CN" w:bidi="ar-SA"/>
              </w:rPr>
              <w:t>本项目</w:t>
            </w:r>
            <w:r>
              <w:rPr>
                <w:rFonts w:hint="eastAsia" w:ascii="Times New Roman" w:hAnsi="Times New Roman" w:eastAsia="宋体" w:cs="Times New Roman"/>
                <w:b/>
                <w:bCs/>
                <w:iCs/>
                <w:color w:val="auto"/>
                <w:kern w:val="0"/>
                <w:sz w:val="21"/>
                <w:szCs w:val="21"/>
                <w:highlight w:val="none"/>
                <w:lang w:val="en-US" w:eastAsia="zh-CN" w:bidi="ar-SA"/>
              </w:rPr>
              <w:t>噪声</w:t>
            </w:r>
            <w:r>
              <w:rPr>
                <w:rFonts w:hint="default" w:ascii="Times New Roman" w:hAnsi="Times New Roman" w:eastAsia="宋体" w:cs="Times New Roman"/>
                <w:b/>
                <w:bCs/>
                <w:iCs/>
                <w:color w:val="auto"/>
                <w:kern w:val="0"/>
                <w:sz w:val="21"/>
                <w:szCs w:val="21"/>
                <w:highlight w:val="none"/>
                <w:lang w:val="en-US" w:eastAsia="zh-CN" w:bidi="ar-SA"/>
              </w:rPr>
              <w:t>污染源监测计划</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327"/>
              <w:gridCol w:w="1161"/>
              <w:gridCol w:w="1270"/>
              <w:gridCol w:w="1572"/>
              <w:gridCol w:w="2838"/>
            </w:tblGrid>
            <w:tr w14:paraId="558702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812" w:type="pct"/>
                  <w:tcBorders>
                    <w:tl2br w:val="nil"/>
                    <w:tr2bl w:val="nil"/>
                  </w:tcBorders>
                  <w:vAlign w:val="center"/>
                </w:tcPr>
                <w:p w14:paraId="6199381E">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监测项目</w:t>
                  </w:r>
                </w:p>
              </w:tc>
              <w:tc>
                <w:tcPr>
                  <w:tcW w:w="710" w:type="pct"/>
                  <w:tcBorders>
                    <w:tl2br w:val="nil"/>
                    <w:tr2bl w:val="nil"/>
                  </w:tcBorders>
                  <w:vAlign w:val="center"/>
                </w:tcPr>
                <w:p w14:paraId="47562CF3">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监测因子</w:t>
                  </w:r>
                </w:p>
              </w:tc>
              <w:tc>
                <w:tcPr>
                  <w:tcW w:w="777" w:type="pct"/>
                  <w:tcBorders>
                    <w:tl2br w:val="nil"/>
                    <w:tr2bl w:val="nil"/>
                  </w:tcBorders>
                  <w:vAlign w:val="center"/>
                </w:tcPr>
                <w:p w14:paraId="7276F277">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监测点位置</w:t>
                  </w:r>
                </w:p>
              </w:tc>
              <w:tc>
                <w:tcPr>
                  <w:tcW w:w="962" w:type="pct"/>
                  <w:tcBorders>
                    <w:tl2br w:val="nil"/>
                    <w:tr2bl w:val="nil"/>
                  </w:tcBorders>
                  <w:vAlign w:val="center"/>
                </w:tcPr>
                <w:p w14:paraId="22C6B4CD">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最低监测频率</w:t>
                  </w:r>
                </w:p>
              </w:tc>
              <w:tc>
                <w:tcPr>
                  <w:tcW w:w="1736" w:type="pct"/>
                  <w:tcBorders>
                    <w:tl2br w:val="nil"/>
                    <w:tr2bl w:val="nil"/>
                  </w:tcBorders>
                  <w:vAlign w:val="center"/>
                </w:tcPr>
                <w:p w14:paraId="22A12AF0">
                  <w:pPr>
                    <w:keepNext w:val="0"/>
                    <w:keepLines w:val="0"/>
                    <w:pageBreakBefore w:val="0"/>
                    <w:suppressLineNumbers w:val="0"/>
                    <w:wordWrap/>
                    <w:bidi w:val="0"/>
                    <w:spacing w:before="0" w:beforeAutospacing="0" w:after="0" w:afterAutospacing="0" w:line="360" w:lineRule="auto"/>
                    <w:ind w:left="0" w:leftChars="0" w:right="0"/>
                    <w:jc w:val="center"/>
                    <w:rPr>
                      <w:rFonts w:hint="eastAsia" w:ascii="Times New Roman" w:hAnsi="Times New Roman" w:eastAsia="宋体"/>
                      <w:color w:val="auto"/>
                      <w:szCs w:val="21"/>
                      <w:highlight w:val="none"/>
                      <w:lang w:eastAsia="zh-CN"/>
                    </w:rPr>
                  </w:pPr>
                  <w:r>
                    <w:rPr>
                      <w:rFonts w:hint="default" w:ascii="Times New Roman" w:hAnsi="Times New Roman" w:eastAsia="宋体"/>
                      <w:color w:val="auto"/>
                      <w:szCs w:val="21"/>
                      <w:highlight w:val="none"/>
                    </w:rPr>
                    <w:t>执行标准</w:t>
                  </w:r>
                </w:p>
              </w:tc>
            </w:tr>
            <w:tr w14:paraId="2121C0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25" w:hRule="atLeast"/>
                <w:jc w:val="center"/>
              </w:trPr>
              <w:tc>
                <w:tcPr>
                  <w:tcW w:w="812" w:type="pct"/>
                  <w:tcBorders>
                    <w:tl2br w:val="nil"/>
                    <w:tr2bl w:val="nil"/>
                  </w:tcBorders>
                  <w:vAlign w:val="center"/>
                </w:tcPr>
                <w:p w14:paraId="24E32B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jc w:val="center"/>
                    <w:textAlignment w:val="auto"/>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厂界</w:t>
                  </w:r>
                  <w:r>
                    <w:rPr>
                      <w:rFonts w:hint="eastAsia"/>
                      <w:color w:val="auto"/>
                      <w:szCs w:val="21"/>
                      <w:highlight w:val="none"/>
                      <w:lang w:val="en-US" w:eastAsia="zh-CN"/>
                    </w:rPr>
                    <w:t>四周</w:t>
                  </w:r>
                  <w:r>
                    <w:rPr>
                      <w:rFonts w:hint="eastAsia" w:ascii="Times New Roman" w:hAnsi="Times New Roman" w:eastAsia="宋体"/>
                      <w:color w:val="auto"/>
                      <w:szCs w:val="21"/>
                      <w:highlight w:val="none"/>
                    </w:rPr>
                    <w:t>噪声</w:t>
                  </w:r>
                </w:p>
              </w:tc>
              <w:tc>
                <w:tcPr>
                  <w:tcW w:w="710" w:type="pct"/>
                  <w:tcBorders>
                    <w:tl2br w:val="nil"/>
                    <w:tr2bl w:val="nil"/>
                  </w:tcBorders>
                  <w:vAlign w:val="center"/>
                </w:tcPr>
                <w:p w14:paraId="5821FD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jc w:val="center"/>
                    <w:textAlignment w:val="auto"/>
                    <w:rPr>
                      <w:rFonts w:hint="default" w:ascii="Times New Roman" w:hAnsi="Times New Roman" w:eastAsia="宋体"/>
                      <w:color w:val="auto"/>
                      <w:szCs w:val="21"/>
                      <w:highlight w:val="none"/>
                    </w:rPr>
                  </w:pPr>
                  <w:r>
                    <w:rPr>
                      <w:rFonts w:hint="default" w:ascii="Times New Roman" w:hAnsi="Times New Roman" w:eastAsia="宋体"/>
                      <w:smallCaps w:val="0"/>
                      <w:color w:val="auto"/>
                      <w:szCs w:val="21"/>
                      <w:highlight w:val="none"/>
                    </w:rPr>
                    <w:t>Leq（A）</w:t>
                  </w:r>
                </w:p>
              </w:tc>
              <w:tc>
                <w:tcPr>
                  <w:tcW w:w="777" w:type="pct"/>
                  <w:tcBorders>
                    <w:tl2br w:val="nil"/>
                    <w:tr2bl w:val="nil"/>
                  </w:tcBorders>
                  <w:vAlign w:val="center"/>
                </w:tcPr>
                <w:p w14:paraId="4B6164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jc w:val="center"/>
                    <w:textAlignment w:val="auto"/>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厂界</w:t>
                  </w:r>
                </w:p>
              </w:tc>
              <w:tc>
                <w:tcPr>
                  <w:tcW w:w="962" w:type="pct"/>
                  <w:tcBorders>
                    <w:tl2br w:val="nil"/>
                    <w:tr2bl w:val="nil"/>
                  </w:tcBorders>
                  <w:vAlign w:val="center"/>
                </w:tcPr>
                <w:p w14:paraId="50ADE7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jc w:val="center"/>
                    <w:textAlignment w:val="auto"/>
                    <w:rPr>
                      <w:rFonts w:hint="default" w:ascii="Times New Roman" w:hAnsi="Times New Roman" w:eastAsia="宋体"/>
                      <w:color w:val="auto"/>
                      <w:szCs w:val="21"/>
                      <w:highlight w:val="none"/>
                      <w:lang w:val="en-US" w:eastAsia="zh-CN"/>
                    </w:rPr>
                  </w:pPr>
                  <w:r>
                    <w:rPr>
                      <w:rFonts w:hint="default" w:ascii="Times New Roman" w:hAnsi="Times New Roman" w:eastAsia="宋体"/>
                      <w:color w:val="auto"/>
                      <w:szCs w:val="21"/>
                      <w:highlight w:val="none"/>
                    </w:rPr>
                    <w:t>1次/</w:t>
                  </w:r>
                  <w:r>
                    <w:rPr>
                      <w:rFonts w:hint="eastAsia"/>
                      <w:color w:val="auto"/>
                      <w:szCs w:val="21"/>
                      <w:highlight w:val="none"/>
                      <w:lang w:val="en-US" w:eastAsia="zh-CN"/>
                    </w:rPr>
                    <w:t>2个月</w:t>
                  </w:r>
                </w:p>
              </w:tc>
              <w:tc>
                <w:tcPr>
                  <w:tcW w:w="1736" w:type="pct"/>
                  <w:tcBorders>
                    <w:tl2br w:val="nil"/>
                    <w:tr2bl w:val="nil"/>
                  </w:tcBorders>
                  <w:vAlign w:val="center"/>
                </w:tcPr>
                <w:p w14:paraId="409332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jc w:val="center"/>
                    <w:textAlignment w:val="auto"/>
                    <w:rPr>
                      <w:rFonts w:hint="eastAsia" w:ascii="Times New Roman" w:hAnsi="Times New Roman" w:eastAsia="宋体"/>
                      <w:color w:val="auto"/>
                      <w:szCs w:val="21"/>
                      <w:highlight w:val="none"/>
                      <w:lang w:eastAsia="zh-CN"/>
                    </w:rPr>
                  </w:pPr>
                  <w:r>
                    <w:rPr>
                      <w:rFonts w:hint="default" w:ascii="Times New Roman" w:hAnsi="Times New Roman" w:eastAsia="宋体"/>
                      <w:color w:val="auto"/>
                      <w:szCs w:val="21"/>
                      <w:highlight w:val="none"/>
                    </w:rPr>
                    <w:t>《工业企业厂界环境噪声排放标准》（GB12348-2008）</w:t>
                  </w:r>
                  <w:r>
                    <w:rPr>
                      <w:rFonts w:hint="eastAsia"/>
                      <w:color w:val="auto"/>
                      <w:szCs w:val="21"/>
                      <w:highlight w:val="none"/>
                      <w:lang w:val="en-US" w:eastAsia="zh-CN"/>
                    </w:rPr>
                    <w:t>1</w:t>
                  </w:r>
                  <w:r>
                    <w:rPr>
                      <w:rFonts w:hint="default" w:ascii="Times New Roman" w:hAnsi="Times New Roman" w:eastAsia="宋体"/>
                      <w:color w:val="auto"/>
                      <w:szCs w:val="21"/>
                      <w:highlight w:val="none"/>
                    </w:rPr>
                    <w:t>类标准</w:t>
                  </w:r>
                </w:p>
              </w:tc>
            </w:tr>
          </w:tbl>
          <w:p w14:paraId="23E02952">
            <w:pPr>
              <w:pStyle w:val="27"/>
              <w:keepNext w:val="0"/>
              <w:keepLines w:val="0"/>
              <w:pageBreakBefore w:val="0"/>
              <w:suppressLineNumbers w:val="0"/>
              <w:wordWrap/>
              <w:bidi w:val="0"/>
              <w:spacing w:before="0" w:beforeAutospacing="0" w:after="0" w:afterAutospacing="0" w:line="360" w:lineRule="auto"/>
              <w:ind w:left="0" w:leftChars="0" w:right="0" w:firstLine="482" w:firstLineChars="200"/>
              <w:rPr>
                <w:rFonts w:hint="default" w:ascii="Times New Roman" w:hAnsi="Times New Roman" w:eastAsia="宋体"/>
                <w:b/>
                <w:bCs/>
                <w:color w:val="auto"/>
                <w:szCs w:val="24"/>
                <w:highlight w:val="none"/>
                <w:lang w:eastAsia="zh-CN"/>
              </w:rPr>
            </w:pPr>
            <w:r>
              <w:rPr>
                <w:rFonts w:hint="eastAsia" w:ascii="Times New Roman" w:hAnsi="Times New Roman" w:eastAsia="宋体"/>
                <w:b/>
                <w:bCs/>
                <w:color w:val="auto"/>
                <w:szCs w:val="24"/>
                <w:highlight w:val="none"/>
                <w:lang w:eastAsia="zh-CN"/>
              </w:rPr>
              <w:t>四、</w:t>
            </w:r>
            <w:r>
              <w:rPr>
                <w:rFonts w:hint="default" w:ascii="Times New Roman" w:hAnsi="Times New Roman" w:eastAsia="宋体"/>
                <w:b/>
                <w:bCs/>
                <w:color w:val="auto"/>
                <w:szCs w:val="24"/>
                <w:highlight w:val="none"/>
                <w:lang w:eastAsia="zh-CN"/>
              </w:rPr>
              <w:t>固体废物</w:t>
            </w:r>
          </w:p>
          <w:p w14:paraId="7E25734D">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color w:val="auto"/>
                <w:highlight w:val="none"/>
              </w:rPr>
            </w:pPr>
            <w:r>
              <w:rPr>
                <w:rFonts w:hint="default"/>
                <w:color w:val="auto"/>
                <w:highlight w:val="none"/>
              </w:rPr>
              <w:t>本项目投产后产生的固体废弃物主要为</w:t>
            </w:r>
            <w:r>
              <w:rPr>
                <w:rFonts w:hint="eastAsia"/>
                <w:color w:val="auto"/>
                <w:highlight w:val="none"/>
                <w:lang w:val="en-US" w:eastAsia="zh-CN"/>
              </w:rPr>
              <w:t>工艺废料、不合格产品、锅炉灰渣及除尘灰、废离子交换树脂、废布袋、生活垃圾、包装废料</w:t>
            </w:r>
            <w:r>
              <w:rPr>
                <w:rFonts w:hint="default"/>
                <w:color w:val="auto"/>
                <w:highlight w:val="none"/>
              </w:rPr>
              <w:t>。</w:t>
            </w:r>
          </w:p>
          <w:p w14:paraId="2F17AE85">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eastAsia="宋体"/>
                <w:color w:val="auto"/>
                <w:highlight w:val="none"/>
                <w:lang w:val="en-US" w:eastAsia="zh-CN"/>
              </w:rPr>
            </w:pPr>
            <w:r>
              <w:rPr>
                <w:rFonts w:hint="eastAsia"/>
                <w:color w:val="auto"/>
                <w:highlight w:val="none"/>
                <w:lang w:val="en-US" w:eastAsia="zh-CN"/>
              </w:rPr>
              <w:t>1、固废产生情况</w:t>
            </w:r>
          </w:p>
          <w:p w14:paraId="72A0F819">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eastAsia="宋体"/>
                <w:color w:val="auto"/>
                <w:highlight w:val="none"/>
                <w:lang w:val="en-US"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rFonts w:hint="eastAsia"/>
                <w:color w:val="auto"/>
                <w:highlight w:val="none"/>
                <w:lang w:val="en-US" w:eastAsia="zh-CN"/>
              </w:rPr>
              <w:t>工艺废料</w:t>
            </w:r>
          </w:p>
          <w:p w14:paraId="083D43BF">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imes New Roman" w:hAnsi="Times New Roman" w:eastAsia="宋体" w:cs="Times New Roman"/>
                <w:color w:val="auto"/>
                <w:highlight w:val="none"/>
                <w:lang w:eastAsia="zh-CN"/>
              </w:rPr>
            </w:pPr>
            <w:r>
              <w:rPr>
                <w:rFonts w:hint="default"/>
                <w:color w:val="auto"/>
                <w:highlight w:val="none"/>
              </w:rPr>
              <w:t>本项目</w:t>
            </w:r>
            <w:r>
              <w:rPr>
                <w:rFonts w:hint="eastAsia"/>
                <w:color w:val="auto"/>
                <w:highlight w:val="none"/>
                <w:lang w:val="en-US" w:eastAsia="zh-CN"/>
              </w:rPr>
              <w:t>生产过程中会产生工艺废料</w:t>
            </w:r>
            <w:r>
              <w:rPr>
                <w:rFonts w:hint="eastAsia"/>
                <w:color w:val="auto"/>
                <w:highlight w:val="none"/>
                <w:lang w:eastAsia="zh-CN"/>
              </w:rPr>
              <w:t>，产</w:t>
            </w:r>
            <w:r>
              <w:rPr>
                <w:rFonts w:hint="eastAsia"/>
                <w:color w:val="auto"/>
                <w:highlight w:val="none"/>
                <w:lang w:val="en-US" w:eastAsia="zh-CN"/>
              </w:rPr>
              <w:t>生量</w:t>
            </w:r>
            <w:r>
              <w:rPr>
                <w:rFonts w:hint="default"/>
                <w:color w:val="auto"/>
                <w:highlight w:val="none"/>
                <w:lang w:val="en-US" w:eastAsia="zh-CN"/>
              </w:rPr>
              <w:t>为</w:t>
            </w:r>
            <w:r>
              <w:rPr>
                <w:rFonts w:hint="eastAsia"/>
                <w:color w:val="auto"/>
                <w:highlight w:val="none"/>
                <w:lang w:val="en-US" w:eastAsia="zh-CN"/>
              </w:rPr>
              <w:t>148.38</w:t>
            </w:r>
            <w:r>
              <w:rPr>
                <w:rFonts w:hint="default"/>
                <w:color w:val="auto"/>
                <w:highlight w:val="none"/>
                <w:lang w:val="en-US" w:eastAsia="zh-CN"/>
              </w:rPr>
              <w:t>t/a，</w:t>
            </w:r>
            <w:r>
              <w:rPr>
                <w:rFonts w:hint="default"/>
                <w:color w:val="auto"/>
                <w:highlight w:val="none"/>
              </w:rPr>
              <w:t>集中收</w:t>
            </w:r>
            <w:r>
              <w:rPr>
                <w:rFonts w:hint="default" w:ascii="Times New Roman" w:hAnsi="Times New Roman" w:eastAsia="宋体" w:cs="Times New Roman"/>
                <w:color w:val="auto"/>
                <w:highlight w:val="none"/>
                <w:lang w:eastAsia="zh-CN"/>
              </w:rPr>
              <w:t>集</w:t>
            </w:r>
            <w:r>
              <w:rPr>
                <w:rFonts w:hint="eastAsia" w:cs="Times New Roman"/>
                <w:color w:val="auto"/>
                <w:highlight w:val="none"/>
                <w:lang w:val="en-US" w:eastAsia="zh-CN"/>
              </w:rPr>
              <w:t>暂存于罩棚内</w:t>
            </w:r>
            <w:r>
              <w:rPr>
                <w:rFonts w:hint="default" w:ascii="Times New Roman" w:hAnsi="Times New Roman" w:eastAsia="宋体" w:cs="Times New Roman"/>
                <w:color w:val="auto"/>
                <w:highlight w:val="none"/>
                <w:lang w:eastAsia="zh-CN"/>
              </w:rPr>
              <w:t>，</w:t>
            </w:r>
            <w:r>
              <w:rPr>
                <w:rFonts w:hint="eastAsia" w:cs="Times New Roman"/>
                <w:color w:val="auto"/>
                <w:highlight w:val="none"/>
                <w:lang w:val="en-US" w:eastAsia="zh-CN"/>
              </w:rPr>
              <w:t>外售至饲料加工公司</w:t>
            </w:r>
            <w:r>
              <w:rPr>
                <w:rFonts w:hint="default" w:ascii="Times New Roman" w:hAnsi="Times New Roman" w:eastAsia="宋体" w:cs="Times New Roman"/>
                <w:color w:val="auto"/>
                <w:highlight w:val="none"/>
                <w:lang w:eastAsia="zh-CN"/>
              </w:rPr>
              <w:t>。</w:t>
            </w:r>
          </w:p>
          <w:p w14:paraId="0E6F6DD5">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eastAsia="宋体"/>
                <w:color w:val="auto"/>
                <w:highlight w:val="none"/>
                <w:lang w:val="en-US" w:eastAsia="zh-CN"/>
              </w:rPr>
            </w:pPr>
            <w:r>
              <w:rPr>
                <w:rFonts w:hint="eastAsia" w:cs="Times New Roman"/>
                <w:color w:val="auto"/>
                <w:sz w:val="24"/>
                <w:szCs w:val="24"/>
                <w:highlight w:val="none"/>
                <w:lang w:val="en-US" w:eastAsia="zh-CN"/>
              </w:rPr>
              <w:t>（2）不合格产品</w:t>
            </w:r>
          </w:p>
          <w:p w14:paraId="3A47B2D9">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color w:val="auto"/>
                <w:highlight w:val="none"/>
              </w:rPr>
            </w:pPr>
            <w:r>
              <w:rPr>
                <w:rFonts w:hint="eastAsia" w:cs="Times New Roman"/>
                <w:color w:val="auto"/>
                <w:sz w:val="24"/>
                <w:szCs w:val="24"/>
                <w:highlight w:val="none"/>
                <w:lang w:val="en-US" w:eastAsia="zh-CN"/>
              </w:rPr>
              <w:t>本项目在生产过程中会产生不合规格的玉米果穗，不合格产品以0.01计，</w:t>
            </w:r>
            <w:r>
              <w:rPr>
                <w:rFonts w:hint="default"/>
                <w:color w:val="auto"/>
                <w:highlight w:val="none"/>
              </w:rPr>
              <w:t>产生量约为</w:t>
            </w:r>
            <w:r>
              <w:rPr>
                <w:rFonts w:hint="eastAsia"/>
                <w:color w:val="auto"/>
                <w:highlight w:val="none"/>
                <w:lang w:val="en-US" w:eastAsia="zh-CN"/>
              </w:rPr>
              <w:t>12.5</w:t>
            </w:r>
            <w:r>
              <w:rPr>
                <w:rFonts w:hint="default"/>
                <w:color w:val="auto"/>
                <w:highlight w:val="none"/>
              </w:rPr>
              <w:t>t/a，集中收集</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外售至饲料加工公司</w:t>
            </w:r>
            <w:r>
              <w:rPr>
                <w:rFonts w:hint="default" w:ascii="Times New Roman" w:hAnsi="Times New Roman" w:eastAsia="宋体" w:cs="Times New Roman"/>
                <w:color w:val="auto"/>
                <w:sz w:val="24"/>
                <w:szCs w:val="24"/>
                <w:highlight w:val="none"/>
                <w:lang w:val="en-US" w:eastAsia="zh-CN"/>
              </w:rPr>
              <w:t>。</w:t>
            </w:r>
          </w:p>
          <w:p w14:paraId="7E13759A">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eastAsia="宋体"/>
                <w:color w:val="auto"/>
                <w:highlight w:val="none"/>
                <w:lang w:eastAsia="zh-CN"/>
              </w:rPr>
            </w:pPr>
            <w:r>
              <w:rPr>
                <w:rFonts w:hint="eastAsia"/>
                <w:color w:val="auto"/>
                <w:highlight w:val="none"/>
                <w:lang w:val="en-US" w:eastAsia="zh-CN"/>
              </w:rPr>
              <w:t>（3）</w:t>
            </w:r>
            <w:r>
              <w:rPr>
                <w:rFonts w:hint="eastAsia"/>
                <w:color w:val="auto"/>
                <w:highlight w:val="none"/>
                <w:lang w:eastAsia="zh-CN"/>
              </w:rPr>
              <w:t>锅炉除尘灰和锅炉灰渣</w:t>
            </w:r>
          </w:p>
          <w:p w14:paraId="35B331AD">
            <w:pPr>
              <w:pStyle w:val="117"/>
              <w:adjustRightInd w:val="0"/>
              <w:snapToGrid w:val="0"/>
              <w:spacing w:line="360" w:lineRule="auto"/>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本项目采用的</w:t>
            </w:r>
            <w:r>
              <w:rPr>
                <w:rFonts w:hint="eastAsia" w:ascii="Times New Roman" w:hAnsi="Times New Roman" w:eastAsia="宋体" w:cs="Times New Roman"/>
                <w:color w:val="auto"/>
              </w:rPr>
              <w:t>燃</w:t>
            </w:r>
            <w:r>
              <w:rPr>
                <w:rFonts w:hint="eastAsia" w:ascii="Times New Roman" w:hAnsi="Times New Roman" w:eastAsia="宋体" w:cs="Times New Roman"/>
                <w:color w:val="auto"/>
                <w:lang w:eastAsia="zh-CN"/>
              </w:rPr>
              <w:t>生物质锅炉，</w:t>
            </w:r>
            <w:r>
              <w:rPr>
                <w:rFonts w:hint="default" w:ascii="Times New Roman" w:hAnsi="Times New Roman" w:eastAsia="宋体" w:cs="Times New Roman"/>
                <w:color w:val="auto"/>
              </w:rPr>
              <w:t>燃烧过程中产生的固体废为灰渣</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燃生物质</w:t>
            </w:r>
            <w:r>
              <w:rPr>
                <w:rFonts w:hint="eastAsia" w:ascii="Times New Roman" w:hAnsi="Times New Roman" w:eastAsia="宋体" w:cs="Times New Roman"/>
                <w:color w:val="auto"/>
                <w:lang w:eastAsia="zh-CN"/>
              </w:rPr>
              <w:t>锅</w:t>
            </w:r>
            <w:r>
              <w:rPr>
                <w:rFonts w:hint="default" w:ascii="Times New Roman" w:hAnsi="Times New Roman" w:eastAsia="宋体" w:cs="Times New Roman"/>
                <w:color w:val="auto"/>
                <w:lang w:eastAsia="zh-CN"/>
              </w:rPr>
              <w:t>炉灰</w:t>
            </w:r>
            <w:r>
              <w:rPr>
                <w:rFonts w:hint="default" w:ascii="Times New Roman" w:hAnsi="Times New Roman" w:eastAsia="宋体" w:cs="Times New Roman"/>
                <w:color w:val="auto"/>
              </w:rPr>
              <w:t>渣</w:t>
            </w:r>
            <w:r>
              <w:rPr>
                <w:rFonts w:hint="default" w:ascii="Times New Roman" w:hAnsi="Times New Roman" w:eastAsia="宋体" w:cs="Times New Roman"/>
                <w:color w:val="auto"/>
                <w:lang w:eastAsia="zh-CN"/>
              </w:rPr>
              <w:t>产生量参考《污染源源强核算技术指南</w:t>
            </w:r>
            <w:r>
              <w:rPr>
                <w:rFonts w:hint="default" w:ascii="Times New Roman" w:hAnsi="Times New Roman" w:eastAsia="宋体" w:cs="Times New Roman"/>
                <w:color w:val="auto"/>
                <w:lang w:val="en-US" w:eastAsia="zh-CN"/>
              </w:rPr>
              <w:t xml:space="preserve"> 锅炉</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HJ 991-2018</w:t>
            </w:r>
            <w:r>
              <w:rPr>
                <w:rFonts w:hint="default" w:ascii="Times New Roman" w:hAnsi="Times New Roman" w:eastAsia="宋体" w:cs="Times New Roman"/>
                <w:color w:val="auto"/>
                <w:lang w:eastAsia="zh-CN"/>
              </w:rPr>
              <w:t>）中</w:t>
            </w:r>
            <w:r>
              <w:rPr>
                <w:rFonts w:hint="default" w:ascii="Times New Roman" w:hAnsi="Times New Roman" w:eastAsia="宋体" w:cs="Times New Roman"/>
                <w:color w:val="auto"/>
                <w:lang w:val="en-US" w:eastAsia="zh-CN"/>
              </w:rPr>
              <w:t>8.1生物质锅炉灰渣产生量计算方法进行核算。</w:t>
            </w:r>
          </w:p>
          <w:p w14:paraId="49737C93">
            <w:pPr>
              <w:pStyle w:val="118"/>
              <w:keepNext w:val="0"/>
              <w:keepLines w:val="0"/>
              <w:pageBreakBefore w:val="0"/>
              <w:suppressLineNumbers w:val="0"/>
              <w:wordWrap/>
              <w:topLinePunct w:val="0"/>
              <w:bidi w:val="0"/>
              <w:spacing w:before="0" w:beforeAutospacing="0" w:after="0" w:afterAutospacing="0" w:line="360" w:lineRule="auto"/>
              <w:ind w:left="0" w:leftChars="0" w:right="0" w:rightChars="0" w:firstLine="480" w:firstLineChars="200"/>
              <w:jc w:val="center"/>
              <w:rPr>
                <w:rFonts w:hint="default"/>
                <w:color w:val="auto"/>
                <w:sz w:val="24"/>
                <w:highlight w:val="none"/>
                <w:lang w:eastAsia="en-US"/>
              </w:rPr>
            </w:pPr>
            <w:r>
              <w:rPr>
                <w:rFonts w:hint="default"/>
                <w:color w:val="auto"/>
                <w:position w:val="-28"/>
                <w:sz w:val="24"/>
                <w:highlight w:val="none"/>
              </w:rPr>
              <w:object>
                <v:shape id="_x0000_i1025" o:spt="75" type="#_x0000_t75" style="height:33.75pt;width:146.25pt;" o:ole="t" filled="f" o:preferrelative="t" stroked="f" coordsize="21600,21600">
                  <v:path/>
                  <v:fill on="f" focussize="0,0"/>
                  <v:stroke on="f"/>
                  <v:imagedata r:id="rId30" o:title=""/>
                  <o:lock v:ext="edit" aspectratio="t"/>
                  <w10:wrap type="none"/>
                  <w10:anchorlock/>
                </v:shape>
                <o:OLEObject Type="Embed" ProgID="Equation.3" ShapeID="_x0000_i1025" DrawAspect="Content" ObjectID="_1468075725" r:id="rId29">
                  <o:LockedField>false</o:LockedField>
                </o:OLEObject>
              </w:object>
            </w:r>
          </w:p>
          <w:p w14:paraId="236C2B8C">
            <w:pPr>
              <w:keepNext w:val="0"/>
              <w:keepLines w:val="0"/>
              <w:pageBreakBefore w:val="0"/>
              <w:suppressLineNumbers w:val="0"/>
              <w:wordWrap/>
              <w:topLinePunct w:val="0"/>
              <w:bidi w:val="0"/>
              <w:adjustRightInd w:val="0"/>
              <w:snapToGrid w:val="0"/>
              <w:spacing w:before="0" w:beforeAutospacing="0" w:after="0" w:afterAutospacing="0" w:line="360" w:lineRule="auto"/>
              <w:ind w:left="0" w:leftChars="0" w:right="0" w:rightChars="0" w:firstLine="480" w:firstLineChars="200"/>
              <w:rPr>
                <w:rFonts w:hint="default"/>
                <w:bCs/>
                <w:color w:val="auto"/>
                <w:sz w:val="24"/>
                <w:highlight w:val="none"/>
              </w:rPr>
            </w:pPr>
            <w:r>
              <w:rPr>
                <w:rFonts w:hint="default"/>
                <w:bCs/>
                <w:color w:val="auto"/>
                <w:sz w:val="24"/>
                <w:highlight w:val="none"/>
              </w:rPr>
              <w:t>式中：E</w:t>
            </w:r>
            <w:r>
              <w:rPr>
                <w:rFonts w:hint="default"/>
                <w:bCs/>
                <w:color w:val="auto"/>
                <w:sz w:val="24"/>
                <w:highlight w:val="none"/>
                <w:vertAlign w:val="subscript"/>
              </w:rPr>
              <w:t>hz</w:t>
            </w:r>
            <w:r>
              <w:rPr>
                <w:rFonts w:hint="default"/>
                <w:bCs/>
                <w:color w:val="auto"/>
                <w:sz w:val="24"/>
                <w:highlight w:val="none"/>
              </w:rPr>
              <w:t>—核算时段内灰渣产生量，t</w:t>
            </w:r>
          </w:p>
          <w:p w14:paraId="734D36CD">
            <w:pPr>
              <w:keepNext w:val="0"/>
              <w:keepLines w:val="0"/>
              <w:pageBreakBefore w:val="0"/>
              <w:suppressLineNumbers w:val="0"/>
              <w:wordWrap/>
              <w:topLinePunct w:val="0"/>
              <w:bidi w:val="0"/>
              <w:adjustRightInd w:val="0"/>
              <w:snapToGrid w:val="0"/>
              <w:spacing w:before="0" w:beforeAutospacing="0" w:after="0" w:afterAutospacing="0" w:line="360" w:lineRule="auto"/>
              <w:ind w:left="0" w:leftChars="0" w:right="0" w:rightChars="0" w:firstLine="480" w:firstLineChars="200"/>
              <w:rPr>
                <w:rFonts w:hint="default"/>
                <w:bCs/>
                <w:color w:val="auto"/>
                <w:sz w:val="24"/>
                <w:highlight w:val="none"/>
              </w:rPr>
            </w:pPr>
            <w:r>
              <w:rPr>
                <w:rFonts w:hint="default"/>
                <w:bCs/>
                <w:color w:val="auto"/>
                <w:sz w:val="24"/>
                <w:highlight w:val="none"/>
              </w:rPr>
              <w:t>R—核算时段内锅炉燃料耗量，</w:t>
            </w:r>
            <w:r>
              <w:rPr>
                <w:rFonts w:hint="eastAsia" w:cs="Times New Roman"/>
                <w:b w:val="0"/>
                <w:bCs/>
                <w:color w:val="auto"/>
                <w:sz w:val="24"/>
                <w:szCs w:val="24"/>
                <w:highlight w:val="none"/>
                <w:lang w:val="en-US" w:eastAsia="zh-CN"/>
              </w:rPr>
              <w:t>369.9</w:t>
            </w:r>
            <w:r>
              <w:rPr>
                <w:rFonts w:hint="default"/>
                <w:bCs/>
                <w:color w:val="auto"/>
                <w:sz w:val="24"/>
                <w:highlight w:val="none"/>
                <w:lang w:val="en-US" w:eastAsia="zh-CN"/>
              </w:rPr>
              <w:t>t</w:t>
            </w:r>
            <w:r>
              <w:rPr>
                <w:rFonts w:hint="default"/>
                <w:bCs/>
                <w:color w:val="auto"/>
                <w:sz w:val="24"/>
                <w:highlight w:val="none"/>
              </w:rPr>
              <w:t>；</w:t>
            </w:r>
          </w:p>
          <w:p w14:paraId="50E553B5">
            <w:pPr>
              <w:keepNext w:val="0"/>
              <w:keepLines w:val="0"/>
              <w:pageBreakBefore w:val="0"/>
              <w:suppressLineNumbers w:val="0"/>
              <w:wordWrap/>
              <w:topLinePunct w:val="0"/>
              <w:bidi w:val="0"/>
              <w:adjustRightInd w:val="0"/>
              <w:snapToGrid w:val="0"/>
              <w:spacing w:before="0" w:beforeAutospacing="0" w:after="0" w:afterAutospacing="0" w:line="360" w:lineRule="auto"/>
              <w:ind w:left="0" w:leftChars="0" w:right="0" w:rightChars="0" w:firstLine="480" w:firstLineChars="200"/>
              <w:rPr>
                <w:rFonts w:hint="eastAsia" w:ascii="Times New Roman" w:hAnsi="Times New Roman" w:cs="Times New Roman"/>
                <w:bCs/>
                <w:color w:val="auto"/>
                <w:sz w:val="24"/>
                <w:highlight w:val="none"/>
              </w:rPr>
            </w:pPr>
            <w:r>
              <w:rPr>
                <w:rFonts w:hint="default"/>
                <w:bCs/>
                <w:color w:val="auto"/>
                <w:sz w:val="24"/>
                <w:highlight w:val="none"/>
              </w:rPr>
              <w:t>A</w:t>
            </w:r>
            <w:r>
              <w:rPr>
                <w:rFonts w:hint="default"/>
                <w:bCs/>
                <w:color w:val="auto"/>
                <w:sz w:val="24"/>
                <w:highlight w:val="none"/>
                <w:vertAlign w:val="subscript"/>
              </w:rPr>
              <w:t>ar</w:t>
            </w:r>
            <w:r>
              <w:rPr>
                <w:rFonts w:hint="default"/>
                <w:bCs/>
                <w:color w:val="auto"/>
                <w:sz w:val="24"/>
                <w:highlight w:val="none"/>
              </w:rPr>
              <w:t>—收到基灰分的质量分数，</w:t>
            </w:r>
            <w:r>
              <w:rPr>
                <w:rFonts w:hint="eastAsia"/>
                <w:color w:val="auto"/>
                <w:sz w:val="24"/>
                <w:szCs w:val="24"/>
                <w:highlight w:val="none"/>
                <w:lang w:val="en-US" w:eastAsia="zh-CN"/>
              </w:rPr>
              <w:t>3.06</w:t>
            </w:r>
            <w:r>
              <w:rPr>
                <w:rFonts w:hint="eastAsia" w:ascii="Times New Roman" w:hAnsi="Times New Roman" w:cs="Times New Roman"/>
                <w:bCs/>
                <w:color w:val="auto"/>
                <w:sz w:val="24"/>
                <w:highlight w:val="none"/>
              </w:rPr>
              <w:t>%</w:t>
            </w:r>
          </w:p>
          <w:p w14:paraId="67793589">
            <w:pPr>
              <w:keepNext w:val="0"/>
              <w:keepLines w:val="0"/>
              <w:pageBreakBefore w:val="0"/>
              <w:suppressLineNumbers w:val="0"/>
              <w:wordWrap/>
              <w:topLinePunct w:val="0"/>
              <w:bidi w:val="0"/>
              <w:adjustRightInd w:val="0"/>
              <w:snapToGrid w:val="0"/>
              <w:spacing w:before="0" w:beforeAutospacing="0" w:after="0" w:afterAutospacing="0" w:line="360" w:lineRule="auto"/>
              <w:ind w:left="0" w:leftChars="0" w:right="0" w:rightChars="0" w:firstLine="480" w:firstLineChars="200"/>
              <w:rPr>
                <w:rFonts w:hint="default"/>
                <w:bCs/>
                <w:color w:val="auto"/>
                <w:sz w:val="24"/>
                <w:highlight w:val="none"/>
              </w:rPr>
            </w:pPr>
            <w:r>
              <w:rPr>
                <w:rFonts w:hint="default"/>
                <w:bCs/>
                <w:color w:val="auto"/>
                <w:sz w:val="24"/>
                <w:highlight w:val="none"/>
              </w:rPr>
              <w:t>Q</w:t>
            </w:r>
            <w:r>
              <w:rPr>
                <w:rFonts w:hint="default"/>
                <w:bCs/>
                <w:color w:val="auto"/>
                <w:sz w:val="24"/>
                <w:highlight w:val="none"/>
                <w:vertAlign w:val="subscript"/>
              </w:rPr>
              <w:t>net，ar</w:t>
            </w:r>
            <w:r>
              <w:rPr>
                <w:rFonts w:hint="default"/>
                <w:bCs/>
                <w:color w:val="auto"/>
                <w:sz w:val="24"/>
                <w:highlight w:val="none"/>
              </w:rPr>
              <w:t>—燃料收到基低位发热量</w:t>
            </w:r>
            <w:r>
              <w:rPr>
                <w:rFonts w:hint="default"/>
                <w:color w:val="auto"/>
                <w:sz w:val="24"/>
                <w:szCs w:val="24"/>
                <w:highlight w:val="none"/>
                <w:lang w:val="en-US" w:eastAsia="zh-CN"/>
              </w:rPr>
              <w:t>，</w:t>
            </w:r>
            <w:r>
              <w:rPr>
                <w:rFonts w:hint="eastAsia" w:eastAsia="宋体"/>
                <w:color w:val="auto"/>
                <w:sz w:val="24"/>
                <w:highlight w:val="none"/>
                <w:lang w:val="en-US" w:eastAsia="zh-CN"/>
              </w:rPr>
              <w:t>2289.62</w:t>
            </w:r>
            <w:r>
              <w:rPr>
                <w:rFonts w:hint="eastAsia"/>
                <w:color w:val="auto"/>
                <w:sz w:val="24"/>
                <w:szCs w:val="24"/>
                <w:highlight w:val="none"/>
                <w:lang w:val="en-US" w:eastAsia="zh-CN"/>
              </w:rPr>
              <w:t>kJ/kg</w:t>
            </w:r>
          </w:p>
          <w:p w14:paraId="44511685">
            <w:pPr>
              <w:keepNext w:val="0"/>
              <w:keepLines w:val="0"/>
              <w:pageBreakBefore w:val="0"/>
              <w:suppressLineNumbers w:val="0"/>
              <w:wordWrap/>
              <w:topLinePunct w:val="0"/>
              <w:bidi w:val="0"/>
              <w:adjustRightInd w:val="0"/>
              <w:snapToGrid w:val="0"/>
              <w:spacing w:before="0" w:beforeAutospacing="0" w:after="0" w:afterAutospacing="0" w:line="360" w:lineRule="auto"/>
              <w:ind w:left="0" w:leftChars="0" w:right="0" w:rightChars="0" w:firstLine="480" w:firstLineChars="200"/>
              <w:rPr>
                <w:rFonts w:hint="default"/>
                <w:bCs/>
                <w:color w:val="auto"/>
                <w:sz w:val="24"/>
                <w:highlight w:val="none"/>
              </w:rPr>
            </w:pPr>
            <w:r>
              <w:rPr>
                <w:rFonts w:hint="default"/>
                <w:bCs/>
                <w:color w:val="auto"/>
                <w:sz w:val="24"/>
                <w:highlight w:val="none"/>
              </w:rPr>
              <w:t>q</w:t>
            </w:r>
            <w:r>
              <w:rPr>
                <w:rFonts w:hint="default"/>
                <w:bCs/>
                <w:color w:val="auto"/>
                <w:sz w:val="24"/>
                <w:highlight w:val="none"/>
                <w:vertAlign w:val="subscript"/>
              </w:rPr>
              <w:t>4</w:t>
            </w:r>
            <w:r>
              <w:rPr>
                <w:rFonts w:hint="default"/>
                <w:bCs/>
                <w:color w:val="auto"/>
                <w:sz w:val="24"/>
                <w:highlight w:val="none"/>
              </w:rPr>
              <w:t>—锅炉机械不完全燃烧热损失，</w:t>
            </w:r>
            <w:r>
              <w:rPr>
                <w:rFonts w:hint="eastAsia"/>
                <w:bCs/>
                <w:color w:val="auto"/>
                <w:sz w:val="24"/>
                <w:highlight w:val="none"/>
                <w:lang w:val="en-US" w:eastAsia="zh-CN"/>
              </w:rPr>
              <w:t>15</w:t>
            </w:r>
            <w:r>
              <w:rPr>
                <w:rFonts w:hint="default"/>
                <w:bCs/>
                <w:color w:val="auto"/>
                <w:sz w:val="24"/>
                <w:highlight w:val="none"/>
              </w:rPr>
              <w:t>%</w:t>
            </w:r>
          </w:p>
          <w:p w14:paraId="0816BD57">
            <w:pPr>
              <w:pStyle w:val="117"/>
              <w:adjustRightInd w:val="0"/>
              <w:snapToGrid w:val="0"/>
              <w:spacing w:line="360" w:lineRule="auto"/>
              <w:ind w:firstLine="480"/>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经计算得出年</w:t>
            </w:r>
            <w:r>
              <w:rPr>
                <w:rFonts w:hint="eastAsia" w:cs="Times New Roman"/>
                <w:color w:val="auto"/>
                <w:lang w:val="en-US" w:eastAsia="zh-CN"/>
              </w:rPr>
              <w:t>锅炉</w:t>
            </w:r>
            <w:r>
              <w:rPr>
                <w:rFonts w:hint="eastAsia" w:ascii="Times New Roman" w:hAnsi="Times New Roman" w:eastAsia="宋体" w:cs="Times New Roman"/>
                <w:color w:val="auto"/>
                <w:lang w:eastAsia="zh-CN"/>
              </w:rPr>
              <w:t>灰渣量E</w:t>
            </w:r>
            <w:r>
              <w:rPr>
                <w:rFonts w:hint="eastAsia" w:ascii="Times New Roman" w:hAnsi="Times New Roman" w:eastAsia="宋体" w:cs="Times New Roman"/>
                <w:color w:val="auto"/>
                <w:vertAlign w:val="subscript"/>
                <w:lang w:eastAsia="zh-CN"/>
              </w:rPr>
              <w:t>hz</w:t>
            </w:r>
            <w:r>
              <w:rPr>
                <w:rFonts w:hint="eastAsia" w:ascii="Times New Roman" w:hAnsi="Times New Roman" w:eastAsia="宋体" w:cs="Times New Roman"/>
                <w:color w:val="auto"/>
                <w:lang w:eastAsia="zh-CN"/>
              </w:rPr>
              <w:t>=</w:t>
            </w:r>
            <w:r>
              <w:rPr>
                <w:rFonts w:hint="eastAsia" w:cs="Times New Roman"/>
                <w:b w:val="0"/>
                <w:bCs/>
                <w:color w:val="auto"/>
                <w:sz w:val="24"/>
                <w:szCs w:val="24"/>
                <w:highlight w:val="none"/>
                <w:lang w:val="en-US" w:eastAsia="zh-CN"/>
              </w:rPr>
              <w:t>369.9</w:t>
            </w:r>
            <w:r>
              <w:rPr>
                <w:rFonts w:hint="eastAsia" w:ascii="Times New Roman" w:hAnsi="Times New Roman" w:eastAsia="宋体" w:cs="Times New Roman"/>
                <w:color w:val="auto"/>
                <w:lang w:val="en-US" w:eastAsia="zh-CN"/>
              </w:rPr>
              <w:t>×（0.0306+15×</w:t>
            </w:r>
            <w:r>
              <w:rPr>
                <w:rFonts w:hint="eastAsia" w:eastAsia="宋体"/>
                <w:color w:val="auto"/>
                <w:sz w:val="24"/>
                <w:highlight w:val="none"/>
                <w:lang w:val="en-US" w:eastAsia="zh-CN"/>
              </w:rPr>
              <w:t>2289.62</w:t>
            </w:r>
            <w:r>
              <w:rPr>
                <w:rFonts w:hint="eastAsia" w:ascii="Times New Roman" w:hAnsi="Times New Roman" w:eastAsia="宋体" w:cs="Times New Roman"/>
                <w:color w:val="auto"/>
                <w:lang w:val="en-US" w:eastAsia="zh-CN"/>
              </w:rPr>
              <w:t>÷100÷33870）=</w:t>
            </w:r>
            <w:r>
              <w:rPr>
                <w:rFonts w:hint="eastAsia" w:eastAsia="宋体"/>
                <w:color w:val="auto"/>
                <w:sz w:val="24"/>
                <w:highlight w:val="none"/>
                <w:lang w:val="en-US" w:eastAsia="zh-CN"/>
              </w:rPr>
              <w:t>15.0</w:t>
            </w:r>
            <w:r>
              <w:rPr>
                <w:rFonts w:hint="eastAsia"/>
                <w:color w:val="auto"/>
                <w:sz w:val="24"/>
                <w:highlight w:val="none"/>
                <w:lang w:val="en-US" w:eastAsia="zh-CN"/>
              </w:rPr>
              <w:t>7</w:t>
            </w:r>
            <w:r>
              <w:rPr>
                <w:rFonts w:hint="eastAsia" w:ascii="Times New Roman" w:hAnsi="Times New Roman" w:eastAsia="宋体" w:cs="Times New Roman"/>
                <w:color w:val="auto"/>
                <w:lang w:eastAsia="zh-CN"/>
              </w:rPr>
              <w:t>t/a</w:t>
            </w:r>
          </w:p>
          <w:p w14:paraId="6E969EDD">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color w:val="auto"/>
                <w:highlight w:val="none"/>
                <w:lang w:val="en-US" w:eastAsia="zh-CN"/>
              </w:rPr>
            </w:pPr>
            <w:r>
              <w:rPr>
                <w:rFonts w:hint="eastAsia" w:ascii="Times New Roman" w:hAnsi="Times New Roman" w:eastAsia="宋体" w:cs="Times New Roman"/>
                <w:color w:val="auto"/>
                <w:lang w:eastAsia="zh-CN"/>
              </w:rPr>
              <w:t>锅炉燃烧产生的灰渣量为</w:t>
            </w:r>
            <w:r>
              <w:rPr>
                <w:rFonts w:hint="eastAsia" w:eastAsia="宋体"/>
                <w:color w:val="auto"/>
                <w:sz w:val="24"/>
                <w:highlight w:val="none"/>
                <w:lang w:val="en-US" w:eastAsia="zh-CN"/>
              </w:rPr>
              <w:t>15.0</w:t>
            </w:r>
            <w:r>
              <w:rPr>
                <w:rFonts w:hint="eastAsia"/>
                <w:color w:val="auto"/>
                <w:sz w:val="24"/>
                <w:highlight w:val="none"/>
                <w:lang w:val="en-US" w:eastAsia="zh-CN"/>
              </w:rPr>
              <w:t>7</w:t>
            </w:r>
            <w:r>
              <w:rPr>
                <w:rFonts w:hint="eastAsia" w:ascii="Times New Roman" w:hAnsi="Times New Roman" w:eastAsia="宋体" w:cs="Times New Roman"/>
                <w:color w:val="auto"/>
                <w:lang w:eastAsia="zh-CN"/>
              </w:rPr>
              <w:t>t/a，</w:t>
            </w:r>
            <w:r>
              <w:rPr>
                <w:rFonts w:hint="eastAsia" w:eastAsia="宋体"/>
                <w:color w:val="auto"/>
                <w:sz w:val="24"/>
                <w:szCs w:val="24"/>
                <w:highlight w:val="none"/>
              </w:rPr>
              <w:t>d</w:t>
            </w:r>
            <w:r>
              <w:rPr>
                <w:rFonts w:hint="eastAsia"/>
                <w:color w:val="auto"/>
                <w:sz w:val="24"/>
                <w:szCs w:val="24"/>
                <w:highlight w:val="none"/>
                <w:vertAlign w:val="subscript"/>
                <w:lang w:val="en-US" w:eastAsia="zh-CN"/>
              </w:rPr>
              <w:t>fh</w:t>
            </w:r>
            <w:r>
              <w:rPr>
                <w:rFonts w:hint="eastAsia" w:eastAsia="宋体"/>
                <w:color w:val="auto"/>
                <w:sz w:val="24"/>
                <w:szCs w:val="24"/>
                <w:highlight w:val="none"/>
              </w:rPr>
              <w:t>锅炉烟气带出的飞灰份额</w:t>
            </w:r>
            <w:r>
              <w:rPr>
                <w:rFonts w:hint="eastAsia" w:eastAsia="宋体"/>
                <w:color w:val="auto"/>
                <w:sz w:val="24"/>
                <w:szCs w:val="24"/>
                <w:highlight w:val="none"/>
                <w:lang w:val="en-US" w:eastAsia="zh-CN"/>
              </w:rPr>
              <w:t>取</w:t>
            </w:r>
            <w:r>
              <w:rPr>
                <w:rFonts w:hint="eastAsia"/>
                <w:color w:val="auto"/>
                <w:sz w:val="24"/>
                <w:szCs w:val="24"/>
                <w:highlight w:val="none"/>
                <w:lang w:val="en-US" w:eastAsia="zh-CN"/>
              </w:rPr>
              <w:t>50</w:t>
            </w:r>
            <w:r>
              <w:rPr>
                <w:rFonts w:hint="eastAsia" w:eastAsia="宋体"/>
                <w:color w:val="auto"/>
                <w:sz w:val="24"/>
                <w:szCs w:val="24"/>
                <w:highlight w:val="none"/>
              </w:rPr>
              <w:t>%</w:t>
            </w:r>
            <w:r>
              <w:rPr>
                <w:rFonts w:hint="eastAsia" w:eastAsia="宋体"/>
                <w:color w:val="auto"/>
                <w:sz w:val="24"/>
                <w:szCs w:val="24"/>
                <w:highlight w:val="none"/>
                <w:lang w:eastAsia="zh-CN"/>
              </w:rPr>
              <w:t>，</w:t>
            </w:r>
            <w:r>
              <w:rPr>
                <w:rFonts w:hint="eastAsia" w:eastAsia="宋体"/>
                <w:color w:val="auto"/>
                <w:sz w:val="24"/>
                <w:szCs w:val="24"/>
                <w:highlight w:val="none"/>
                <w:lang w:val="en-US" w:eastAsia="zh-CN"/>
              </w:rPr>
              <w:t>则飞灰产生量为7.535t/a，</w:t>
            </w:r>
            <w:r>
              <w:rPr>
                <w:rFonts w:hint="eastAsia" w:ascii="Times New Roman" w:hAnsi="Times New Roman" w:eastAsia="宋体" w:cs="Times New Roman"/>
                <w:color w:val="auto"/>
                <w:lang w:eastAsia="zh-CN"/>
              </w:rPr>
              <w:t>灰渣中随烟气排放的飞灰（即颗粒物）</w:t>
            </w:r>
            <w:r>
              <w:rPr>
                <w:rFonts w:hint="eastAsia" w:cs="Times New Roman"/>
                <w:color w:val="auto"/>
                <w:lang w:val="en-US" w:eastAsia="zh-CN"/>
              </w:rPr>
              <w:t>0.066</w:t>
            </w:r>
            <w:r>
              <w:rPr>
                <w:rFonts w:hint="eastAsia" w:ascii="Times New Roman" w:hAnsi="Times New Roman" w:eastAsia="宋体" w:cs="Times New Roman"/>
                <w:color w:val="auto"/>
                <w:lang w:eastAsia="zh-CN"/>
              </w:rPr>
              <w:t>t/a，由布袋除尘器收集的飞灰为</w:t>
            </w:r>
            <w:r>
              <w:rPr>
                <w:rFonts w:hint="eastAsia" w:cs="Times New Roman"/>
                <w:color w:val="auto"/>
                <w:lang w:val="en-US" w:eastAsia="zh-CN"/>
              </w:rPr>
              <w:t>7.469</w:t>
            </w:r>
            <w:r>
              <w:rPr>
                <w:rFonts w:hint="eastAsia" w:ascii="Times New Roman" w:hAnsi="Times New Roman" w:eastAsia="宋体" w:cs="Times New Roman"/>
                <w:color w:val="auto"/>
                <w:lang w:eastAsia="zh-CN"/>
              </w:rPr>
              <w:t>t/a，则剩余</w:t>
            </w:r>
            <w:r>
              <w:rPr>
                <w:rFonts w:hint="eastAsia" w:ascii="Times New Roman" w:hAnsi="Times New Roman" w:eastAsia="宋体" w:cs="Times New Roman"/>
                <w:color w:val="auto"/>
                <w:lang w:val="en-US" w:eastAsia="zh-CN"/>
              </w:rPr>
              <w:t>锅炉</w:t>
            </w:r>
            <w:r>
              <w:rPr>
                <w:rFonts w:hint="eastAsia" w:ascii="Times New Roman" w:hAnsi="Times New Roman" w:eastAsia="宋体" w:cs="Times New Roman"/>
                <w:color w:val="auto"/>
                <w:lang w:eastAsia="zh-CN"/>
              </w:rPr>
              <w:t>炉渣量为</w:t>
            </w:r>
            <w:r>
              <w:rPr>
                <w:rFonts w:hint="eastAsia" w:eastAsia="宋体"/>
                <w:color w:val="auto"/>
                <w:sz w:val="24"/>
                <w:szCs w:val="24"/>
                <w:highlight w:val="none"/>
                <w:lang w:val="en-US" w:eastAsia="zh-CN"/>
              </w:rPr>
              <w:t>7.535</w:t>
            </w:r>
            <w:r>
              <w:rPr>
                <w:rFonts w:hint="eastAsia" w:ascii="Times New Roman" w:hAnsi="Times New Roman" w:eastAsia="宋体" w:cs="Times New Roman"/>
                <w:color w:val="auto"/>
                <w:lang w:eastAsia="zh-CN"/>
              </w:rPr>
              <w:t>t/a。</w:t>
            </w:r>
            <w:r>
              <w:rPr>
                <w:rFonts w:hint="eastAsia" w:cs="Times New Roman"/>
                <w:color w:val="auto"/>
                <w:lang w:val="en-US" w:eastAsia="zh-CN"/>
              </w:rPr>
              <w:t>锅炉炉渣暂存在灰渣间中，定期外售至肥料生产企业</w:t>
            </w:r>
            <w:r>
              <w:rPr>
                <w:rFonts w:hint="eastAsia" w:ascii="Times New Roman" w:hAnsi="Times New Roman" w:eastAsia="宋体" w:cs="Times New Roman"/>
                <w:color w:val="auto"/>
                <w:lang w:eastAsia="zh-CN"/>
              </w:rPr>
              <w:t>。</w:t>
            </w:r>
          </w:p>
          <w:p w14:paraId="1728A43F">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imes New Roman" w:hAnsi="Times New Roman" w:eastAsia="宋体" w:cs="Times New Roman"/>
                <w:color w:val="auto"/>
                <w:highlight w:val="none"/>
                <w:lang w:val="en-US" w:eastAsia="zh-CN"/>
              </w:rPr>
            </w:pPr>
            <w:r>
              <w:rPr>
                <w:rFonts w:hint="eastAsia"/>
                <w:color w:val="auto"/>
                <w:highlight w:val="none"/>
                <w:lang w:val="en-US" w:eastAsia="zh-CN"/>
              </w:rPr>
              <w:t>（4）</w:t>
            </w:r>
            <w:r>
              <w:rPr>
                <w:rFonts w:hint="eastAsia" w:ascii="Times New Roman" w:hAnsi="Times New Roman" w:eastAsia="宋体" w:cs="Times New Roman"/>
                <w:color w:val="auto"/>
                <w:highlight w:val="none"/>
                <w:lang w:val="en-US" w:eastAsia="zh-CN"/>
              </w:rPr>
              <w:t>废布袋</w:t>
            </w:r>
          </w:p>
          <w:p w14:paraId="1EBEE127">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w:t>
            </w:r>
            <w:r>
              <w:rPr>
                <w:rFonts w:hint="eastAsia" w:cs="Times New Roman"/>
                <w:color w:val="auto"/>
                <w:highlight w:val="none"/>
                <w:lang w:val="en-US" w:eastAsia="zh-CN"/>
              </w:rPr>
              <w:t>燃生物质</w:t>
            </w:r>
            <w:r>
              <w:rPr>
                <w:rFonts w:hint="eastAsia" w:ascii="Times New Roman" w:hAnsi="Times New Roman" w:eastAsia="宋体" w:cs="Times New Roman"/>
                <w:color w:val="auto"/>
                <w:highlight w:val="none"/>
                <w:lang w:val="en-US" w:eastAsia="zh-CN"/>
              </w:rPr>
              <w:t>蒸汽锅炉环保措施采用布袋除尘器，布袋两年换一次，产生废布袋0.0</w:t>
            </w:r>
            <w:r>
              <w:rPr>
                <w:rFonts w:hint="eastAsia"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t/2a，由除尘器厂家检修后直接带走。</w:t>
            </w:r>
          </w:p>
          <w:p w14:paraId="3B7D35D1">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lang w:val="en-US" w:eastAsia="zh-CN"/>
              </w:rPr>
              <w:t>废离子交换树脂</w:t>
            </w:r>
          </w:p>
          <w:p w14:paraId="17F0BFE1">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w:t>
            </w:r>
            <w:r>
              <w:rPr>
                <w:rFonts w:hint="eastAsia" w:ascii="Times New Roman" w:hAnsi="Times New Roman" w:eastAsia="宋体" w:cs="Times New Roman"/>
                <w:color w:val="auto"/>
                <w:highlight w:val="none"/>
                <w:lang w:val="en-US" w:eastAsia="zh-CN"/>
              </w:rPr>
              <w:t>锅炉房软化水制备装置会产生</w:t>
            </w:r>
            <w:r>
              <w:rPr>
                <w:rFonts w:hint="default" w:ascii="Times New Roman" w:hAnsi="Times New Roman" w:eastAsia="宋体" w:cs="Times New Roman"/>
                <w:color w:val="auto"/>
                <w:highlight w:val="none"/>
                <w:lang w:val="en-US" w:eastAsia="zh-CN"/>
              </w:rPr>
              <w:t>废离子交换树脂</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产生量约为0.</w:t>
            </w:r>
            <w:r>
              <w:rPr>
                <w:rFonts w:hint="eastAsia" w:cs="Times New Roman"/>
                <w:color w:val="auto"/>
                <w:highlight w:val="none"/>
                <w:lang w:val="en-US" w:eastAsia="zh-CN"/>
              </w:rPr>
              <w:t>5</w:t>
            </w:r>
            <w:r>
              <w:rPr>
                <w:rFonts w:hint="default" w:ascii="Times New Roman" w:hAnsi="Times New Roman" w:eastAsia="宋体" w:cs="Times New Roman"/>
                <w:color w:val="auto"/>
                <w:highlight w:val="none"/>
                <w:lang w:val="en-US" w:eastAsia="zh-CN"/>
              </w:rPr>
              <w:t>t/a，产生周期为</w:t>
            </w:r>
            <w:r>
              <w:rPr>
                <w:rFonts w:hint="eastAsia" w:cs="Times New Roman"/>
                <w:color w:val="auto"/>
                <w:highlight w:val="none"/>
                <w:lang w:val="en-US" w:eastAsia="zh-CN"/>
              </w:rPr>
              <w:t>10</w:t>
            </w:r>
            <w:r>
              <w:rPr>
                <w:rFonts w:hint="eastAsia" w:ascii="Times New Roman" w:hAnsi="Times New Roman" w:eastAsia="宋体" w:cs="Times New Roman"/>
                <w:color w:val="auto"/>
                <w:highlight w:val="none"/>
                <w:lang w:val="en-US" w:eastAsia="zh-CN"/>
              </w:rPr>
              <w:t>0天</w:t>
            </w:r>
            <w:r>
              <w:rPr>
                <w:rFonts w:hint="default" w:ascii="Times New Roman" w:hAnsi="Times New Roman" w:eastAsia="宋体" w:cs="Times New Roman"/>
                <w:color w:val="auto"/>
                <w:highlight w:val="none"/>
                <w:lang w:val="en-US" w:eastAsia="zh-CN"/>
              </w:rPr>
              <w:t>，本项目产生的废离子交换树脂由厂家上门更换，更换后立即外运，不在锅炉房内存放，由厂家回收再生利用。</w:t>
            </w:r>
          </w:p>
          <w:p w14:paraId="60BC582F">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（8）</w:t>
            </w:r>
            <w:r>
              <w:rPr>
                <w:rFonts w:hint="eastAsia" w:cs="Times New Roman"/>
                <w:color w:val="auto"/>
                <w:highlight w:val="none"/>
                <w:lang w:val="en-US" w:eastAsia="zh-CN"/>
              </w:rPr>
              <w:t>废机油</w:t>
            </w:r>
          </w:p>
          <w:p w14:paraId="24EDF06A">
            <w:pPr>
              <w:adjustRightInd w:val="0"/>
              <w:snapToGrid w:val="0"/>
              <w:spacing w:line="360" w:lineRule="auto"/>
              <w:ind w:firstLine="480" w:firstLineChars="200"/>
              <w:rPr>
                <w:rFonts w:hint="eastAsia" w:ascii="Times New Roman" w:hAnsi="Times New Roman" w:eastAsia="宋体" w:cs="宋体"/>
                <w:color w:val="auto"/>
                <w:kern w:val="0"/>
                <w:sz w:val="24"/>
                <w:lang w:val="en-US" w:eastAsia="zh-CN" w:bidi="ar"/>
              </w:rPr>
            </w:pPr>
            <w:r>
              <w:rPr>
                <w:rFonts w:hint="eastAsia" w:ascii="Times New Roman" w:hAnsi="Times New Roman" w:eastAsia="宋体" w:cs="宋体"/>
                <w:color w:val="auto"/>
                <w:kern w:val="0"/>
                <w:sz w:val="24"/>
                <w:lang w:val="en-US" w:eastAsia="zh-CN" w:bidi="ar"/>
              </w:rPr>
              <w:t>本项目设备维修和保养过程中会产生废机油，根据《国家危险废物名录（2025年版）》，废机油属于危险废物，废物类别“HW08废矿物油与含矿物油废物”，废物代号900-2</w:t>
            </w:r>
            <w:r>
              <w:rPr>
                <w:rFonts w:hint="eastAsia" w:cs="宋体"/>
                <w:color w:val="auto"/>
                <w:kern w:val="0"/>
                <w:sz w:val="24"/>
                <w:lang w:val="en-US" w:eastAsia="zh-CN" w:bidi="ar"/>
              </w:rPr>
              <w:t>49</w:t>
            </w:r>
            <w:r>
              <w:rPr>
                <w:rFonts w:hint="eastAsia" w:ascii="Times New Roman" w:hAnsi="Times New Roman" w:eastAsia="宋体" w:cs="宋体"/>
                <w:color w:val="auto"/>
                <w:kern w:val="0"/>
                <w:sz w:val="24"/>
                <w:lang w:val="en-US" w:eastAsia="zh-CN" w:bidi="ar"/>
              </w:rPr>
              <w:t>-08，产生量为0.5t/a。废机油集中收集暂存在危废贮存</w:t>
            </w:r>
            <w:r>
              <w:rPr>
                <w:rFonts w:hint="eastAsia" w:cs="宋体"/>
                <w:color w:val="auto"/>
                <w:kern w:val="0"/>
                <w:sz w:val="24"/>
                <w:lang w:val="en-US" w:eastAsia="zh-CN" w:bidi="ar"/>
              </w:rPr>
              <w:t>点</w:t>
            </w:r>
            <w:r>
              <w:rPr>
                <w:rFonts w:hint="eastAsia" w:ascii="Times New Roman" w:hAnsi="Times New Roman" w:eastAsia="宋体" w:cs="宋体"/>
                <w:color w:val="auto"/>
                <w:kern w:val="0"/>
                <w:sz w:val="24"/>
                <w:lang w:val="en-US" w:eastAsia="zh-CN" w:bidi="ar"/>
              </w:rPr>
              <w:t>，定期委托有资质公司处理。</w:t>
            </w:r>
          </w:p>
          <w:p w14:paraId="000254C2">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（9）</w:t>
            </w:r>
            <w:r>
              <w:rPr>
                <w:rFonts w:hint="eastAsia" w:ascii="Times New Roman" w:hAnsi="Times New Roman" w:eastAsia="宋体" w:cs="Times New Roman"/>
                <w:color w:val="auto"/>
                <w:highlight w:val="none"/>
                <w:lang w:val="en-US" w:eastAsia="zh-CN"/>
              </w:rPr>
              <w:t>生活垃圾</w:t>
            </w:r>
          </w:p>
          <w:p w14:paraId="1662FCAA">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imes New Roman" w:hAnsi="Times New Roman" w:eastAsia="宋体" w:cs="Times New Roman"/>
                <w:color w:val="auto"/>
                <w:highlight w:val="none"/>
                <w:lang w:val="en-US" w:eastAsia="zh-CN"/>
              </w:rPr>
            </w:pPr>
            <w:r>
              <w:rPr>
                <w:rFonts w:hint="default" w:ascii="Times New Roman" w:hAnsi="Times New Roman" w:cs="Times New Roman" w:eastAsiaTheme="minorEastAsia"/>
                <w:color w:val="auto"/>
                <w:sz w:val="24"/>
                <w:szCs w:val="20"/>
                <w:highlight w:val="none"/>
              </w:rPr>
              <w:t>职工生活垃圾以每人每天0.5kg计，职工人数为</w:t>
            </w:r>
            <w:r>
              <w:rPr>
                <w:rFonts w:hint="eastAsia" w:cs="Times New Roman" w:eastAsiaTheme="minorEastAsia"/>
                <w:color w:val="auto"/>
                <w:sz w:val="24"/>
                <w:szCs w:val="20"/>
                <w:highlight w:val="none"/>
                <w:lang w:val="en-US" w:eastAsia="zh-CN"/>
              </w:rPr>
              <w:t>16</w:t>
            </w:r>
            <w:r>
              <w:rPr>
                <w:rFonts w:hint="default" w:ascii="Times New Roman" w:hAnsi="Times New Roman" w:cs="Times New Roman" w:eastAsiaTheme="minorEastAsia"/>
                <w:color w:val="auto"/>
                <w:sz w:val="24"/>
                <w:szCs w:val="20"/>
                <w:highlight w:val="none"/>
              </w:rPr>
              <w:t>人，工作天数为</w:t>
            </w:r>
            <w:r>
              <w:rPr>
                <w:rFonts w:hint="eastAsia" w:cs="Times New Roman" w:eastAsiaTheme="minorEastAsia"/>
                <w:color w:val="auto"/>
                <w:sz w:val="24"/>
                <w:szCs w:val="20"/>
                <w:highlight w:val="none"/>
                <w:lang w:val="en-US" w:eastAsia="zh-CN"/>
              </w:rPr>
              <w:t>1</w:t>
            </w:r>
            <w:r>
              <w:rPr>
                <w:rFonts w:hint="eastAsia" w:ascii="Times New Roman" w:hAnsi="Times New Roman" w:cs="Times New Roman" w:eastAsiaTheme="minorEastAsia"/>
                <w:color w:val="auto"/>
                <w:sz w:val="24"/>
                <w:szCs w:val="20"/>
                <w:highlight w:val="none"/>
                <w:lang w:val="en-US" w:eastAsia="zh-CN"/>
              </w:rPr>
              <w:t>00</w:t>
            </w:r>
            <w:r>
              <w:rPr>
                <w:rFonts w:hint="default" w:ascii="Times New Roman" w:hAnsi="Times New Roman" w:cs="Times New Roman" w:eastAsiaTheme="minorEastAsia"/>
                <w:color w:val="auto"/>
                <w:sz w:val="24"/>
                <w:szCs w:val="20"/>
                <w:highlight w:val="none"/>
                <w:lang w:eastAsia="zh-CN"/>
              </w:rPr>
              <w:t>天</w:t>
            </w:r>
            <w:r>
              <w:rPr>
                <w:rFonts w:hint="default" w:ascii="Times New Roman" w:hAnsi="Times New Roman" w:cs="Times New Roman" w:eastAsiaTheme="minorEastAsia"/>
                <w:color w:val="auto"/>
                <w:sz w:val="24"/>
                <w:szCs w:val="20"/>
                <w:highlight w:val="none"/>
              </w:rPr>
              <w:t>，则生活垃圾产生量为</w:t>
            </w:r>
            <w:r>
              <w:rPr>
                <w:rFonts w:hint="eastAsia" w:ascii="Times New Roman" w:hAnsi="Times New Roman" w:cs="Times New Roman" w:eastAsiaTheme="minorEastAsia"/>
                <w:color w:val="auto"/>
                <w:sz w:val="24"/>
                <w:szCs w:val="20"/>
                <w:highlight w:val="none"/>
                <w:lang w:val="en-US" w:eastAsia="zh-CN"/>
              </w:rPr>
              <w:t>0.0</w:t>
            </w:r>
            <w:r>
              <w:rPr>
                <w:rFonts w:hint="eastAsia" w:cs="Times New Roman" w:eastAsiaTheme="minorEastAsia"/>
                <w:color w:val="auto"/>
                <w:sz w:val="24"/>
                <w:szCs w:val="20"/>
                <w:highlight w:val="none"/>
                <w:lang w:val="en-US" w:eastAsia="zh-CN"/>
              </w:rPr>
              <w:t>08</w:t>
            </w:r>
            <w:r>
              <w:rPr>
                <w:rFonts w:hint="default" w:ascii="Times New Roman" w:hAnsi="Times New Roman" w:cs="Times New Roman" w:eastAsiaTheme="minorEastAsia"/>
                <w:color w:val="auto"/>
                <w:sz w:val="24"/>
                <w:szCs w:val="20"/>
                <w:highlight w:val="none"/>
              </w:rPr>
              <w:t>t/d，即</w:t>
            </w:r>
            <w:r>
              <w:rPr>
                <w:rFonts w:hint="eastAsia" w:cs="Times New Roman" w:eastAsiaTheme="minorEastAsia"/>
                <w:color w:val="auto"/>
                <w:sz w:val="24"/>
                <w:szCs w:val="20"/>
                <w:highlight w:val="none"/>
                <w:lang w:val="en-US" w:eastAsia="zh-CN"/>
              </w:rPr>
              <w:t>0.8</w:t>
            </w:r>
            <w:r>
              <w:rPr>
                <w:rFonts w:hint="default" w:ascii="Times New Roman" w:hAnsi="Times New Roman" w:cs="Times New Roman" w:eastAsiaTheme="minorEastAsia"/>
                <w:color w:val="auto"/>
                <w:sz w:val="24"/>
                <w:szCs w:val="20"/>
                <w:highlight w:val="none"/>
              </w:rPr>
              <w:t>t/a。生活垃圾集中收集后交由</w:t>
            </w:r>
            <w:r>
              <w:rPr>
                <w:rFonts w:hint="eastAsia" w:ascii="Times New Roman" w:hAnsi="Times New Roman" w:cs="Times New Roman" w:eastAsiaTheme="minorEastAsia"/>
                <w:color w:val="auto"/>
                <w:sz w:val="24"/>
                <w:szCs w:val="20"/>
                <w:highlight w:val="none"/>
                <w:lang w:eastAsia="zh-CN"/>
              </w:rPr>
              <w:t>市政</w:t>
            </w:r>
            <w:r>
              <w:rPr>
                <w:rFonts w:hint="eastAsia" w:cs="Times New Roman" w:eastAsiaTheme="minorEastAsia"/>
                <w:color w:val="auto"/>
                <w:sz w:val="24"/>
                <w:szCs w:val="20"/>
                <w:highlight w:val="none"/>
                <w:lang w:val="en-US" w:eastAsia="zh-CN"/>
              </w:rPr>
              <w:t>环卫</w:t>
            </w:r>
            <w:r>
              <w:rPr>
                <w:rFonts w:hint="default" w:ascii="Times New Roman" w:hAnsi="Times New Roman" w:cs="Times New Roman" w:eastAsiaTheme="minorEastAsia"/>
                <w:color w:val="auto"/>
                <w:sz w:val="24"/>
                <w:szCs w:val="20"/>
                <w:highlight w:val="none"/>
              </w:rPr>
              <w:t>部门</w:t>
            </w:r>
            <w:r>
              <w:rPr>
                <w:rFonts w:hint="eastAsia" w:ascii="Times New Roman" w:hAnsi="Times New Roman" w:cs="Times New Roman" w:eastAsiaTheme="minorEastAsia"/>
                <w:color w:val="auto"/>
                <w:sz w:val="24"/>
                <w:szCs w:val="20"/>
                <w:highlight w:val="none"/>
                <w:lang w:eastAsia="zh-CN"/>
              </w:rPr>
              <w:t>统一</w:t>
            </w:r>
            <w:r>
              <w:rPr>
                <w:rFonts w:hint="default" w:ascii="Times New Roman" w:hAnsi="Times New Roman" w:cs="Times New Roman" w:eastAsiaTheme="minorEastAsia"/>
                <w:color w:val="auto"/>
                <w:sz w:val="24"/>
                <w:szCs w:val="20"/>
                <w:highlight w:val="none"/>
              </w:rPr>
              <w:t>处理</w:t>
            </w:r>
            <w:r>
              <w:rPr>
                <w:rFonts w:hint="eastAsia"/>
                <w:color w:val="auto"/>
                <w:highlight w:val="none"/>
                <w:lang w:val="en-US" w:eastAsia="zh-CN"/>
              </w:rPr>
              <w:t>。</w:t>
            </w:r>
          </w:p>
          <w:p w14:paraId="3FB1E377">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（10）包装废料</w:t>
            </w:r>
          </w:p>
          <w:p w14:paraId="087F3BB7">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imes New Roman" w:hAnsi="Times New Roman" w:eastAsia="宋体" w:cs="Times New Roman"/>
                <w:color w:val="auto"/>
                <w:highlight w:val="none"/>
                <w:lang w:val="en-US" w:eastAsia="zh-CN"/>
              </w:rPr>
            </w:pPr>
            <w:r>
              <w:rPr>
                <w:rFonts w:hint="default"/>
                <w:color w:val="auto"/>
                <w:highlight w:val="none"/>
              </w:rPr>
              <w:t>本项目</w:t>
            </w:r>
            <w:r>
              <w:rPr>
                <w:rFonts w:hint="eastAsia"/>
                <w:color w:val="auto"/>
                <w:highlight w:val="none"/>
                <w:lang w:val="en-US" w:eastAsia="zh-CN"/>
              </w:rPr>
              <w:t>生产过程中会产生</w:t>
            </w:r>
            <w:r>
              <w:rPr>
                <w:rFonts w:hint="eastAsia" w:cs="Times New Roman"/>
                <w:color w:val="auto"/>
                <w:highlight w:val="none"/>
                <w:lang w:val="en-US" w:eastAsia="zh-CN"/>
              </w:rPr>
              <w:t>包装废料</w:t>
            </w:r>
            <w:r>
              <w:rPr>
                <w:rFonts w:hint="eastAsia"/>
                <w:color w:val="auto"/>
                <w:highlight w:val="none"/>
                <w:lang w:eastAsia="zh-CN"/>
              </w:rPr>
              <w:t>，产</w:t>
            </w:r>
            <w:r>
              <w:rPr>
                <w:rFonts w:hint="eastAsia"/>
                <w:color w:val="auto"/>
                <w:highlight w:val="none"/>
                <w:lang w:val="en-US" w:eastAsia="zh-CN"/>
              </w:rPr>
              <w:t>生量</w:t>
            </w:r>
            <w:r>
              <w:rPr>
                <w:rFonts w:hint="default"/>
                <w:color w:val="auto"/>
                <w:highlight w:val="none"/>
                <w:lang w:val="en-US" w:eastAsia="zh-CN"/>
              </w:rPr>
              <w:t>为</w:t>
            </w:r>
            <w:r>
              <w:rPr>
                <w:rFonts w:hint="eastAsia"/>
                <w:color w:val="auto"/>
                <w:highlight w:val="none"/>
                <w:lang w:val="en-US" w:eastAsia="zh-CN"/>
              </w:rPr>
              <w:t>1.12</w:t>
            </w:r>
            <w:r>
              <w:rPr>
                <w:rFonts w:hint="default"/>
                <w:color w:val="auto"/>
                <w:highlight w:val="none"/>
                <w:lang w:val="en-US" w:eastAsia="zh-CN"/>
              </w:rPr>
              <w:t>t/a，</w:t>
            </w:r>
            <w:r>
              <w:rPr>
                <w:rFonts w:hint="default"/>
                <w:color w:val="auto"/>
                <w:highlight w:val="none"/>
              </w:rPr>
              <w:t>集中收</w:t>
            </w:r>
            <w:r>
              <w:rPr>
                <w:rFonts w:hint="default" w:ascii="Times New Roman" w:hAnsi="Times New Roman" w:eastAsia="宋体" w:cs="Times New Roman"/>
                <w:color w:val="auto"/>
                <w:highlight w:val="none"/>
                <w:lang w:eastAsia="zh-CN"/>
              </w:rPr>
              <w:t>集，</w:t>
            </w:r>
            <w:r>
              <w:rPr>
                <w:rFonts w:hint="eastAsia" w:cs="Times New Roman"/>
                <w:color w:val="auto"/>
                <w:highlight w:val="none"/>
                <w:lang w:val="en-US" w:eastAsia="zh-CN"/>
              </w:rPr>
              <w:t>由市政环卫部门统一处理</w:t>
            </w:r>
            <w:r>
              <w:rPr>
                <w:rFonts w:hint="default" w:ascii="Times New Roman" w:hAnsi="Times New Roman" w:eastAsia="宋体" w:cs="Times New Roman"/>
                <w:color w:val="auto"/>
                <w:highlight w:val="none"/>
                <w:lang w:eastAsia="zh-CN"/>
              </w:rPr>
              <w:t>。</w:t>
            </w:r>
          </w:p>
          <w:p w14:paraId="618D06D1">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ahoma"/>
                <w:color w:val="auto"/>
                <w:highlight w:val="none"/>
              </w:rPr>
            </w:pPr>
            <w:r>
              <w:rPr>
                <w:rFonts w:hint="default"/>
                <w:color w:val="auto"/>
                <w:highlight w:val="none"/>
              </w:rPr>
              <w:t>根据</w:t>
            </w:r>
            <w:r>
              <w:rPr>
                <w:rFonts w:hint="eastAsia" w:ascii="Times New Roman" w:hAnsi="Times New Roman" w:eastAsia="宋体" w:cs="Times New Roman"/>
                <w:color w:val="auto"/>
                <w:kern w:val="0"/>
                <w:sz w:val="24"/>
                <w:szCs w:val="28"/>
                <w:lang w:val="en-US" w:eastAsia="zh-CN" w:bidi="ar-SA"/>
              </w:rPr>
              <w:t>《固体废物分类与代码目录（2024年）》（公告2024年第4号）</w:t>
            </w:r>
            <w:r>
              <w:rPr>
                <w:rFonts w:hint="eastAsia" w:cs="Times New Roman"/>
                <w:color w:val="auto"/>
                <w:kern w:val="0"/>
                <w:sz w:val="24"/>
                <w:szCs w:val="28"/>
                <w:lang w:val="en-US" w:eastAsia="zh-CN" w:bidi="ar-SA"/>
              </w:rPr>
              <w:t>、</w:t>
            </w:r>
            <w:r>
              <w:rPr>
                <w:rFonts w:hint="eastAsia" w:ascii="Times New Roman" w:hAnsi="Times New Roman" w:eastAsia="宋体" w:cs="Times New Roman"/>
                <w:color w:val="auto"/>
                <w:kern w:val="0"/>
                <w:sz w:val="24"/>
                <w:szCs w:val="28"/>
                <w:lang w:val="en-US" w:eastAsia="zh-CN" w:bidi="ar-SA"/>
              </w:rPr>
              <w:t>《</w:t>
            </w:r>
            <w:r>
              <w:rPr>
                <w:rFonts w:hint="eastAsia" w:cs="Times New Roman"/>
                <w:color w:val="auto"/>
                <w:kern w:val="0"/>
                <w:sz w:val="24"/>
                <w:szCs w:val="28"/>
                <w:lang w:val="en-US" w:eastAsia="zh-CN" w:bidi="ar-SA"/>
              </w:rPr>
              <w:t>国家危险废物名录</w:t>
            </w:r>
            <w:r>
              <w:rPr>
                <w:rFonts w:hint="eastAsia" w:ascii="Times New Roman" w:hAnsi="Times New Roman" w:eastAsia="宋体" w:cs="Times New Roman"/>
                <w:color w:val="auto"/>
                <w:kern w:val="0"/>
                <w:sz w:val="24"/>
                <w:szCs w:val="28"/>
                <w:lang w:val="en-US" w:eastAsia="zh-CN" w:bidi="ar-SA"/>
              </w:rPr>
              <w:t>（</w:t>
            </w:r>
            <w:r>
              <w:rPr>
                <w:rFonts w:hint="eastAsia" w:cs="Times New Roman"/>
                <w:color w:val="auto"/>
                <w:kern w:val="0"/>
                <w:sz w:val="24"/>
                <w:szCs w:val="28"/>
                <w:lang w:val="en-US" w:eastAsia="zh-CN" w:bidi="ar-SA"/>
              </w:rPr>
              <w:t>2025年版</w:t>
            </w:r>
            <w:r>
              <w:rPr>
                <w:rFonts w:hint="eastAsia" w:ascii="Times New Roman" w:hAnsi="Times New Roman" w:eastAsia="宋体" w:cs="Times New Roman"/>
                <w:color w:val="auto"/>
                <w:kern w:val="0"/>
                <w:sz w:val="24"/>
                <w:szCs w:val="28"/>
                <w:lang w:val="en-US" w:eastAsia="zh-CN" w:bidi="ar-SA"/>
              </w:rPr>
              <w:t>）</w:t>
            </w:r>
            <w:r>
              <w:rPr>
                <w:rFonts w:hint="eastAsia" w:cs="Times New Roman"/>
                <w:color w:val="auto"/>
                <w:kern w:val="0"/>
                <w:sz w:val="24"/>
                <w:szCs w:val="28"/>
                <w:lang w:val="en-US" w:eastAsia="zh-CN" w:bidi="ar-SA"/>
              </w:rPr>
              <w:t>》（部令第36号）</w:t>
            </w:r>
            <w:r>
              <w:rPr>
                <w:rFonts w:hint="default"/>
                <w:color w:val="auto"/>
                <w:highlight w:val="none"/>
              </w:rPr>
              <w:t>，项目固废产生情况详见表4-</w:t>
            </w:r>
            <w:r>
              <w:rPr>
                <w:rFonts w:hint="eastAsia"/>
                <w:color w:val="auto"/>
                <w:highlight w:val="none"/>
                <w:lang w:val="en-US" w:eastAsia="zh-CN"/>
              </w:rPr>
              <w:t>18、4-19</w:t>
            </w:r>
            <w:r>
              <w:rPr>
                <w:rFonts w:hint="default" w:eastAsia="宋体"/>
                <w:color w:val="auto"/>
                <w:highlight w:val="none"/>
              </w:rPr>
              <w:t>。</w:t>
            </w:r>
          </w:p>
          <w:p w14:paraId="2FF96BED">
            <w:pPr>
              <w:pStyle w:val="111"/>
              <w:keepNext w:val="0"/>
              <w:keepLines w:val="0"/>
              <w:pageBreakBefore w:val="0"/>
              <w:suppressLineNumbers w:val="0"/>
              <w:wordWrap/>
              <w:bidi w:val="0"/>
              <w:spacing w:before="0" w:beforeAutospacing="0" w:after="0" w:afterAutospacing="0" w:line="240" w:lineRule="auto"/>
              <w:ind w:left="0" w:leftChars="0" w:right="0"/>
              <w:rPr>
                <w:rFonts w:hint="default" w:ascii="Times New Roman" w:hAnsi="Times New Roman" w:eastAsia="宋体" w:cs="Times New Roman"/>
                <w:b/>
                <w:bCs/>
                <w:iCs/>
                <w:color w:val="auto"/>
                <w:kern w:val="0"/>
                <w:sz w:val="21"/>
                <w:szCs w:val="21"/>
                <w:highlight w:val="none"/>
                <w:lang w:val="en-US" w:eastAsia="zh-CN" w:bidi="ar-SA"/>
              </w:rPr>
            </w:pPr>
            <w:r>
              <w:rPr>
                <w:rFonts w:hint="default" w:ascii="Times New Roman" w:hAnsi="Times New Roman" w:eastAsia="宋体" w:cs="Times New Roman"/>
                <w:b/>
                <w:bCs/>
                <w:iCs/>
                <w:color w:val="auto"/>
                <w:kern w:val="0"/>
                <w:sz w:val="21"/>
                <w:szCs w:val="21"/>
                <w:highlight w:val="none"/>
                <w:lang w:val="en-US" w:eastAsia="zh-CN" w:bidi="ar-SA"/>
              </w:rPr>
              <w:t>表4-</w:t>
            </w:r>
            <w:r>
              <w:rPr>
                <w:rFonts w:hint="eastAsia" w:ascii="Times New Roman" w:cs="Times New Roman"/>
                <w:b/>
                <w:bCs/>
                <w:iCs/>
                <w:color w:val="auto"/>
                <w:kern w:val="0"/>
                <w:sz w:val="21"/>
                <w:szCs w:val="21"/>
                <w:highlight w:val="none"/>
                <w:lang w:val="en-US" w:eastAsia="zh-CN" w:bidi="ar-SA"/>
              </w:rPr>
              <w:t>18</w:t>
            </w:r>
            <w:r>
              <w:rPr>
                <w:rFonts w:hint="default" w:ascii="Times New Roman" w:hAnsi="Times New Roman" w:eastAsia="宋体" w:cs="Times New Roman"/>
                <w:b/>
                <w:bCs/>
                <w:iCs/>
                <w:color w:val="auto"/>
                <w:kern w:val="0"/>
                <w:sz w:val="21"/>
                <w:szCs w:val="21"/>
                <w:highlight w:val="none"/>
                <w:lang w:val="en-US" w:eastAsia="zh-CN" w:bidi="ar-SA"/>
              </w:rPr>
              <w:t xml:space="preserve">  本项目固废汇总表</w:t>
            </w:r>
          </w:p>
          <w:tbl>
            <w:tblPr>
              <w:tblStyle w:val="32"/>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6"/>
              <w:gridCol w:w="1503"/>
              <w:gridCol w:w="1107"/>
              <w:gridCol w:w="1434"/>
              <w:gridCol w:w="926"/>
              <w:gridCol w:w="2146"/>
            </w:tblGrid>
            <w:tr w14:paraId="548C9C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41" w:type="pct"/>
                  <w:vMerge w:val="restart"/>
                  <w:noWrap w:val="0"/>
                  <w:vAlign w:val="center"/>
                </w:tcPr>
                <w:p w14:paraId="10C14048">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eastAsia"/>
                      <w:b w:val="0"/>
                      <w:bCs w:val="0"/>
                      <w:color w:val="auto"/>
                      <w:szCs w:val="21"/>
                      <w:highlight w:val="none"/>
                      <w:lang w:val="en-US" w:eastAsia="zh-CN"/>
                    </w:rPr>
                  </w:pPr>
                  <w:r>
                    <w:rPr>
                      <w:rFonts w:hint="eastAsia"/>
                      <w:b w:val="0"/>
                      <w:bCs w:val="0"/>
                      <w:color w:val="auto"/>
                      <w:szCs w:val="21"/>
                      <w:highlight w:val="none"/>
                      <w:lang w:val="en-US" w:eastAsia="zh-CN"/>
                    </w:rPr>
                    <w:t>生产</w:t>
                  </w:r>
                </w:p>
                <w:p w14:paraId="19E60176">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rPr>
                  </w:pPr>
                  <w:r>
                    <w:rPr>
                      <w:rFonts w:hint="default"/>
                      <w:b w:val="0"/>
                      <w:bCs w:val="0"/>
                      <w:color w:val="auto"/>
                      <w:szCs w:val="21"/>
                      <w:highlight w:val="none"/>
                    </w:rPr>
                    <w:t>工序</w:t>
                  </w:r>
                </w:p>
              </w:tc>
              <w:tc>
                <w:tcPr>
                  <w:tcW w:w="920" w:type="pct"/>
                  <w:noWrap w:val="0"/>
                  <w:vAlign w:val="center"/>
                </w:tcPr>
                <w:p w14:paraId="4118B3A9">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rPr>
                  </w:pPr>
                  <w:r>
                    <w:rPr>
                      <w:rFonts w:hint="default"/>
                      <w:b w:val="0"/>
                      <w:bCs w:val="0"/>
                      <w:color w:val="auto"/>
                      <w:szCs w:val="21"/>
                      <w:highlight w:val="none"/>
                    </w:rPr>
                    <w:t>固体废物名称</w:t>
                  </w:r>
                </w:p>
              </w:tc>
              <w:tc>
                <w:tcPr>
                  <w:tcW w:w="678" w:type="pct"/>
                  <w:noWrap w:val="0"/>
                  <w:vAlign w:val="center"/>
                </w:tcPr>
                <w:p w14:paraId="2E8D9E81">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rPr>
                  </w:pPr>
                  <w:r>
                    <w:rPr>
                      <w:rFonts w:hint="default"/>
                      <w:b w:val="0"/>
                      <w:bCs w:val="0"/>
                      <w:color w:val="auto"/>
                      <w:szCs w:val="21"/>
                      <w:highlight w:val="none"/>
                    </w:rPr>
                    <w:t>固废</w:t>
                  </w:r>
                </w:p>
                <w:p w14:paraId="43CEC6B5">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rPr>
                  </w:pPr>
                  <w:r>
                    <w:rPr>
                      <w:rFonts w:hint="default"/>
                      <w:b w:val="0"/>
                      <w:bCs w:val="0"/>
                      <w:color w:val="auto"/>
                      <w:szCs w:val="21"/>
                      <w:highlight w:val="none"/>
                    </w:rPr>
                    <w:t>属性</w:t>
                  </w:r>
                </w:p>
              </w:tc>
              <w:tc>
                <w:tcPr>
                  <w:tcW w:w="878" w:type="pct"/>
                  <w:noWrap w:val="0"/>
                  <w:vAlign w:val="center"/>
                </w:tcPr>
                <w:p w14:paraId="60C0F2AF">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rPr>
                  </w:pPr>
                  <w:r>
                    <w:rPr>
                      <w:rFonts w:hint="default"/>
                      <w:b w:val="0"/>
                      <w:bCs w:val="0"/>
                      <w:color w:val="auto"/>
                      <w:szCs w:val="21"/>
                      <w:highlight w:val="none"/>
                    </w:rPr>
                    <w:t>固废代码</w:t>
                  </w:r>
                </w:p>
              </w:tc>
              <w:tc>
                <w:tcPr>
                  <w:tcW w:w="567" w:type="pct"/>
                  <w:noWrap w:val="0"/>
                  <w:vAlign w:val="center"/>
                </w:tcPr>
                <w:p w14:paraId="15CEE5BE">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rPr>
                  </w:pPr>
                  <w:r>
                    <w:rPr>
                      <w:rFonts w:hint="default"/>
                      <w:b w:val="0"/>
                      <w:bCs w:val="0"/>
                      <w:color w:val="auto"/>
                      <w:szCs w:val="21"/>
                      <w:highlight w:val="none"/>
                    </w:rPr>
                    <w:t>产生量</w:t>
                  </w:r>
                </w:p>
                <w:p w14:paraId="3C753175">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rPr>
                  </w:pPr>
                  <w:r>
                    <w:rPr>
                      <w:rFonts w:hint="default"/>
                      <w:b w:val="0"/>
                      <w:bCs w:val="0"/>
                      <w:color w:val="auto"/>
                      <w:szCs w:val="21"/>
                      <w:highlight w:val="none"/>
                    </w:rPr>
                    <w:t>（t/a）</w:t>
                  </w:r>
                </w:p>
              </w:tc>
              <w:tc>
                <w:tcPr>
                  <w:tcW w:w="1314" w:type="pct"/>
                  <w:noWrap w:val="0"/>
                  <w:vAlign w:val="center"/>
                </w:tcPr>
                <w:p w14:paraId="2B5486FC">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rPr>
                  </w:pPr>
                  <w:r>
                    <w:rPr>
                      <w:rFonts w:hint="default"/>
                      <w:b w:val="0"/>
                      <w:bCs w:val="0"/>
                      <w:color w:val="auto"/>
                      <w:szCs w:val="21"/>
                      <w:highlight w:val="none"/>
                    </w:rPr>
                    <w:t>最终</w:t>
                  </w:r>
                </w:p>
                <w:p w14:paraId="48DC9469">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rPr>
                  </w:pPr>
                  <w:r>
                    <w:rPr>
                      <w:rFonts w:hint="default"/>
                      <w:b w:val="0"/>
                      <w:bCs w:val="0"/>
                      <w:color w:val="auto"/>
                      <w:szCs w:val="21"/>
                      <w:highlight w:val="none"/>
                    </w:rPr>
                    <w:t>去向</w:t>
                  </w:r>
                </w:p>
              </w:tc>
            </w:tr>
            <w:tr w14:paraId="676237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 w:hRule="atLeast"/>
                <w:jc w:val="center"/>
              </w:trPr>
              <w:tc>
                <w:tcPr>
                  <w:tcW w:w="641" w:type="pct"/>
                  <w:vMerge w:val="continue"/>
                  <w:noWrap w:val="0"/>
                  <w:vAlign w:val="center"/>
                </w:tcPr>
                <w:p w14:paraId="2E154B28">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p>
              </w:tc>
              <w:tc>
                <w:tcPr>
                  <w:tcW w:w="920" w:type="pct"/>
                  <w:noWrap w:val="0"/>
                  <w:vAlign w:val="center"/>
                </w:tcPr>
                <w:p w14:paraId="74BB2B7F">
                  <w:pPr>
                    <w:keepNext w:val="0"/>
                    <w:keepLines w:val="0"/>
                    <w:pageBreakBefore w:val="0"/>
                    <w:suppressLineNumbers w:val="0"/>
                    <w:wordWrap/>
                    <w:bidi w:val="0"/>
                    <w:adjustRightInd w:val="0"/>
                    <w:snapToGrid w:val="0"/>
                    <w:spacing w:before="0" w:beforeAutospacing="0" w:after="0" w:afterAutospacing="0" w:line="240" w:lineRule="auto"/>
                    <w:ind w:left="0" w:leftChars="0" w:right="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工艺废料</w:t>
                  </w:r>
                </w:p>
              </w:tc>
              <w:tc>
                <w:tcPr>
                  <w:tcW w:w="678" w:type="pct"/>
                  <w:noWrap w:val="0"/>
                  <w:vAlign w:val="center"/>
                </w:tcPr>
                <w:p w14:paraId="16FC93C5">
                  <w:pPr>
                    <w:keepNext w:val="0"/>
                    <w:keepLines w:val="0"/>
                    <w:pageBreakBefore w:val="0"/>
                    <w:suppressLineNumbers w:val="0"/>
                    <w:wordWrap/>
                    <w:bidi w:val="0"/>
                    <w:adjustRightInd w:val="0"/>
                    <w:snapToGrid w:val="0"/>
                    <w:spacing w:before="0" w:beforeAutospacing="0" w:after="0" w:afterAutospacing="0" w:line="240" w:lineRule="auto"/>
                    <w:ind w:left="0" w:leftChars="0" w:right="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一般工业固废</w:t>
                  </w:r>
                </w:p>
              </w:tc>
              <w:tc>
                <w:tcPr>
                  <w:tcW w:w="878" w:type="pct"/>
                  <w:noWrap w:val="0"/>
                  <w:vAlign w:val="center"/>
                </w:tcPr>
                <w:p w14:paraId="25182E84">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900-099-S59</w:t>
                  </w:r>
                </w:p>
              </w:tc>
              <w:tc>
                <w:tcPr>
                  <w:tcW w:w="567" w:type="pct"/>
                  <w:noWrap w:val="0"/>
                  <w:vAlign w:val="center"/>
                </w:tcPr>
                <w:p w14:paraId="1B053428">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lang w:val="en-US" w:eastAsia="zh-CN"/>
                    </w:rPr>
                  </w:pPr>
                  <w:r>
                    <w:rPr>
                      <w:rFonts w:hint="eastAsia"/>
                      <w:b w:val="0"/>
                      <w:bCs w:val="0"/>
                      <w:color w:val="auto"/>
                      <w:szCs w:val="21"/>
                      <w:highlight w:val="none"/>
                      <w:lang w:val="en-US" w:eastAsia="zh-CN"/>
                    </w:rPr>
                    <w:t>148.38</w:t>
                  </w:r>
                </w:p>
              </w:tc>
              <w:tc>
                <w:tcPr>
                  <w:tcW w:w="1314" w:type="pct"/>
                  <w:vMerge w:val="restart"/>
                  <w:noWrap w:val="0"/>
                  <w:vAlign w:val="center"/>
                </w:tcPr>
                <w:p w14:paraId="36E18BFD">
                  <w:pPr>
                    <w:keepNext w:val="0"/>
                    <w:keepLines w:val="0"/>
                    <w:pageBreakBefore w:val="0"/>
                    <w:suppressLineNumbers w:val="0"/>
                    <w:wordWrap/>
                    <w:bidi w:val="0"/>
                    <w:adjustRightInd w:val="0"/>
                    <w:snapToGrid w:val="0"/>
                    <w:spacing w:before="0" w:beforeAutospacing="0" w:after="0" w:afterAutospacing="0" w:line="240" w:lineRule="auto"/>
                    <w:ind w:left="0" w:leftChars="0" w:right="0"/>
                    <w:jc w:val="center"/>
                    <w:rPr>
                      <w:rFonts w:hint="default"/>
                      <w:color w:val="auto"/>
                      <w:szCs w:val="21"/>
                      <w:highlight w:val="none"/>
                    </w:rPr>
                  </w:pPr>
                  <w:r>
                    <w:rPr>
                      <w:rFonts w:hint="eastAsia" w:cs="Times New Roman"/>
                      <w:color w:val="auto"/>
                      <w:highlight w:val="none"/>
                      <w:lang w:val="en-US" w:eastAsia="zh-CN"/>
                    </w:rPr>
                    <w:t>外售至饲料加工公司</w:t>
                  </w:r>
                </w:p>
              </w:tc>
            </w:tr>
            <w:tr w14:paraId="47013A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1" w:type="pct"/>
                  <w:vMerge w:val="continue"/>
                  <w:noWrap w:val="0"/>
                  <w:vAlign w:val="center"/>
                </w:tcPr>
                <w:p w14:paraId="6D2837D8">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p>
              </w:tc>
              <w:tc>
                <w:tcPr>
                  <w:tcW w:w="920" w:type="pct"/>
                  <w:noWrap w:val="0"/>
                  <w:vAlign w:val="center"/>
                </w:tcPr>
                <w:p w14:paraId="3B131CA4">
                  <w:pPr>
                    <w:keepNext w:val="0"/>
                    <w:keepLines w:val="0"/>
                    <w:pageBreakBefore w:val="0"/>
                    <w:suppressLineNumbers w:val="0"/>
                    <w:wordWrap/>
                    <w:bidi w:val="0"/>
                    <w:adjustRightInd w:val="0"/>
                    <w:snapToGrid w:val="0"/>
                    <w:spacing w:before="0" w:beforeAutospacing="0" w:after="0" w:afterAutospacing="0" w:line="240" w:lineRule="auto"/>
                    <w:ind w:left="0" w:leftChars="0" w:right="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不合格产品</w:t>
                  </w:r>
                </w:p>
              </w:tc>
              <w:tc>
                <w:tcPr>
                  <w:tcW w:w="678" w:type="pct"/>
                  <w:noWrap w:val="0"/>
                  <w:vAlign w:val="center"/>
                </w:tcPr>
                <w:p w14:paraId="1B51B29C">
                  <w:pPr>
                    <w:keepNext w:val="0"/>
                    <w:keepLines w:val="0"/>
                    <w:pageBreakBefore w:val="0"/>
                    <w:suppressLineNumbers w:val="0"/>
                    <w:wordWrap/>
                    <w:bidi w:val="0"/>
                    <w:adjustRightInd w:val="0"/>
                    <w:snapToGrid w:val="0"/>
                    <w:spacing w:before="0" w:beforeAutospacing="0" w:after="0" w:afterAutospacing="0" w:line="240" w:lineRule="auto"/>
                    <w:ind w:left="0" w:leftChars="0" w:right="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一般工业固废</w:t>
                  </w:r>
                </w:p>
              </w:tc>
              <w:tc>
                <w:tcPr>
                  <w:tcW w:w="878" w:type="pct"/>
                  <w:noWrap w:val="0"/>
                  <w:vAlign w:val="center"/>
                </w:tcPr>
                <w:p w14:paraId="7507E2D7">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900-099-S59</w:t>
                  </w:r>
                </w:p>
              </w:tc>
              <w:tc>
                <w:tcPr>
                  <w:tcW w:w="567" w:type="pct"/>
                  <w:noWrap w:val="0"/>
                  <w:vAlign w:val="center"/>
                </w:tcPr>
                <w:p w14:paraId="4D243CD4">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lang w:val="en-US" w:eastAsia="zh-CN"/>
                    </w:rPr>
                  </w:pPr>
                  <w:r>
                    <w:rPr>
                      <w:rFonts w:hint="eastAsia"/>
                      <w:b w:val="0"/>
                      <w:bCs w:val="0"/>
                      <w:color w:val="auto"/>
                      <w:szCs w:val="21"/>
                      <w:highlight w:val="none"/>
                      <w:lang w:val="en-US" w:eastAsia="zh-CN"/>
                    </w:rPr>
                    <w:t>12.5</w:t>
                  </w:r>
                </w:p>
              </w:tc>
              <w:tc>
                <w:tcPr>
                  <w:tcW w:w="1314" w:type="pct"/>
                  <w:vMerge w:val="continue"/>
                  <w:noWrap w:val="0"/>
                  <w:vAlign w:val="center"/>
                </w:tcPr>
                <w:p w14:paraId="382504DA">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p>
              </w:tc>
            </w:tr>
            <w:tr w14:paraId="414CBF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1" w:type="pct"/>
                  <w:vMerge w:val="continue"/>
                  <w:noWrap w:val="0"/>
                  <w:vAlign w:val="center"/>
                </w:tcPr>
                <w:p w14:paraId="08490EDC">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p>
              </w:tc>
              <w:tc>
                <w:tcPr>
                  <w:tcW w:w="920" w:type="pct"/>
                  <w:noWrap w:val="0"/>
                  <w:vAlign w:val="center"/>
                </w:tcPr>
                <w:p w14:paraId="45F35539">
                  <w:pPr>
                    <w:keepNext w:val="0"/>
                    <w:keepLines w:val="0"/>
                    <w:pageBreakBefore w:val="0"/>
                    <w:suppressLineNumbers w:val="0"/>
                    <w:wordWrap/>
                    <w:bidi w:val="0"/>
                    <w:adjustRightInd w:val="0"/>
                    <w:snapToGrid w:val="0"/>
                    <w:spacing w:before="0" w:beforeAutospacing="0" w:after="0" w:afterAutospacing="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锅炉除尘灰和锅炉灰渣</w:t>
                  </w:r>
                </w:p>
              </w:tc>
              <w:tc>
                <w:tcPr>
                  <w:tcW w:w="678" w:type="pct"/>
                  <w:noWrap w:val="0"/>
                  <w:vAlign w:val="center"/>
                </w:tcPr>
                <w:p w14:paraId="10855D6E">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一般工业固废</w:t>
                  </w:r>
                </w:p>
              </w:tc>
              <w:tc>
                <w:tcPr>
                  <w:tcW w:w="878" w:type="pct"/>
                  <w:noWrap w:val="0"/>
                  <w:vAlign w:val="center"/>
                </w:tcPr>
                <w:p w14:paraId="7D735B10">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900-099-S03</w:t>
                  </w:r>
                </w:p>
              </w:tc>
              <w:tc>
                <w:tcPr>
                  <w:tcW w:w="567" w:type="pct"/>
                  <w:noWrap w:val="0"/>
                  <w:vAlign w:val="center"/>
                </w:tcPr>
                <w:p w14:paraId="6B8496F9">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lang w:val="en-US" w:eastAsia="zh-CN"/>
                    </w:rPr>
                  </w:pPr>
                  <w:r>
                    <w:rPr>
                      <w:rFonts w:hint="default"/>
                      <w:b w:val="0"/>
                      <w:bCs w:val="0"/>
                      <w:color w:val="auto"/>
                      <w:szCs w:val="21"/>
                      <w:highlight w:val="none"/>
                      <w:lang w:val="en-US" w:eastAsia="zh-CN"/>
                    </w:rPr>
                    <w:t>15.004</w:t>
                  </w:r>
                </w:p>
              </w:tc>
              <w:tc>
                <w:tcPr>
                  <w:tcW w:w="1314" w:type="pct"/>
                  <w:noWrap w:val="0"/>
                  <w:vAlign w:val="center"/>
                </w:tcPr>
                <w:p w14:paraId="0FFADD6D">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highlight w:val="none"/>
                      <w:lang w:eastAsia="zh-CN"/>
                    </w:rPr>
                    <w:t>定期外售至肥料生产企业</w:t>
                  </w:r>
                </w:p>
              </w:tc>
            </w:tr>
            <w:tr w14:paraId="762D60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1" w:type="pct"/>
                  <w:vMerge w:val="continue"/>
                  <w:noWrap w:val="0"/>
                  <w:vAlign w:val="center"/>
                </w:tcPr>
                <w:p w14:paraId="5E282C7D">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p>
              </w:tc>
              <w:tc>
                <w:tcPr>
                  <w:tcW w:w="920" w:type="pct"/>
                  <w:noWrap w:val="0"/>
                  <w:vAlign w:val="center"/>
                </w:tcPr>
                <w:p w14:paraId="7877AC85">
                  <w:pPr>
                    <w:keepNext w:val="0"/>
                    <w:keepLines w:val="0"/>
                    <w:pageBreakBefore w:val="0"/>
                    <w:suppressLineNumbers w:val="0"/>
                    <w:wordWrap/>
                    <w:bidi w:val="0"/>
                    <w:adjustRightInd w:val="0"/>
                    <w:snapToGrid w:val="0"/>
                    <w:spacing w:before="0" w:beforeAutospacing="0" w:after="0" w:afterAutospacing="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废布袋</w:t>
                  </w:r>
                </w:p>
              </w:tc>
              <w:tc>
                <w:tcPr>
                  <w:tcW w:w="678" w:type="pct"/>
                  <w:noWrap w:val="0"/>
                  <w:vAlign w:val="center"/>
                </w:tcPr>
                <w:p w14:paraId="62F1D058">
                  <w:pPr>
                    <w:keepNext w:val="0"/>
                    <w:keepLines w:val="0"/>
                    <w:pageBreakBefore w:val="0"/>
                    <w:suppressLineNumbers w:val="0"/>
                    <w:wordWrap/>
                    <w:bidi w:val="0"/>
                    <w:adjustRightInd w:val="0"/>
                    <w:snapToGrid w:val="0"/>
                    <w:spacing w:before="0" w:beforeAutospacing="0" w:after="0" w:afterAutospacing="0" w:line="240" w:lineRule="auto"/>
                    <w:ind w:left="0" w:leftChars="0" w:right="0"/>
                    <w:jc w:val="center"/>
                    <w:rPr>
                      <w:rFonts w:hint="default"/>
                      <w:color w:val="auto"/>
                      <w:szCs w:val="21"/>
                      <w:highlight w:val="none"/>
                    </w:rPr>
                  </w:pPr>
                  <w:r>
                    <w:rPr>
                      <w:rFonts w:hint="default" w:ascii="Times New Roman" w:hAnsi="Times New Roman" w:eastAsia="宋体" w:cs="Times New Roman"/>
                      <w:color w:val="auto"/>
                      <w:kern w:val="0"/>
                      <w:sz w:val="21"/>
                      <w:szCs w:val="21"/>
                      <w:highlight w:val="none"/>
                      <w:lang w:val="en-US" w:eastAsia="zh-CN" w:bidi="ar-SA"/>
                    </w:rPr>
                    <w:t>一般工业固废</w:t>
                  </w:r>
                </w:p>
              </w:tc>
              <w:tc>
                <w:tcPr>
                  <w:tcW w:w="878" w:type="pct"/>
                  <w:noWrap w:val="0"/>
                  <w:vAlign w:val="center"/>
                </w:tcPr>
                <w:p w14:paraId="5A51BC94">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ascii="Times New Roman" w:hAnsi="Times New Roman" w:cs="Times New Roman"/>
                      <w:snapToGrid w:val="0"/>
                      <w:color w:val="auto"/>
                      <w:szCs w:val="21"/>
                      <w:highlight w:val="none"/>
                      <w:lang w:val="en-US" w:eastAsia="zh-CN"/>
                    </w:rPr>
                  </w:pPr>
                  <w:r>
                    <w:rPr>
                      <w:rFonts w:hint="eastAsia" w:cs="Times New Roman"/>
                      <w:color w:val="auto"/>
                      <w:kern w:val="0"/>
                      <w:sz w:val="21"/>
                      <w:szCs w:val="21"/>
                      <w:highlight w:val="none"/>
                      <w:lang w:val="en-US" w:eastAsia="zh-CN" w:bidi="ar-SA"/>
                    </w:rPr>
                    <w:t>900-099-S17</w:t>
                  </w:r>
                </w:p>
              </w:tc>
              <w:tc>
                <w:tcPr>
                  <w:tcW w:w="567" w:type="pct"/>
                  <w:noWrap w:val="0"/>
                  <w:vAlign w:val="center"/>
                </w:tcPr>
                <w:p w14:paraId="4E110C16">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eastAsia"/>
                      <w:b w:val="0"/>
                      <w:bCs w:val="0"/>
                      <w:color w:val="auto"/>
                      <w:szCs w:val="21"/>
                      <w:highlight w:val="none"/>
                      <w:lang w:val="en-US" w:eastAsia="zh-CN"/>
                    </w:rPr>
                  </w:pPr>
                  <w:r>
                    <w:rPr>
                      <w:rFonts w:hint="eastAsia"/>
                      <w:b w:val="0"/>
                      <w:bCs w:val="0"/>
                      <w:color w:val="auto"/>
                      <w:szCs w:val="21"/>
                      <w:highlight w:val="none"/>
                      <w:lang w:val="en-US" w:eastAsia="zh-CN"/>
                    </w:rPr>
                    <w:t>0.02t/2a</w:t>
                  </w:r>
                </w:p>
              </w:tc>
              <w:tc>
                <w:tcPr>
                  <w:tcW w:w="1314" w:type="pct"/>
                  <w:noWrap w:val="0"/>
                  <w:vAlign w:val="center"/>
                </w:tcPr>
                <w:p w14:paraId="5AEE90D2">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eastAsia"/>
                      <w:color w:val="auto"/>
                      <w:szCs w:val="21"/>
                      <w:highlight w:val="none"/>
                      <w:lang w:eastAsia="zh-CN"/>
                    </w:rPr>
                  </w:pPr>
                  <w:r>
                    <w:rPr>
                      <w:rFonts w:hint="default" w:ascii="Times New Roman" w:hAnsi="Times New Roman" w:eastAsia="宋体" w:cs="Times New Roman"/>
                      <w:color w:val="auto"/>
                      <w:highlight w:val="none"/>
                      <w:lang w:val="en-US" w:eastAsia="zh-CN"/>
                    </w:rPr>
                    <w:t>由厂家回收</w:t>
                  </w:r>
                </w:p>
              </w:tc>
            </w:tr>
            <w:tr w14:paraId="14061F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1" w:type="pct"/>
                  <w:vMerge w:val="continue"/>
                  <w:noWrap w:val="0"/>
                  <w:vAlign w:val="center"/>
                </w:tcPr>
                <w:p w14:paraId="01453AC9">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p>
              </w:tc>
              <w:tc>
                <w:tcPr>
                  <w:tcW w:w="920" w:type="pct"/>
                  <w:noWrap w:val="0"/>
                  <w:vAlign w:val="center"/>
                </w:tcPr>
                <w:p w14:paraId="7CAD705A">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废离子交换树脂</w:t>
                  </w:r>
                </w:p>
              </w:tc>
              <w:tc>
                <w:tcPr>
                  <w:tcW w:w="678" w:type="pct"/>
                  <w:noWrap w:val="0"/>
                  <w:vAlign w:val="center"/>
                </w:tcPr>
                <w:p w14:paraId="71E2BF21">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一般工业固废</w:t>
                  </w:r>
                </w:p>
              </w:tc>
              <w:tc>
                <w:tcPr>
                  <w:tcW w:w="878" w:type="pct"/>
                  <w:noWrap w:val="0"/>
                  <w:vAlign w:val="center"/>
                </w:tcPr>
                <w:p w14:paraId="7A710030">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900-099-S17</w:t>
                  </w:r>
                </w:p>
              </w:tc>
              <w:tc>
                <w:tcPr>
                  <w:tcW w:w="567" w:type="pct"/>
                  <w:noWrap w:val="0"/>
                  <w:vAlign w:val="center"/>
                </w:tcPr>
                <w:p w14:paraId="51DC7CEE">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eastAsia"/>
                      <w:b w:val="0"/>
                      <w:bCs w:val="0"/>
                      <w:color w:val="auto"/>
                      <w:szCs w:val="21"/>
                      <w:highlight w:val="none"/>
                      <w:lang w:val="en-US" w:eastAsia="zh-CN"/>
                    </w:rPr>
                  </w:pPr>
                  <w:r>
                    <w:rPr>
                      <w:rFonts w:hint="default"/>
                      <w:b w:val="0"/>
                      <w:bCs w:val="0"/>
                      <w:color w:val="auto"/>
                      <w:szCs w:val="21"/>
                      <w:highlight w:val="none"/>
                      <w:lang w:val="en-US" w:eastAsia="zh-CN"/>
                    </w:rPr>
                    <w:t>0.</w:t>
                  </w:r>
                  <w:r>
                    <w:rPr>
                      <w:rFonts w:hint="eastAsia"/>
                      <w:b w:val="0"/>
                      <w:bCs w:val="0"/>
                      <w:color w:val="auto"/>
                      <w:szCs w:val="21"/>
                      <w:highlight w:val="none"/>
                      <w:lang w:val="en-US" w:eastAsia="zh-CN"/>
                    </w:rPr>
                    <w:t>5</w:t>
                  </w:r>
                </w:p>
              </w:tc>
              <w:tc>
                <w:tcPr>
                  <w:tcW w:w="1314" w:type="pct"/>
                  <w:noWrap w:val="0"/>
                  <w:vAlign w:val="center"/>
                </w:tcPr>
                <w:p w14:paraId="02472BD4">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由厂家回收处理</w:t>
                  </w:r>
                </w:p>
              </w:tc>
            </w:tr>
            <w:tr w14:paraId="54509E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1" w:type="pct"/>
                  <w:vMerge w:val="continue"/>
                  <w:noWrap w:val="0"/>
                  <w:vAlign w:val="center"/>
                </w:tcPr>
                <w:p w14:paraId="0B395014">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p>
              </w:tc>
              <w:tc>
                <w:tcPr>
                  <w:tcW w:w="920" w:type="pct"/>
                  <w:noWrap w:val="0"/>
                  <w:vAlign w:val="center"/>
                </w:tcPr>
                <w:p w14:paraId="7B75D3C9">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包装废料</w:t>
                  </w:r>
                </w:p>
              </w:tc>
              <w:tc>
                <w:tcPr>
                  <w:tcW w:w="678" w:type="pct"/>
                  <w:noWrap w:val="0"/>
                  <w:vAlign w:val="center"/>
                </w:tcPr>
                <w:p w14:paraId="6980EC1A">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一般工业固废</w:t>
                  </w:r>
                </w:p>
              </w:tc>
              <w:tc>
                <w:tcPr>
                  <w:tcW w:w="878" w:type="pct"/>
                  <w:noWrap w:val="0"/>
                  <w:vAlign w:val="center"/>
                </w:tcPr>
                <w:p w14:paraId="01375397">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900-003-S17</w:t>
                  </w:r>
                </w:p>
                <w:p w14:paraId="52F8C1D3">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900-005-S17</w:t>
                  </w:r>
                </w:p>
              </w:tc>
              <w:tc>
                <w:tcPr>
                  <w:tcW w:w="567" w:type="pct"/>
                  <w:noWrap w:val="0"/>
                  <w:vAlign w:val="center"/>
                </w:tcPr>
                <w:p w14:paraId="56F918A9">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lang w:val="en-US" w:eastAsia="zh-CN"/>
                    </w:rPr>
                  </w:pPr>
                  <w:r>
                    <w:rPr>
                      <w:rFonts w:hint="eastAsia"/>
                      <w:b w:val="0"/>
                      <w:bCs w:val="0"/>
                      <w:color w:val="auto"/>
                      <w:szCs w:val="21"/>
                      <w:highlight w:val="none"/>
                      <w:lang w:val="en-US" w:eastAsia="zh-CN"/>
                    </w:rPr>
                    <w:t>1.12</w:t>
                  </w:r>
                </w:p>
              </w:tc>
              <w:tc>
                <w:tcPr>
                  <w:tcW w:w="1314" w:type="pct"/>
                  <w:noWrap w:val="0"/>
                  <w:vAlign w:val="center"/>
                </w:tcPr>
                <w:p w14:paraId="336DD7B4">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cs="Times New Roman"/>
                      <w:color w:val="auto"/>
                      <w:highlight w:val="none"/>
                    </w:rPr>
                  </w:pPr>
                  <w:r>
                    <w:rPr>
                      <w:rFonts w:hint="default" w:ascii="Times New Roman" w:hAnsi="Times New Roman" w:eastAsia="宋体" w:cs="Times New Roman"/>
                      <w:b w:val="0"/>
                      <w:bCs w:val="0"/>
                      <w:color w:val="auto"/>
                      <w:kern w:val="0"/>
                      <w:sz w:val="21"/>
                      <w:szCs w:val="21"/>
                      <w:highlight w:val="none"/>
                      <w:lang w:val="en-US" w:eastAsia="zh-CN" w:bidi="ar-SA"/>
                    </w:rPr>
                    <w:t>由市政环卫部门统一处理</w:t>
                  </w:r>
                </w:p>
              </w:tc>
            </w:tr>
            <w:tr w14:paraId="701022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1" w:type="pct"/>
                  <w:vMerge w:val="continue"/>
                  <w:noWrap w:val="0"/>
                  <w:vAlign w:val="center"/>
                </w:tcPr>
                <w:p w14:paraId="7F789A67">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p>
              </w:tc>
              <w:tc>
                <w:tcPr>
                  <w:tcW w:w="920" w:type="pct"/>
                  <w:noWrap w:val="0"/>
                  <w:vAlign w:val="center"/>
                </w:tcPr>
                <w:p w14:paraId="48383391">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废机油</w:t>
                  </w:r>
                </w:p>
              </w:tc>
              <w:tc>
                <w:tcPr>
                  <w:tcW w:w="678" w:type="pct"/>
                  <w:noWrap w:val="0"/>
                  <w:vAlign w:val="center"/>
                </w:tcPr>
                <w:p w14:paraId="79B66A75">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危险废物</w:t>
                  </w:r>
                </w:p>
              </w:tc>
              <w:tc>
                <w:tcPr>
                  <w:tcW w:w="878" w:type="pct"/>
                  <w:noWrap w:val="0"/>
                  <w:vAlign w:val="center"/>
                </w:tcPr>
                <w:p w14:paraId="6BD06E40">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lang w:val="en-US" w:eastAsia="zh-CN"/>
                    </w:rPr>
                    <w:t>900-249-08</w:t>
                  </w:r>
                </w:p>
              </w:tc>
              <w:tc>
                <w:tcPr>
                  <w:tcW w:w="567" w:type="pct"/>
                  <w:noWrap w:val="0"/>
                  <w:vAlign w:val="center"/>
                </w:tcPr>
                <w:p w14:paraId="6832D8BB">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lang w:val="en-US" w:eastAsia="zh-CN"/>
                    </w:rPr>
                  </w:pPr>
                  <w:r>
                    <w:rPr>
                      <w:rFonts w:hint="eastAsia"/>
                      <w:b w:val="0"/>
                      <w:bCs w:val="0"/>
                      <w:color w:val="auto"/>
                      <w:szCs w:val="21"/>
                      <w:highlight w:val="none"/>
                      <w:lang w:val="en-US" w:eastAsia="zh-CN"/>
                    </w:rPr>
                    <w:t>0.5</w:t>
                  </w:r>
                </w:p>
              </w:tc>
              <w:tc>
                <w:tcPr>
                  <w:tcW w:w="1314" w:type="pct"/>
                  <w:noWrap w:val="0"/>
                  <w:vAlign w:val="center"/>
                </w:tcPr>
                <w:p w14:paraId="51A482C5">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cs="Times New Roman"/>
                      <w:color w:val="auto"/>
                      <w:highlight w:val="none"/>
                    </w:rPr>
                  </w:pPr>
                  <w:r>
                    <w:rPr>
                      <w:rFonts w:hint="eastAsia" w:ascii="Times New Roman" w:hAnsi="Times New Roman" w:eastAsia="宋体" w:cs="Times New Roman"/>
                      <w:color w:val="auto"/>
                      <w:kern w:val="0"/>
                      <w:sz w:val="21"/>
                      <w:szCs w:val="21"/>
                      <w:lang w:val="en-US" w:eastAsia="zh-CN"/>
                    </w:rPr>
                    <w:t>集中收集，交有资质公司处理</w:t>
                  </w:r>
                </w:p>
              </w:tc>
            </w:tr>
            <w:tr w14:paraId="1AD4A5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6" w:hRule="atLeast"/>
                <w:jc w:val="center"/>
              </w:trPr>
              <w:tc>
                <w:tcPr>
                  <w:tcW w:w="641" w:type="pct"/>
                  <w:noWrap w:val="0"/>
                  <w:vAlign w:val="center"/>
                </w:tcPr>
                <w:p w14:paraId="52383C41">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eastAsia"/>
                      <w:color w:val="auto"/>
                      <w:szCs w:val="21"/>
                      <w:highlight w:val="none"/>
                      <w:lang w:val="en-US" w:eastAsia="zh-CN"/>
                    </w:rPr>
                  </w:pPr>
                  <w:r>
                    <w:rPr>
                      <w:rFonts w:hint="eastAsia"/>
                      <w:color w:val="auto"/>
                      <w:szCs w:val="21"/>
                      <w:highlight w:val="none"/>
                      <w:lang w:val="en-US" w:eastAsia="zh-CN"/>
                    </w:rPr>
                    <w:t>员工</w:t>
                  </w:r>
                </w:p>
                <w:p w14:paraId="7D5E427D">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r>
                    <w:rPr>
                      <w:rFonts w:hint="default"/>
                      <w:color w:val="auto"/>
                      <w:szCs w:val="21"/>
                      <w:highlight w:val="none"/>
                    </w:rPr>
                    <w:t>生活</w:t>
                  </w:r>
                </w:p>
              </w:tc>
              <w:tc>
                <w:tcPr>
                  <w:tcW w:w="920" w:type="pct"/>
                  <w:noWrap w:val="0"/>
                  <w:vAlign w:val="center"/>
                </w:tcPr>
                <w:p w14:paraId="49FE42F7">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r>
                    <w:rPr>
                      <w:rFonts w:hint="default"/>
                      <w:color w:val="auto"/>
                      <w:szCs w:val="21"/>
                      <w:highlight w:val="none"/>
                    </w:rPr>
                    <w:t>生活垃圾</w:t>
                  </w:r>
                </w:p>
              </w:tc>
              <w:tc>
                <w:tcPr>
                  <w:tcW w:w="678" w:type="pct"/>
                  <w:noWrap w:val="0"/>
                  <w:vAlign w:val="center"/>
                </w:tcPr>
                <w:p w14:paraId="2D808690">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r>
                    <w:rPr>
                      <w:rFonts w:hint="default"/>
                      <w:color w:val="auto"/>
                      <w:szCs w:val="21"/>
                      <w:highlight w:val="none"/>
                    </w:rPr>
                    <w:t>一般固废</w:t>
                  </w:r>
                </w:p>
              </w:tc>
              <w:tc>
                <w:tcPr>
                  <w:tcW w:w="878" w:type="pct"/>
                  <w:noWrap w:val="0"/>
                  <w:vAlign w:val="center"/>
                </w:tcPr>
                <w:p w14:paraId="402F77CE">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eastAsia" w:eastAsia="宋体"/>
                      <w:color w:val="auto"/>
                      <w:szCs w:val="21"/>
                      <w:highlight w:val="none"/>
                      <w:lang w:val="en-US" w:eastAsia="zh-CN"/>
                    </w:rPr>
                  </w:pPr>
                  <w:r>
                    <w:rPr>
                      <w:rFonts w:hint="eastAsia"/>
                      <w:color w:val="auto"/>
                      <w:szCs w:val="21"/>
                      <w:highlight w:val="none"/>
                      <w:lang w:val="en-US" w:eastAsia="zh-CN"/>
                    </w:rPr>
                    <w:t>900-099-S64</w:t>
                  </w:r>
                </w:p>
              </w:tc>
              <w:tc>
                <w:tcPr>
                  <w:tcW w:w="567" w:type="pct"/>
                  <w:noWrap w:val="0"/>
                  <w:vAlign w:val="center"/>
                </w:tcPr>
                <w:p w14:paraId="51AB84A8">
                  <w:pPr>
                    <w:pStyle w:val="113"/>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0.8</w:t>
                  </w:r>
                </w:p>
              </w:tc>
              <w:tc>
                <w:tcPr>
                  <w:tcW w:w="1314" w:type="pct"/>
                  <w:noWrap w:val="0"/>
                  <w:vAlign w:val="center"/>
                </w:tcPr>
                <w:p w14:paraId="685089CC">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由市政环卫部门统一处理</w:t>
                  </w:r>
                </w:p>
              </w:tc>
            </w:tr>
          </w:tbl>
          <w:p w14:paraId="73ACE840">
            <w:pPr>
              <w:jc w:val="center"/>
              <w:rPr>
                <w:b/>
                <w:bCs/>
                <w:iCs/>
                <w:color w:val="auto"/>
                <w:kern w:val="0"/>
                <w:szCs w:val="21"/>
              </w:rPr>
            </w:pPr>
            <w:r>
              <w:rPr>
                <w:b/>
                <w:bCs/>
                <w:iCs/>
                <w:color w:val="auto"/>
                <w:kern w:val="0"/>
                <w:szCs w:val="21"/>
              </w:rPr>
              <w:t>表</w:t>
            </w:r>
            <w:r>
              <w:rPr>
                <w:rFonts w:hint="eastAsia"/>
                <w:b/>
                <w:bCs/>
                <w:iCs/>
                <w:color w:val="auto"/>
                <w:kern w:val="0"/>
                <w:szCs w:val="21"/>
              </w:rPr>
              <w:t>4-1</w:t>
            </w:r>
            <w:r>
              <w:rPr>
                <w:rFonts w:hint="eastAsia"/>
                <w:b/>
                <w:bCs/>
                <w:iCs/>
                <w:color w:val="auto"/>
                <w:kern w:val="0"/>
                <w:szCs w:val="21"/>
                <w:lang w:val="en-US" w:eastAsia="zh-CN"/>
              </w:rPr>
              <w:t xml:space="preserve">9 </w:t>
            </w:r>
            <w:r>
              <w:rPr>
                <w:rFonts w:hint="eastAsia"/>
                <w:b/>
                <w:bCs/>
                <w:iCs/>
                <w:color w:val="auto"/>
                <w:kern w:val="0"/>
                <w:szCs w:val="21"/>
              </w:rPr>
              <w:t xml:space="preserve"> </w:t>
            </w:r>
            <w:r>
              <w:rPr>
                <w:b/>
                <w:bCs/>
                <w:iCs/>
                <w:color w:val="auto"/>
                <w:kern w:val="0"/>
                <w:szCs w:val="21"/>
              </w:rPr>
              <w:t>本项目危险废物产生量及处置情况表</w:t>
            </w:r>
          </w:p>
          <w:tbl>
            <w:tblPr>
              <w:tblStyle w:val="32"/>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1"/>
              <w:gridCol w:w="680"/>
              <w:gridCol w:w="914"/>
              <w:gridCol w:w="1283"/>
              <w:gridCol w:w="696"/>
              <w:gridCol w:w="866"/>
              <w:gridCol w:w="411"/>
              <w:gridCol w:w="618"/>
              <w:gridCol w:w="386"/>
              <w:gridCol w:w="357"/>
              <w:gridCol w:w="1542"/>
            </w:tblGrid>
            <w:tr w14:paraId="2F7C14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252" w:type="pct"/>
                  <w:vAlign w:val="center"/>
                </w:tcPr>
                <w:p w14:paraId="672743E6">
                  <w:pPr>
                    <w:topLinePunct/>
                    <w:spacing w:line="360" w:lineRule="auto"/>
                    <w:jc w:val="center"/>
                    <w:rPr>
                      <w:color w:val="auto"/>
                      <w:kern w:val="0"/>
                      <w:sz w:val="18"/>
                      <w:szCs w:val="18"/>
                      <w:lang w:val="en-GB"/>
                    </w:rPr>
                  </w:pPr>
                  <w:r>
                    <w:rPr>
                      <w:color w:val="auto"/>
                      <w:kern w:val="0"/>
                      <w:sz w:val="18"/>
                      <w:szCs w:val="18"/>
                      <w:lang w:val="en-GB"/>
                    </w:rPr>
                    <w:t>序号</w:t>
                  </w:r>
                </w:p>
              </w:tc>
              <w:tc>
                <w:tcPr>
                  <w:tcW w:w="416" w:type="pct"/>
                  <w:vAlign w:val="center"/>
                </w:tcPr>
                <w:p w14:paraId="333C9AB6">
                  <w:pPr>
                    <w:topLinePunct/>
                    <w:spacing w:line="360" w:lineRule="auto"/>
                    <w:jc w:val="center"/>
                    <w:rPr>
                      <w:color w:val="auto"/>
                      <w:kern w:val="0"/>
                      <w:sz w:val="18"/>
                      <w:szCs w:val="18"/>
                      <w:lang w:val="en-GB"/>
                    </w:rPr>
                  </w:pPr>
                  <w:r>
                    <w:rPr>
                      <w:color w:val="auto"/>
                      <w:kern w:val="0"/>
                      <w:sz w:val="18"/>
                      <w:szCs w:val="18"/>
                      <w:lang w:val="en-GB"/>
                    </w:rPr>
                    <w:t>危险废物名称</w:t>
                  </w:r>
                </w:p>
              </w:tc>
              <w:tc>
                <w:tcPr>
                  <w:tcW w:w="559" w:type="pct"/>
                  <w:vAlign w:val="center"/>
                </w:tcPr>
                <w:p w14:paraId="77693134">
                  <w:pPr>
                    <w:topLinePunct/>
                    <w:spacing w:line="360" w:lineRule="auto"/>
                    <w:jc w:val="center"/>
                    <w:rPr>
                      <w:color w:val="auto"/>
                      <w:kern w:val="0"/>
                      <w:sz w:val="18"/>
                      <w:szCs w:val="18"/>
                      <w:lang w:val="en-GB"/>
                    </w:rPr>
                  </w:pPr>
                  <w:r>
                    <w:rPr>
                      <w:color w:val="auto"/>
                      <w:kern w:val="0"/>
                      <w:sz w:val="18"/>
                      <w:szCs w:val="18"/>
                      <w:lang w:val="en-GB"/>
                    </w:rPr>
                    <w:t>危险废物</w:t>
                  </w:r>
                </w:p>
                <w:p w14:paraId="661C9EB4">
                  <w:pPr>
                    <w:topLinePunct/>
                    <w:spacing w:line="360" w:lineRule="auto"/>
                    <w:jc w:val="center"/>
                    <w:rPr>
                      <w:color w:val="auto"/>
                      <w:kern w:val="0"/>
                      <w:sz w:val="18"/>
                      <w:szCs w:val="18"/>
                      <w:lang w:val="en-GB"/>
                    </w:rPr>
                  </w:pPr>
                  <w:r>
                    <w:rPr>
                      <w:color w:val="auto"/>
                      <w:kern w:val="0"/>
                      <w:sz w:val="18"/>
                      <w:szCs w:val="18"/>
                      <w:lang w:val="en-GB"/>
                    </w:rPr>
                    <w:t>类别</w:t>
                  </w:r>
                </w:p>
              </w:tc>
              <w:tc>
                <w:tcPr>
                  <w:tcW w:w="785" w:type="pct"/>
                  <w:vAlign w:val="center"/>
                </w:tcPr>
                <w:p w14:paraId="32856B58">
                  <w:pPr>
                    <w:topLinePunct/>
                    <w:spacing w:line="360" w:lineRule="auto"/>
                    <w:jc w:val="center"/>
                    <w:rPr>
                      <w:color w:val="auto"/>
                      <w:kern w:val="0"/>
                      <w:sz w:val="18"/>
                      <w:szCs w:val="18"/>
                      <w:lang w:val="en-GB"/>
                    </w:rPr>
                  </w:pPr>
                  <w:r>
                    <w:rPr>
                      <w:color w:val="auto"/>
                      <w:kern w:val="0"/>
                      <w:sz w:val="18"/>
                      <w:szCs w:val="18"/>
                      <w:lang w:val="en-GB"/>
                    </w:rPr>
                    <w:t>危险废物代码</w:t>
                  </w:r>
                </w:p>
              </w:tc>
              <w:tc>
                <w:tcPr>
                  <w:tcW w:w="426" w:type="pct"/>
                  <w:vAlign w:val="center"/>
                </w:tcPr>
                <w:p w14:paraId="3ABE927B">
                  <w:pPr>
                    <w:topLinePunct/>
                    <w:spacing w:line="360" w:lineRule="auto"/>
                    <w:jc w:val="center"/>
                    <w:rPr>
                      <w:color w:val="auto"/>
                      <w:kern w:val="0"/>
                      <w:sz w:val="18"/>
                      <w:szCs w:val="18"/>
                      <w:lang w:val="en-GB"/>
                    </w:rPr>
                  </w:pPr>
                  <w:r>
                    <w:rPr>
                      <w:color w:val="auto"/>
                      <w:kern w:val="0"/>
                      <w:sz w:val="18"/>
                      <w:szCs w:val="18"/>
                      <w:lang w:val="en-GB"/>
                    </w:rPr>
                    <w:t>产生量（</w:t>
                  </w:r>
                  <w:r>
                    <w:rPr>
                      <w:color w:val="auto"/>
                      <w:kern w:val="0"/>
                      <w:sz w:val="18"/>
                      <w:szCs w:val="18"/>
                    </w:rPr>
                    <w:t>t</w:t>
                  </w:r>
                  <w:r>
                    <w:rPr>
                      <w:color w:val="auto"/>
                      <w:kern w:val="0"/>
                      <w:sz w:val="18"/>
                      <w:szCs w:val="18"/>
                      <w:lang w:val="en-GB"/>
                    </w:rPr>
                    <w:t>/</w:t>
                  </w:r>
                  <w:r>
                    <w:rPr>
                      <w:color w:val="auto"/>
                      <w:kern w:val="0"/>
                      <w:sz w:val="18"/>
                      <w:szCs w:val="18"/>
                    </w:rPr>
                    <w:t>a</w:t>
                  </w:r>
                  <w:r>
                    <w:rPr>
                      <w:color w:val="auto"/>
                      <w:kern w:val="0"/>
                      <w:sz w:val="18"/>
                      <w:szCs w:val="18"/>
                      <w:lang w:val="en-GB"/>
                    </w:rPr>
                    <w:t>）</w:t>
                  </w:r>
                </w:p>
              </w:tc>
              <w:tc>
                <w:tcPr>
                  <w:tcW w:w="530" w:type="pct"/>
                  <w:vAlign w:val="center"/>
                </w:tcPr>
                <w:p w14:paraId="1C9B5A3B">
                  <w:pPr>
                    <w:topLinePunct/>
                    <w:spacing w:line="360" w:lineRule="auto"/>
                    <w:jc w:val="center"/>
                    <w:rPr>
                      <w:color w:val="auto"/>
                      <w:kern w:val="0"/>
                      <w:sz w:val="18"/>
                      <w:szCs w:val="18"/>
                      <w:lang w:val="en-GB"/>
                    </w:rPr>
                  </w:pPr>
                  <w:r>
                    <w:rPr>
                      <w:color w:val="auto"/>
                      <w:kern w:val="0"/>
                      <w:sz w:val="18"/>
                      <w:szCs w:val="18"/>
                      <w:lang w:val="en-GB"/>
                    </w:rPr>
                    <w:t>产生</w:t>
                  </w:r>
                </w:p>
                <w:p w14:paraId="43C63A30">
                  <w:pPr>
                    <w:topLinePunct/>
                    <w:spacing w:line="360" w:lineRule="auto"/>
                    <w:jc w:val="center"/>
                    <w:rPr>
                      <w:color w:val="auto"/>
                      <w:kern w:val="0"/>
                      <w:sz w:val="18"/>
                      <w:szCs w:val="18"/>
                      <w:lang w:val="en-GB"/>
                    </w:rPr>
                  </w:pPr>
                  <w:r>
                    <w:rPr>
                      <w:color w:val="auto"/>
                      <w:kern w:val="0"/>
                      <w:sz w:val="18"/>
                      <w:szCs w:val="18"/>
                      <w:lang w:val="en-GB"/>
                    </w:rPr>
                    <w:t>工序及装置</w:t>
                  </w:r>
                </w:p>
              </w:tc>
              <w:tc>
                <w:tcPr>
                  <w:tcW w:w="251" w:type="pct"/>
                  <w:vAlign w:val="center"/>
                </w:tcPr>
                <w:p w14:paraId="01B7ABFD">
                  <w:pPr>
                    <w:topLinePunct/>
                    <w:spacing w:line="360" w:lineRule="auto"/>
                    <w:jc w:val="center"/>
                    <w:rPr>
                      <w:color w:val="auto"/>
                      <w:kern w:val="0"/>
                      <w:sz w:val="18"/>
                      <w:szCs w:val="18"/>
                      <w:lang w:val="en-GB"/>
                    </w:rPr>
                  </w:pPr>
                  <w:r>
                    <w:rPr>
                      <w:color w:val="auto"/>
                      <w:kern w:val="0"/>
                      <w:sz w:val="18"/>
                      <w:szCs w:val="18"/>
                      <w:lang w:val="en-GB"/>
                    </w:rPr>
                    <w:t>形态</w:t>
                  </w:r>
                </w:p>
              </w:tc>
              <w:tc>
                <w:tcPr>
                  <w:tcW w:w="378" w:type="pct"/>
                  <w:vAlign w:val="center"/>
                </w:tcPr>
                <w:p w14:paraId="6F4CEE59">
                  <w:pPr>
                    <w:topLinePunct/>
                    <w:spacing w:line="360" w:lineRule="auto"/>
                    <w:jc w:val="center"/>
                    <w:rPr>
                      <w:color w:val="auto"/>
                      <w:kern w:val="0"/>
                      <w:sz w:val="18"/>
                      <w:szCs w:val="18"/>
                      <w:lang w:val="en-GB"/>
                    </w:rPr>
                  </w:pPr>
                  <w:r>
                    <w:rPr>
                      <w:color w:val="auto"/>
                      <w:kern w:val="0"/>
                      <w:sz w:val="18"/>
                      <w:szCs w:val="18"/>
                      <w:lang w:val="en-GB"/>
                    </w:rPr>
                    <w:t>有害成分</w:t>
                  </w:r>
                </w:p>
              </w:tc>
              <w:tc>
                <w:tcPr>
                  <w:tcW w:w="236" w:type="pct"/>
                  <w:vAlign w:val="center"/>
                </w:tcPr>
                <w:p w14:paraId="74DCD15C">
                  <w:pPr>
                    <w:topLinePunct/>
                    <w:spacing w:line="360" w:lineRule="auto"/>
                    <w:jc w:val="center"/>
                    <w:rPr>
                      <w:color w:val="auto"/>
                      <w:kern w:val="0"/>
                      <w:sz w:val="18"/>
                      <w:szCs w:val="18"/>
                      <w:lang w:val="en-GB"/>
                    </w:rPr>
                  </w:pPr>
                  <w:r>
                    <w:rPr>
                      <w:color w:val="auto"/>
                      <w:kern w:val="0"/>
                      <w:sz w:val="18"/>
                      <w:szCs w:val="18"/>
                      <w:lang w:val="en-GB"/>
                    </w:rPr>
                    <w:t>产废周期</w:t>
                  </w:r>
                </w:p>
              </w:tc>
              <w:tc>
                <w:tcPr>
                  <w:tcW w:w="218" w:type="pct"/>
                  <w:vAlign w:val="center"/>
                </w:tcPr>
                <w:p w14:paraId="49B135C9">
                  <w:pPr>
                    <w:topLinePunct/>
                    <w:spacing w:line="360" w:lineRule="auto"/>
                    <w:jc w:val="center"/>
                    <w:rPr>
                      <w:color w:val="auto"/>
                      <w:kern w:val="0"/>
                      <w:sz w:val="18"/>
                      <w:szCs w:val="18"/>
                      <w:lang w:val="en-GB"/>
                    </w:rPr>
                  </w:pPr>
                  <w:r>
                    <w:rPr>
                      <w:color w:val="auto"/>
                      <w:kern w:val="0"/>
                      <w:sz w:val="18"/>
                      <w:szCs w:val="18"/>
                      <w:lang w:val="en-GB"/>
                    </w:rPr>
                    <w:t>危险</w:t>
                  </w:r>
                </w:p>
                <w:p w14:paraId="51502285">
                  <w:pPr>
                    <w:topLinePunct/>
                    <w:spacing w:line="360" w:lineRule="auto"/>
                    <w:jc w:val="center"/>
                    <w:rPr>
                      <w:color w:val="auto"/>
                      <w:kern w:val="0"/>
                      <w:sz w:val="18"/>
                      <w:szCs w:val="18"/>
                      <w:lang w:val="en-GB"/>
                    </w:rPr>
                  </w:pPr>
                  <w:r>
                    <w:rPr>
                      <w:color w:val="auto"/>
                      <w:kern w:val="0"/>
                      <w:sz w:val="18"/>
                      <w:szCs w:val="18"/>
                      <w:lang w:val="en-GB"/>
                    </w:rPr>
                    <w:t>特性</w:t>
                  </w:r>
                </w:p>
              </w:tc>
              <w:tc>
                <w:tcPr>
                  <w:tcW w:w="943" w:type="pct"/>
                  <w:vAlign w:val="center"/>
                </w:tcPr>
                <w:p w14:paraId="0EEBFF50">
                  <w:pPr>
                    <w:topLinePunct/>
                    <w:spacing w:line="360" w:lineRule="auto"/>
                    <w:jc w:val="center"/>
                    <w:rPr>
                      <w:color w:val="auto"/>
                      <w:kern w:val="0"/>
                      <w:sz w:val="18"/>
                      <w:szCs w:val="18"/>
                    </w:rPr>
                  </w:pPr>
                  <w:r>
                    <w:rPr>
                      <w:color w:val="auto"/>
                      <w:kern w:val="0"/>
                      <w:sz w:val="18"/>
                      <w:szCs w:val="18"/>
                      <w:lang w:val="en-GB"/>
                    </w:rPr>
                    <w:t>污染防治措施</w:t>
                  </w:r>
                </w:p>
              </w:tc>
            </w:tr>
            <w:tr w14:paraId="5B3F24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2" w:type="pct"/>
                  <w:vAlign w:val="center"/>
                </w:tcPr>
                <w:p w14:paraId="281E0DF7">
                  <w:pPr>
                    <w:topLinePunct/>
                    <w:spacing w:line="360" w:lineRule="auto"/>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1</w:t>
                  </w:r>
                </w:p>
              </w:tc>
              <w:tc>
                <w:tcPr>
                  <w:tcW w:w="416" w:type="pct"/>
                  <w:vAlign w:val="center"/>
                </w:tcPr>
                <w:p w14:paraId="1B787E75">
                  <w:pPr>
                    <w:topLinePunct/>
                    <w:spacing w:line="360" w:lineRule="auto"/>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废机油</w:t>
                  </w:r>
                </w:p>
              </w:tc>
              <w:tc>
                <w:tcPr>
                  <w:tcW w:w="559" w:type="pct"/>
                  <w:vAlign w:val="center"/>
                </w:tcPr>
                <w:p w14:paraId="1030BBDC">
                  <w:pPr>
                    <w:topLinePunct/>
                    <w:spacing w:line="36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HW08</w:t>
                  </w:r>
                </w:p>
                <w:p w14:paraId="54C888EA">
                  <w:pPr>
                    <w:topLinePunct/>
                    <w:spacing w:line="36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废矿物油与含矿物油废物</w:t>
                  </w:r>
                </w:p>
              </w:tc>
              <w:tc>
                <w:tcPr>
                  <w:tcW w:w="785" w:type="pct"/>
                  <w:vAlign w:val="center"/>
                </w:tcPr>
                <w:p w14:paraId="74024301">
                  <w:pPr>
                    <w:topLinePunct/>
                    <w:spacing w:line="360" w:lineRule="auto"/>
                    <w:jc w:val="center"/>
                    <w:rPr>
                      <w:rFonts w:hint="eastAsia" w:ascii="Times New Roman" w:hAnsi="Times New Roman" w:eastAsia="宋体" w:cs="Times New Roman"/>
                      <w:color w:val="auto"/>
                      <w:kern w:val="0"/>
                      <w:sz w:val="21"/>
                      <w:szCs w:val="21"/>
                      <w:lang w:val="zh-CN" w:eastAsia="zh-CN"/>
                    </w:rPr>
                  </w:pPr>
                  <w:r>
                    <w:rPr>
                      <w:rFonts w:hint="eastAsia" w:ascii="Times New Roman" w:hAnsi="Times New Roman" w:eastAsia="宋体" w:cs="Times New Roman"/>
                      <w:color w:val="auto"/>
                      <w:kern w:val="0"/>
                      <w:sz w:val="21"/>
                      <w:szCs w:val="21"/>
                      <w:lang w:val="en-US" w:eastAsia="zh-CN"/>
                    </w:rPr>
                    <w:t>900-249-08</w:t>
                  </w:r>
                </w:p>
              </w:tc>
              <w:tc>
                <w:tcPr>
                  <w:tcW w:w="426" w:type="pct"/>
                  <w:vAlign w:val="center"/>
                </w:tcPr>
                <w:p w14:paraId="64888EC3">
                  <w:pPr>
                    <w:topLinePunct/>
                    <w:spacing w:line="360" w:lineRule="auto"/>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0.5</w:t>
                  </w:r>
                </w:p>
              </w:tc>
              <w:tc>
                <w:tcPr>
                  <w:tcW w:w="530" w:type="pct"/>
                  <w:vAlign w:val="center"/>
                </w:tcPr>
                <w:p w14:paraId="191276B3">
                  <w:pPr>
                    <w:topLinePunct/>
                    <w:spacing w:line="360" w:lineRule="auto"/>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设备维修和保养</w:t>
                  </w:r>
                </w:p>
              </w:tc>
              <w:tc>
                <w:tcPr>
                  <w:tcW w:w="251" w:type="pct"/>
                  <w:vAlign w:val="center"/>
                </w:tcPr>
                <w:p w14:paraId="384D5EB3">
                  <w:pPr>
                    <w:topLinePunct/>
                    <w:spacing w:line="36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液态</w:t>
                  </w:r>
                </w:p>
              </w:tc>
              <w:tc>
                <w:tcPr>
                  <w:tcW w:w="378" w:type="pct"/>
                  <w:vAlign w:val="center"/>
                </w:tcPr>
                <w:p w14:paraId="575A336D">
                  <w:pPr>
                    <w:topLinePunct/>
                    <w:spacing w:line="36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有机物</w:t>
                  </w:r>
                </w:p>
              </w:tc>
              <w:tc>
                <w:tcPr>
                  <w:tcW w:w="236" w:type="pct"/>
                  <w:vAlign w:val="center"/>
                </w:tcPr>
                <w:p w14:paraId="778B187A">
                  <w:pPr>
                    <w:topLinePunct/>
                    <w:spacing w:line="36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218" w:type="pct"/>
                  <w:vAlign w:val="center"/>
                </w:tcPr>
                <w:p w14:paraId="49495C63">
                  <w:pPr>
                    <w:topLinePunct/>
                    <w:spacing w:line="36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T/In</w:t>
                  </w:r>
                </w:p>
              </w:tc>
              <w:tc>
                <w:tcPr>
                  <w:tcW w:w="943" w:type="pct"/>
                  <w:vAlign w:val="center"/>
                </w:tcPr>
                <w:p w14:paraId="15B1B78E">
                  <w:pPr>
                    <w:topLinePunct/>
                    <w:spacing w:line="36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危废贮存</w:t>
                  </w:r>
                  <w:r>
                    <w:rPr>
                      <w:rFonts w:hint="eastAsia" w:cs="Times New Roman"/>
                      <w:color w:val="auto"/>
                      <w:kern w:val="0"/>
                      <w:sz w:val="21"/>
                      <w:szCs w:val="21"/>
                      <w:lang w:val="en-US" w:eastAsia="zh-CN"/>
                    </w:rPr>
                    <w:t>点</w:t>
                  </w:r>
                  <w:r>
                    <w:rPr>
                      <w:rFonts w:hint="eastAsia" w:ascii="Times New Roman" w:hAnsi="Times New Roman" w:eastAsia="宋体" w:cs="Times New Roman"/>
                      <w:color w:val="auto"/>
                      <w:kern w:val="0"/>
                      <w:sz w:val="21"/>
                      <w:szCs w:val="21"/>
                      <w:lang w:val="en-US" w:eastAsia="zh-CN"/>
                    </w:rPr>
                    <w:t>分类暂存后，交有资质公司处理</w:t>
                  </w:r>
                </w:p>
              </w:tc>
            </w:tr>
          </w:tbl>
          <w:p w14:paraId="50FAB2EF">
            <w:pPr>
              <w:pStyle w:val="117"/>
              <w:rPr>
                <w:rFonts w:ascii="Times New Roman" w:hAnsi="Times New Roman" w:eastAsia="宋体" w:cs="Times New Roman"/>
                <w:color w:val="auto"/>
              </w:rPr>
            </w:pPr>
            <w:r>
              <w:rPr>
                <w:rFonts w:hint="eastAsia" w:ascii="Times New Roman" w:hAnsi="Times New Roman" w:eastAsia="宋体" w:cs="Times New Roman"/>
                <w:color w:val="auto"/>
              </w:rPr>
              <w:t>2、危险废物贮存</w:t>
            </w:r>
            <w:r>
              <w:rPr>
                <w:rFonts w:hint="eastAsia" w:cs="Times New Roman"/>
                <w:color w:val="auto"/>
                <w:lang w:val="en-US" w:eastAsia="zh-CN"/>
              </w:rPr>
              <w:t>点</w:t>
            </w:r>
            <w:r>
              <w:rPr>
                <w:rFonts w:hint="eastAsia" w:ascii="Times New Roman" w:hAnsi="Times New Roman" w:eastAsia="宋体" w:cs="Times New Roman"/>
                <w:color w:val="auto"/>
              </w:rPr>
              <w:t>应</w:t>
            </w:r>
            <w:r>
              <w:rPr>
                <w:rFonts w:ascii="Times New Roman" w:hAnsi="Times New Roman" w:eastAsia="宋体" w:cs="Times New Roman"/>
                <w:color w:val="auto"/>
              </w:rPr>
              <w:t>采取以下污染防治措施</w:t>
            </w:r>
            <w:r>
              <w:rPr>
                <w:rFonts w:hint="eastAsia" w:ascii="Times New Roman" w:hAnsi="Times New Roman" w:eastAsia="宋体" w:cs="Times New Roman"/>
                <w:color w:val="auto"/>
              </w:rPr>
              <w:t>：</w:t>
            </w:r>
          </w:p>
          <w:p w14:paraId="499DFB31">
            <w:pPr>
              <w:pStyle w:val="117"/>
              <w:keepNext w:val="0"/>
              <w:keepLines w:val="0"/>
              <w:pageBreakBefore w:val="0"/>
              <w:widowControl/>
              <w:kinsoku/>
              <w:wordWrap w:val="0"/>
              <w:overflowPunct/>
              <w:topLinePunct w:val="0"/>
              <w:autoSpaceDE/>
              <w:autoSpaceDN/>
              <w:bidi w:val="0"/>
              <w:adjustRightInd w:val="0"/>
              <w:snapToGrid w:val="0"/>
              <w:textAlignment w:val="auto"/>
              <w:rPr>
                <w:rFonts w:ascii="Times New Roman" w:hAnsi="Times New Roman" w:eastAsia="宋体" w:cs="Times New Roman"/>
                <w:color w:val="auto"/>
              </w:rPr>
            </w:pPr>
            <w:r>
              <w:rPr>
                <w:rFonts w:hint="eastAsia" w:ascii="Times New Roman" w:hAnsi="Times New Roman" w:eastAsia="宋体" w:cs="Times New Roman"/>
                <w:color w:val="auto"/>
              </w:rPr>
              <w:t>（1）</w:t>
            </w:r>
            <w:r>
              <w:rPr>
                <w:rFonts w:hint="eastAsia" w:cs="Times New Roman"/>
                <w:color w:val="auto"/>
                <w:lang w:eastAsia="zh-CN"/>
              </w:rPr>
              <w:t>危险废物贮存点</w:t>
            </w:r>
            <w:r>
              <w:rPr>
                <w:rFonts w:ascii="Times New Roman" w:hAnsi="Times New Roman" w:eastAsia="宋体" w:cs="Times New Roman"/>
                <w:color w:val="auto"/>
              </w:rPr>
              <w:t>严格按照</w:t>
            </w:r>
            <w:r>
              <w:rPr>
                <w:rFonts w:hint="eastAsia" w:ascii="Times New Roman" w:hAnsi="Times New Roman" w:eastAsia="宋体" w:cs="Times New Roman"/>
                <w:color w:val="auto"/>
              </w:rPr>
              <w:t>《危险废物贮存污染控制标准》（GB18597-2023）</w:t>
            </w:r>
            <w:r>
              <w:rPr>
                <w:rFonts w:ascii="Times New Roman" w:hAnsi="Times New Roman" w:eastAsia="宋体" w:cs="Times New Roman"/>
                <w:color w:val="auto"/>
              </w:rPr>
              <w:t>的要求进行建设，采用</w:t>
            </w:r>
            <w:r>
              <w:rPr>
                <w:rFonts w:hint="eastAsia" w:cs="Times New Roman"/>
                <w:color w:val="auto"/>
                <w:lang w:val="en-US" w:eastAsia="zh-CN"/>
              </w:rPr>
              <w:t>重点</w:t>
            </w:r>
            <w:r>
              <w:rPr>
                <w:rFonts w:ascii="Times New Roman" w:hAnsi="Times New Roman" w:eastAsia="宋体" w:cs="Times New Roman"/>
                <w:color w:val="auto"/>
              </w:rPr>
              <w:t>防渗，地面与裙脚采用坚固防渗的材料建造，防风、防晒、防雨；基础</w:t>
            </w:r>
            <w:r>
              <w:rPr>
                <w:rFonts w:hint="eastAsia" w:ascii="Times New Roman" w:hAnsi="Times New Roman" w:eastAsia="宋体" w:cs="Times New Roman"/>
                <w:color w:val="auto"/>
              </w:rPr>
              <w:t>敷设</w:t>
            </w:r>
            <w:r>
              <w:rPr>
                <w:rFonts w:ascii="Times New Roman" w:hAnsi="Times New Roman" w:eastAsia="宋体" w:cs="Times New Roman"/>
                <w:color w:val="auto"/>
              </w:rPr>
              <w:t>至少2mm厚的高密度聚乙烯防水层，上部敷设10cm厚水泥层，渗透系数应≤1×10</w:t>
            </w:r>
            <w:r>
              <w:rPr>
                <w:rFonts w:ascii="Times New Roman" w:hAnsi="Times New Roman" w:eastAsia="宋体" w:cs="Times New Roman"/>
                <w:color w:val="auto"/>
                <w:vertAlign w:val="superscript"/>
              </w:rPr>
              <w:t>-10</w:t>
            </w:r>
            <w:r>
              <w:rPr>
                <w:rFonts w:ascii="Times New Roman" w:hAnsi="Times New Roman" w:eastAsia="宋体" w:cs="Times New Roman"/>
                <w:color w:val="auto"/>
              </w:rPr>
              <w:t>cm/s，防渗等级需满足《危险废物贮存污染控制标准》（GB18597-2023）的要求。</w:t>
            </w:r>
          </w:p>
          <w:p w14:paraId="74480374">
            <w:pPr>
              <w:pStyle w:val="117"/>
              <w:keepNext w:val="0"/>
              <w:keepLines w:val="0"/>
              <w:pageBreakBefore w:val="0"/>
              <w:widowControl w:val="0"/>
              <w:kinsoku/>
              <w:wordWrap w:val="0"/>
              <w:overflowPunct/>
              <w:topLinePunct w:val="0"/>
              <w:autoSpaceDE/>
              <w:autoSpaceDN/>
              <w:bidi w:val="0"/>
              <w:adjustRightInd/>
              <w:snapToGrid/>
              <w:textAlignment w:val="auto"/>
              <w:rPr>
                <w:rFonts w:ascii="Times New Roman" w:hAnsi="Times New Roman" w:eastAsia="宋体" w:cs="Times New Roman"/>
                <w:color w:val="auto"/>
              </w:rPr>
            </w:pPr>
            <w:r>
              <w:rPr>
                <w:rFonts w:hint="eastAsia" w:ascii="Times New Roman" w:hAnsi="Times New Roman" w:eastAsia="宋体" w:cs="Times New Roman"/>
                <w:color w:val="auto"/>
              </w:rPr>
              <w:t>（2）本项目</w:t>
            </w:r>
            <w:r>
              <w:rPr>
                <w:rFonts w:hint="eastAsia" w:ascii="Times New Roman" w:hAnsi="Times New Roman" w:eastAsia="宋体" w:cs="Times New Roman"/>
                <w:color w:val="auto"/>
                <w:lang w:val="en-US" w:eastAsia="zh-CN"/>
              </w:rPr>
              <w:t>废机油</w:t>
            </w:r>
            <w:r>
              <w:rPr>
                <w:rFonts w:ascii="Times New Roman" w:hAnsi="Times New Roman" w:eastAsia="宋体" w:cs="Times New Roman"/>
                <w:color w:val="auto"/>
              </w:rPr>
              <w:t>应严格按照</w:t>
            </w:r>
            <w:r>
              <w:rPr>
                <w:rFonts w:hint="eastAsia" w:ascii="Times New Roman" w:hAnsi="Times New Roman" w:eastAsia="宋体" w:cs="Times New Roman"/>
                <w:color w:val="auto"/>
              </w:rPr>
              <w:t>《危险废物贮存污染控制标准》（GB18597-2023）</w:t>
            </w:r>
            <w:r>
              <w:rPr>
                <w:rFonts w:ascii="Times New Roman" w:hAnsi="Times New Roman" w:eastAsia="宋体" w:cs="Times New Roman"/>
                <w:color w:val="auto"/>
              </w:rPr>
              <w:t>要求执行。对各种</w:t>
            </w:r>
            <w:r>
              <w:rPr>
                <w:rFonts w:hint="eastAsia" w:ascii="Times New Roman" w:hAnsi="Times New Roman" w:eastAsia="宋体" w:cs="Times New Roman"/>
                <w:color w:val="auto"/>
              </w:rPr>
              <w:t>危险废物</w:t>
            </w:r>
            <w:r>
              <w:rPr>
                <w:rFonts w:ascii="Times New Roman" w:hAnsi="Times New Roman" w:eastAsia="宋体" w:cs="Times New Roman"/>
                <w:color w:val="auto"/>
              </w:rPr>
              <w:t>进行标识，避免混合、混放。</w:t>
            </w:r>
          </w:p>
          <w:p w14:paraId="0082C20A">
            <w:pPr>
              <w:pStyle w:val="117"/>
              <w:rPr>
                <w:rFonts w:ascii="Times New Roman" w:hAnsi="Times New Roman" w:eastAsia="宋体" w:cs="Times New Roman"/>
                <w:color w:val="auto"/>
              </w:rPr>
            </w:pPr>
            <w:r>
              <w:rPr>
                <w:rFonts w:hint="eastAsia" w:ascii="Times New Roman" w:hAnsi="Times New Roman" w:eastAsia="宋体" w:cs="Times New Roman"/>
                <w:color w:val="auto"/>
              </w:rPr>
              <w:t>（3）</w:t>
            </w:r>
            <w:r>
              <w:rPr>
                <w:rFonts w:ascii="Times New Roman" w:hAnsi="Times New Roman" w:eastAsia="宋体" w:cs="Times New Roman"/>
                <w:color w:val="auto"/>
              </w:rPr>
              <w:t>本项目生产过程中产生的</w:t>
            </w:r>
            <w:r>
              <w:rPr>
                <w:rFonts w:hint="eastAsia" w:ascii="Times New Roman" w:hAnsi="Times New Roman" w:eastAsia="宋体" w:cs="Times New Roman"/>
                <w:color w:val="auto"/>
                <w:lang w:val="en-US" w:eastAsia="zh-CN"/>
              </w:rPr>
              <w:t>废机油</w:t>
            </w:r>
            <w:r>
              <w:rPr>
                <w:rFonts w:ascii="Times New Roman" w:hAnsi="Times New Roman" w:eastAsia="宋体" w:cs="Times New Roman"/>
                <w:color w:val="auto"/>
              </w:rPr>
              <w:t>属于危险废物，应按危险废物的有关规定进行管理处置，其暂存和处理按照国家相关要求进行，交给有资质的</w:t>
            </w:r>
            <w:r>
              <w:rPr>
                <w:rFonts w:hint="eastAsia" w:ascii="Times New Roman" w:hAnsi="Times New Roman" w:eastAsia="宋体" w:cs="Times New Roman"/>
                <w:color w:val="auto"/>
                <w:lang w:val="en-US" w:eastAsia="zh-CN"/>
              </w:rPr>
              <w:t>危险废物</w:t>
            </w:r>
            <w:r>
              <w:rPr>
                <w:rFonts w:ascii="Times New Roman" w:hAnsi="Times New Roman" w:eastAsia="宋体" w:cs="Times New Roman"/>
                <w:color w:val="auto"/>
              </w:rPr>
              <w:t>回收处理企业。日常管理应专人专管，严格进行日常安全防护管理和监</w:t>
            </w:r>
            <w:r>
              <w:rPr>
                <w:rFonts w:hint="eastAsia" w:ascii="Times New Roman" w:hAnsi="Times New Roman" w:eastAsia="宋体" w:cs="Times New Roman"/>
                <w:color w:val="auto"/>
              </w:rPr>
              <w:t>测。</w:t>
            </w:r>
          </w:p>
          <w:p w14:paraId="11C1FF7C">
            <w:pPr>
              <w:pStyle w:val="117"/>
              <w:rPr>
                <w:rFonts w:ascii="Times New Roman" w:hAnsi="Times New Roman" w:eastAsia="宋体" w:cs="Times New Roman"/>
                <w:color w:val="auto"/>
              </w:rPr>
            </w:pPr>
            <w:r>
              <w:rPr>
                <w:rFonts w:hint="eastAsia" w:ascii="Times New Roman" w:hAnsi="Times New Roman" w:eastAsia="宋体" w:cs="Times New Roman"/>
                <w:color w:val="auto"/>
              </w:rPr>
              <w:t>（4）</w:t>
            </w:r>
            <w:r>
              <w:rPr>
                <w:rFonts w:ascii="Times New Roman" w:hAnsi="Times New Roman" w:eastAsia="宋体" w:cs="Times New Roman"/>
                <w:color w:val="auto"/>
              </w:rPr>
              <w:t>对</w:t>
            </w:r>
            <w:r>
              <w:rPr>
                <w:rFonts w:hint="eastAsia" w:ascii="Times New Roman" w:hAnsi="Times New Roman" w:eastAsia="宋体" w:cs="Times New Roman"/>
                <w:color w:val="auto"/>
              </w:rPr>
              <w:t>危险废物</w:t>
            </w:r>
            <w:r>
              <w:rPr>
                <w:rFonts w:ascii="Times New Roman" w:hAnsi="Times New Roman" w:eastAsia="宋体" w:cs="Times New Roman"/>
                <w:color w:val="auto"/>
              </w:rPr>
              <w:t>进行分类存储和标识，对危险废物暂存区设立明显的警示标志，</w:t>
            </w:r>
            <w:r>
              <w:rPr>
                <w:rFonts w:hint="eastAsia" w:ascii="Times New Roman" w:hAnsi="Times New Roman" w:eastAsia="宋体" w:cs="Times New Roman"/>
                <w:color w:val="auto"/>
              </w:rPr>
              <w:t>生产</w:t>
            </w:r>
            <w:r>
              <w:rPr>
                <w:rFonts w:ascii="Times New Roman" w:hAnsi="Times New Roman" w:eastAsia="宋体" w:cs="Times New Roman"/>
                <w:color w:val="auto"/>
              </w:rPr>
              <w:t>过程产生的危险废物应按照类别分别放置在专门的收集容器和暂存设施内。</w:t>
            </w:r>
          </w:p>
          <w:p w14:paraId="5E7F0279">
            <w:pPr>
              <w:pStyle w:val="117"/>
              <w:rPr>
                <w:rFonts w:ascii="Times New Roman" w:hAnsi="Times New Roman" w:eastAsia="宋体" w:cs="Times New Roman"/>
                <w:color w:val="auto"/>
              </w:rPr>
            </w:pPr>
            <w:r>
              <w:rPr>
                <w:rFonts w:ascii="Times New Roman" w:hAnsi="Times New Roman" w:eastAsia="宋体" w:cs="Times New Roman"/>
                <w:color w:val="auto"/>
              </w:rPr>
              <w:t>贮存设施按照</w:t>
            </w:r>
            <w:r>
              <w:rPr>
                <w:rFonts w:hint="eastAsia" w:ascii="Times New Roman" w:hAnsi="Times New Roman" w:eastAsia="宋体" w:cs="Times New Roman"/>
                <w:color w:val="auto"/>
              </w:rPr>
              <w:t>《危险废物贮存污染控制标准》（GB18597-2023）要求</w:t>
            </w:r>
            <w:r>
              <w:rPr>
                <w:rFonts w:ascii="Times New Roman" w:hAnsi="Times New Roman" w:eastAsia="宋体" w:cs="Times New Roman"/>
                <w:color w:val="auto"/>
              </w:rPr>
              <w:t>设置明显的警示标志，标明具体物质名称。</w:t>
            </w:r>
            <w:r>
              <w:rPr>
                <w:rFonts w:hint="eastAsia" w:ascii="Times New Roman" w:hAnsi="Times New Roman" w:eastAsia="宋体" w:cs="Times New Roman"/>
                <w:color w:val="auto"/>
              </w:rPr>
              <w:t>生产过程</w:t>
            </w:r>
            <w:r>
              <w:rPr>
                <w:rFonts w:ascii="Times New Roman" w:hAnsi="Times New Roman" w:eastAsia="宋体" w:cs="Times New Roman"/>
                <w:color w:val="auto"/>
              </w:rPr>
              <w:t>产生的各种危险废物在厂区内的暂存时间不得超过1年，并制定危险废物贮存的台账制度。</w:t>
            </w:r>
          </w:p>
          <w:p w14:paraId="2E858D6F">
            <w:pPr>
              <w:pStyle w:val="117"/>
              <w:rPr>
                <w:rFonts w:ascii="Times New Roman" w:hAnsi="Times New Roman" w:eastAsia="宋体" w:cs="Times New Roman"/>
                <w:color w:val="auto"/>
              </w:rPr>
            </w:pPr>
            <w:r>
              <w:rPr>
                <w:rFonts w:hint="eastAsia" w:ascii="Times New Roman" w:hAnsi="Times New Roman" w:eastAsia="宋体" w:cs="Times New Roman"/>
                <w:color w:val="auto"/>
              </w:rPr>
              <w:t>（5）</w:t>
            </w:r>
            <w:r>
              <w:rPr>
                <w:rFonts w:ascii="Times New Roman" w:hAnsi="Times New Roman" w:eastAsia="宋体" w:cs="Times New Roman"/>
                <w:color w:val="auto"/>
              </w:rPr>
              <w:t>定期进行日常性检查。本项目</w:t>
            </w:r>
            <w:r>
              <w:rPr>
                <w:rFonts w:hint="eastAsia" w:cs="Times New Roman"/>
                <w:color w:val="auto"/>
                <w:lang w:eastAsia="zh-CN"/>
              </w:rPr>
              <w:t>危废贮存点</w:t>
            </w:r>
            <w:r>
              <w:rPr>
                <w:rFonts w:ascii="Times New Roman" w:hAnsi="Times New Roman" w:eastAsia="宋体" w:cs="Times New Roman"/>
                <w:color w:val="auto"/>
              </w:rPr>
              <w:t>采用</w:t>
            </w:r>
            <w:r>
              <w:rPr>
                <w:rFonts w:hint="eastAsia" w:cs="Times New Roman"/>
                <w:color w:val="auto"/>
                <w:lang w:val="en-US" w:eastAsia="zh-CN"/>
              </w:rPr>
              <w:t>重点</w:t>
            </w:r>
            <w:r>
              <w:rPr>
                <w:rFonts w:ascii="Times New Roman" w:hAnsi="Times New Roman" w:eastAsia="宋体" w:cs="Times New Roman"/>
                <w:color w:val="auto"/>
              </w:rPr>
              <w:t>防渗，地面与裙脚采用坚固防渗的材料建造，防风、防晒、防雨；基础</w:t>
            </w:r>
            <w:r>
              <w:rPr>
                <w:rFonts w:hint="eastAsia" w:ascii="Times New Roman" w:hAnsi="Times New Roman" w:eastAsia="宋体" w:cs="Times New Roman"/>
                <w:color w:val="auto"/>
              </w:rPr>
              <w:t>敷设</w:t>
            </w:r>
            <w:r>
              <w:rPr>
                <w:rFonts w:ascii="Times New Roman" w:hAnsi="Times New Roman" w:eastAsia="宋体" w:cs="Times New Roman"/>
                <w:color w:val="auto"/>
              </w:rPr>
              <w:t>至少2mm厚的高密度聚乙烯防水层，上部敷设10cm厚水泥层，渗透系数应≤1×10</w:t>
            </w:r>
            <w:r>
              <w:rPr>
                <w:rFonts w:ascii="Times New Roman" w:hAnsi="Times New Roman" w:eastAsia="宋体" w:cs="Times New Roman"/>
                <w:color w:val="auto"/>
                <w:vertAlign w:val="superscript"/>
              </w:rPr>
              <w:t>-10</w:t>
            </w:r>
            <w:r>
              <w:rPr>
                <w:rFonts w:ascii="Times New Roman" w:hAnsi="Times New Roman" w:eastAsia="宋体" w:cs="Times New Roman"/>
                <w:color w:val="auto"/>
              </w:rPr>
              <w:t>cm/s，并张贴醒目的标识，并张贴醒目的标识。本项目</w:t>
            </w:r>
            <w:r>
              <w:rPr>
                <w:rFonts w:hint="eastAsia" w:cs="Times New Roman"/>
                <w:color w:val="auto"/>
                <w:lang w:eastAsia="zh-CN"/>
              </w:rPr>
              <w:t>危废贮存点</w:t>
            </w:r>
            <w:r>
              <w:rPr>
                <w:rFonts w:ascii="Times New Roman" w:hAnsi="Times New Roman" w:eastAsia="宋体" w:cs="Times New Roman"/>
                <w:color w:val="auto"/>
              </w:rPr>
              <w:t>总面积为</w:t>
            </w:r>
            <w:r>
              <w:rPr>
                <w:rFonts w:hint="eastAsia" w:cs="Times New Roman"/>
                <w:color w:val="auto"/>
                <w:lang w:val="en-US" w:eastAsia="zh-CN"/>
              </w:rPr>
              <w:t>10</w:t>
            </w:r>
            <w:r>
              <w:rPr>
                <w:rFonts w:hint="eastAsia" w:ascii="Times New Roman" w:hAnsi="Times New Roman" w:eastAsia="宋体" w:cs="Times New Roman"/>
                <w:color w:val="auto"/>
              </w:rPr>
              <w:t>m</w:t>
            </w:r>
            <w:r>
              <w:rPr>
                <w:rFonts w:ascii="Times New Roman" w:hAnsi="Times New Roman" w:eastAsia="宋体" w:cs="Times New Roman"/>
                <w:color w:val="auto"/>
                <w:vertAlign w:val="superscript"/>
              </w:rPr>
              <w:t>2</w:t>
            </w:r>
            <w:r>
              <w:rPr>
                <w:rFonts w:ascii="Times New Roman" w:hAnsi="Times New Roman" w:eastAsia="宋体" w:cs="Times New Roman"/>
                <w:color w:val="auto"/>
              </w:rPr>
              <w:t>，面积能够满足本项目需求。企业在运行过程中应定期对</w:t>
            </w:r>
            <w:r>
              <w:rPr>
                <w:rFonts w:hint="eastAsia" w:cs="Times New Roman"/>
                <w:color w:val="auto"/>
                <w:lang w:eastAsia="zh-CN"/>
              </w:rPr>
              <w:t>危废贮存点</w:t>
            </w:r>
            <w:r>
              <w:rPr>
                <w:rFonts w:ascii="Times New Roman" w:hAnsi="Times New Roman" w:eastAsia="宋体" w:cs="Times New Roman"/>
                <w:color w:val="auto"/>
              </w:rPr>
              <w:t>地面进行检查，一旦发现异常，应立即采取修补措施。</w:t>
            </w:r>
          </w:p>
          <w:p w14:paraId="772A9FE0">
            <w:pPr>
              <w:pStyle w:val="117"/>
              <w:rPr>
                <w:rFonts w:ascii="Times New Roman" w:hAnsi="Times New Roman" w:eastAsia="宋体" w:cs="Times New Roman"/>
                <w:color w:val="auto"/>
              </w:rPr>
            </w:pPr>
            <w:r>
              <w:rPr>
                <w:rFonts w:hint="eastAsia" w:ascii="Times New Roman" w:hAnsi="Times New Roman" w:eastAsia="宋体" w:cs="Times New Roman"/>
                <w:color w:val="auto"/>
              </w:rPr>
              <w:t>（6）</w:t>
            </w:r>
            <w:r>
              <w:rPr>
                <w:rFonts w:ascii="Times New Roman" w:hAnsi="Times New Roman" w:eastAsia="宋体" w:cs="Times New Roman"/>
                <w:color w:val="auto"/>
              </w:rPr>
              <w:t>危险废物在转运过程中如遇恶劣天气、驾驶人员操作不当或运输车辆行驶部件、装卸系统、安全附件、储运容器的安全性能不好均会造成危险废物的泄露，对沿线居民和环境质量造成影响。</w:t>
            </w:r>
          </w:p>
          <w:p w14:paraId="56E19C1D">
            <w:pPr>
              <w:pStyle w:val="117"/>
              <w:rPr>
                <w:rFonts w:ascii="Times New Roman" w:hAnsi="Times New Roman" w:eastAsia="宋体" w:cs="Times New Roman"/>
                <w:color w:val="auto"/>
              </w:rPr>
            </w:pPr>
            <w:r>
              <w:rPr>
                <w:rFonts w:ascii="Times New Roman" w:hAnsi="Times New Roman" w:eastAsia="宋体" w:cs="Times New Roman"/>
                <w:color w:val="auto"/>
              </w:rPr>
              <w:t>通过采取上述措施，可满足</w:t>
            </w:r>
            <w:r>
              <w:rPr>
                <w:rFonts w:hint="eastAsia" w:ascii="Times New Roman" w:hAnsi="Times New Roman" w:eastAsia="宋体" w:cs="Times New Roman"/>
                <w:color w:val="auto"/>
              </w:rPr>
              <w:t>《危险废物贮存污染控制标准》（GB18597-2023）</w:t>
            </w:r>
            <w:r>
              <w:rPr>
                <w:rFonts w:ascii="Times New Roman" w:hAnsi="Times New Roman" w:eastAsia="宋体" w:cs="Times New Roman"/>
                <w:color w:val="auto"/>
              </w:rPr>
              <w:t>相关要求，危险废物暂存具备可行性，建设项目危险废物贮存设施基本情况见下表。</w:t>
            </w:r>
          </w:p>
          <w:p w14:paraId="7F7F49C5">
            <w:pPr>
              <w:pStyle w:val="117"/>
              <w:spacing w:line="240" w:lineRule="auto"/>
              <w:ind w:firstLine="422"/>
              <w:jc w:val="center"/>
              <w:rPr>
                <w:rFonts w:ascii="Times New Roman" w:hAnsi="Times New Roman" w:eastAsia="宋体" w:cs="Times New Roman"/>
                <w:b/>
                <w:bCs/>
                <w:color w:val="auto"/>
                <w:sz w:val="21"/>
                <w:szCs w:val="16"/>
              </w:rPr>
            </w:pPr>
            <w:r>
              <w:rPr>
                <w:rFonts w:hint="eastAsia" w:ascii="Times New Roman" w:hAnsi="Times New Roman" w:eastAsia="宋体" w:cs="Times New Roman"/>
                <w:b/>
                <w:bCs/>
                <w:color w:val="auto"/>
                <w:sz w:val="21"/>
                <w:szCs w:val="16"/>
              </w:rPr>
              <w:t>表4-</w:t>
            </w:r>
            <w:r>
              <w:rPr>
                <w:rFonts w:hint="eastAsia" w:cs="Times New Roman"/>
                <w:b/>
                <w:bCs/>
                <w:color w:val="auto"/>
                <w:sz w:val="21"/>
                <w:szCs w:val="16"/>
                <w:lang w:val="en-US" w:eastAsia="zh-CN"/>
              </w:rPr>
              <w:t>20</w:t>
            </w:r>
            <w:r>
              <w:rPr>
                <w:rFonts w:hint="eastAsia" w:ascii="Times New Roman" w:hAnsi="Times New Roman" w:eastAsia="宋体" w:cs="Times New Roman"/>
                <w:b/>
                <w:bCs/>
                <w:color w:val="auto"/>
                <w:sz w:val="21"/>
                <w:szCs w:val="16"/>
              </w:rPr>
              <w:t xml:space="preserve">  危险废物贮存信息基本情况表</w:t>
            </w:r>
          </w:p>
          <w:tbl>
            <w:tblPr>
              <w:tblStyle w:val="33"/>
              <w:tblW w:w="819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7"/>
              <w:gridCol w:w="1161"/>
              <w:gridCol w:w="952"/>
              <w:gridCol w:w="1700"/>
              <w:gridCol w:w="962"/>
              <w:gridCol w:w="536"/>
              <w:gridCol w:w="495"/>
              <w:gridCol w:w="566"/>
              <w:gridCol w:w="728"/>
              <w:gridCol w:w="615"/>
            </w:tblGrid>
            <w:tr w14:paraId="1AC12B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7" w:type="dxa"/>
                  <w:tcBorders>
                    <w:tl2br w:val="nil"/>
                    <w:tr2bl w:val="nil"/>
                  </w:tcBorders>
                  <w:vAlign w:val="center"/>
                </w:tcPr>
                <w:p w14:paraId="66A48DEB">
                  <w:pPr>
                    <w:spacing w:line="240" w:lineRule="auto"/>
                    <w:jc w:val="center"/>
                    <w:rPr>
                      <w:color w:val="auto"/>
                      <w:kern w:val="0"/>
                      <w:sz w:val="21"/>
                      <w:szCs w:val="21"/>
                    </w:rPr>
                  </w:pPr>
                  <w:r>
                    <w:rPr>
                      <w:rFonts w:hint="eastAsia"/>
                      <w:color w:val="auto"/>
                      <w:kern w:val="0"/>
                      <w:sz w:val="21"/>
                      <w:szCs w:val="21"/>
                    </w:rPr>
                    <w:t>序号</w:t>
                  </w:r>
                </w:p>
              </w:tc>
              <w:tc>
                <w:tcPr>
                  <w:tcW w:w="1161" w:type="dxa"/>
                  <w:tcBorders>
                    <w:tl2br w:val="nil"/>
                    <w:tr2bl w:val="nil"/>
                  </w:tcBorders>
                  <w:vAlign w:val="center"/>
                </w:tcPr>
                <w:p w14:paraId="78628EA9">
                  <w:pPr>
                    <w:spacing w:line="240" w:lineRule="auto"/>
                    <w:jc w:val="center"/>
                    <w:rPr>
                      <w:color w:val="auto"/>
                      <w:kern w:val="0"/>
                      <w:sz w:val="21"/>
                      <w:szCs w:val="21"/>
                    </w:rPr>
                  </w:pPr>
                  <w:r>
                    <w:rPr>
                      <w:rFonts w:hint="eastAsia"/>
                      <w:color w:val="auto"/>
                      <w:kern w:val="0"/>
                      <w:sz w:val="21"/>
                      <w:szCs w:val="21"/>
                    </w:rPr>
                    <w:t>贮存设施名称</w:t>
                  </w:r>
                </w:p>
              </w:tc>
              <w:tc>
                <w:tcPr>
                  <w:tcW w:w="952" w:type="dxa"/>
                  <w:tcBorders>
                    <w:tl2br w:val="nil"/>
                    <w:tr2bl w:val="nil"/>
                  </w:tcBorders>
                  <w:vAlign w:val="center"/>
                </w:tcPr>
                <w:p w14:paraId="5F4605BF">
                  <w:pPr>
                    <w:spacing w:line="240" w:lineRule="auto"/>
                    <w:jc w:val="center"/>
                    <w:rPr>
                      <w:color w:val="auto"/>
                      <w:kern w:val="0"/>
                      <w:sz w:val="21"/>
                      <w:szCs w:val="21"/>
                    </w:rPr>
                  </w:pPr>
                  <w:r>
                    <w:rPr>
                      <w:rFonts w:hint="eastAsia"/>
                      <w:color w:val="auto"/>
                      <w:kern w:val="0"/>
                      <w:sz w:val="21"/>
                      <w:szCs w:val="21"/>
                    </w:rPr>
                    <w:t>危险废物名称</w:t>
                  </w:r>
                </w:p>
              </w:tc>
              <w:tc>
                <w:tcPr>
                  <w:tcW w:w="1700" w:type="dxa"/>
                  <w:tcBorders>
                    <w:tl2br w:val="nil"/>
                    <w:tr2bl w:val="nil"/>
                  </w:tcBorders>
                  <w:vAlign w:val="center"/>
                </w:tcPr>
                <w:p w14:paraId="12481911">
                  <w:pPr>
                    <w:spacing w:line="240" w:lineRule="auto"/>
                    <w:jc w:val="center"/>
                    <w:rPr>
                      <w:color w:val="auto"/>
                      <w:kern w:val="0"/>
                      <w:sz w:val="21"/>
                      <w:szCs w:val="21"/>
                    </w:rPr>
                  </w:pPr>
                  <w:r>
                    <w:rPr>
                      <w:rFonts w:hint="eastAsia"/>
                      <w:color w:val="auto"/>
                      <w:kern w:val="0"/>
                      <w:sz w:val="21"/>
                      <w:szCs w:val="21"/>
                    </w:rPr>
                    <w:t>危险废物类别</w:t>
                  </w:r>
                </w:p>
              </w:tc>
              <w:tc>
                <w:tcPr>
                  <w:tcW w:w="962" w:type="dxa"/>
                  <w:tcBorders>
                    <w:tl2br w:val="nil"/>
                    <w:tr2bl w:val="nil"/>
                  </w:tcBorders>
                  <w:vAlign w:val="center"/>
                </w:tcPr>
                <w:p w14:paraId="6D0FB135">
                  <w:pPr>
                    <w:spacing w:line="240" w:lineRule="auto"/>
                    <w:jc w:val="center"/>
                    <w:rPr>
                      <w:color w:val="auto"/>
                      <w:kern w:val="0"/>
                      <w:sz w:val="21"/>
                      <w:szCs w:val="21"/>
                    </w:rPr>
                  </w:pPr>
                  <w:r>
                    <w:rPr>
                      <w:rFonts w:hint="eastAsia"/>
                      <w:color w:val="auto"/>
                      <w:kern w:val="0"/>
                      <w:sz w:val="21"/>
                      <w:szCs w:val="21"/>
                    </w:rPr>
                    <w:t>危险废物代码</w:t>
                  </w:r>
                </w:p>
              </w:tc>
              <w:tc>
                <w:tcPr>
                  <w:tcW w:w="536" w:type="dxa"/>
                  <w:tcBorders>
                    <w:tl2br w:val="nil"/>
                    <w:tr2bl w:val="nil"/>
                  </w:tcBorders>
                  <w:vAlign w:val="center"/>
                </w:tcPr>
                <w:p w14:paraId="4BB5A209">
                  <w:pPr>
                    <w:spacing w:line="240" w:lineRule="auto"/>
                    <w:jc w:val="center"/>
                    <w:rPr>
                      <w:color w:val="auto"/>
                      <w:kern w:val="0"/>
                      <w:sz w:val="21"/>
                      <w:szCs w:val="21"/>
                    </w:rPr>
                  </w:pPr>
                  <w:r>
                    <w:rPr>
                      <w:rFonts w:hint="eastAsia"/>
                      <w:color w:val="auto"/>
                      <w:kern w:val="0"/>
                      <w:sz w:val="21"/>
                      <w:szCs w:val="21"/>
                    </w:rPr>
                    <w:t>位置</w:t>
                  </w:r>
                </w:p>
              </w:tc>
              <w:tc>
                <w:tcPr>
                  <w:tcW w:w="495" w:type="dxa"/>
                  <w:tcBorders>
                    <w:tl2br w:val="nil"/>
                    <w:tr2bl w:val="nil"/>
                  </w:tcBorders>
                  <w:vAlign w:val="center"/>
                </w:tcPr>
                <w:p w14:paraId="6275C4B8">
                  <w:pPr>
                    <w:spacing w:line="240" w:lineRule="auto"/>
                    <w:jc w:val="center"/>
                    <w:rPr>
                      <w:color w:val="auto"/>
                      <w:kern w:val="0"/>
                      <w:sz w:val="21"/>
                      <w:szCs w:val="21"/>
                    </w:rPr>
                  </w:pPr>
                  <w:r>
                    <w:rPr>
                      <w:rFonts w:hint="eastAsia"/>
                      <w:color w:val="auto"/>
                      <w:kern w:val="0"/>
                      <w:sz w:val="21"/>
                      <w:szCs w:val="21"/>
                    </w:rPr>
                    <w:t>占地面积</w:t>
                  </w:r>
                </w:p>
              </w:tc>
              <w:tc>
                <w:tcPr>
                  <w:tcW w:w="566" w:type="dxa"/>
                  <w:tcBorders>
                    <w:tl2br w:val="nil"/>
                    <w:tr2bl w:val="nil"/>
                  </w:tcBorders>
                  <w:vAlign w:val="center"/>
                </w:tcPr>
                <w:p w14:paraId="28B3FB81">
                  <w:pPr>
                    <w:spacing w:line="240" w:lineRule="auto"/>
                    <w:jc w:val="center"/>
                    <w:rPr>
                      <w:color w:val="auto"/>
                      <w:kern w:val="0"/>
                      <w:sz w:val="21"/>
                      <w:szCs w:val="21"/>
                    </w:rPr>
                  </w:pPr>
                  <w:r>
                    <w:rPr>
                      <w:rFonts w:hint="eastAsia"/>
                      <w:color w:val="auto"/>
                      <w:kern w:val="0"/>
                      <w:sz w:val="21"/>
                      <w:szCs w:val="21"/>
                    </w:rPr>
                    <w:t>贮存方式</w:t>
                  </w:r>
                </w:p>
              </w:tc>
              <w:tc>
                <w:tcPr>
                  <w:tcW w:w="728" w:type="dxa"/>
                  <w:tcBorders>
                    <w:tl2br w:val="nil"/>
                    <w:tr2bl w:val="nil"/>
                  </w:tcBorders>
                  <w:vAlign w:val="center"/>
                </w:tcPr>
                <w:p w14:paraId="37BAA8C2">
                  <w:pPr>
                    <w:spacing w:line="240" w:lineRule="auto"/>
                    <w:jc w:val="center"/>
                    <w:rPr>
                      <w:color w:val="auto"/>
                      <w:kern w:val="0"/>
                      <w:sz w:val="21"/>
                      <w:szCs w:val="21"/>
                    </w:rPr>
                  </w:pPr>
                  <w:r>
                    <w:rPr>
                      <w:rFonts w:hint="eastAsia"/>
                      <w:color w:val="auto"/>
                      <w:kern w:val="0"/>
                      <w:sz w:val="21"/>
                      <w:szCs w:val="21"/>
                    </w:rPr>
                    <w:t>贮存能力</w:t>
                  </w:r>
                </w:p>
              </w:tc>
              <w:tc>
                <w:tcPr>
                  <w:tcW w:w="615" w:type="dxa"/>
                  <w:tcBorders>
                    <w:tl2br w:val="nil"/>
                    <w:tr2bl w:val="nil"/>
                  </w:tcBorders>
                  <w:vAlign w:val="center"/>
                </w:tcPr>
                <w:p w14:paraId="6FCA542F">
                  <w:pPr>
                    <w:spacing w:line="240" w:lineRule="auto"/>
                    <w:jc w:val="center"/>
                    <w:rPr>
                      <w:color w:val="auto"/>
                      <w:kern w:val="0"/>
                      <w:sz w:val="21"/>
                      <w:szCs w:val="21"/>
                    </w:rPr>
                  </w:pPr>
                  <w:r>
                    <w:rPr>
                      <w:rFonts w:hint="eastAsia"/>
                      <w:color w:val="auto"/>
                      <w:kern w:val="0"/>
                      <w:sz w:val="21"/>
                      <w:szCs w:val="21"/>
                    </w:rPr>
                    <w:t>贮存周期</w:t>
                  </w:r>
                </w:p>
              </w:tc>
            </w:tr>
            <w:tr w14:paraId="1EC133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7" w:hRule="atLeast"/>
              </w:trPr>
              <w:tc>
                <w:tcPr>
                  <w:tcW w:w="477" w:type="dxa"/>
                  <w:tcBorders>
                    <w:tl2br w:val="nil"/>
                    <w:tr2bl w:val="nil"/>
                  </w:tcBorders>
                  <w:vAlign w:val="center"/>
                </w:tcPr>
                <w:p w14:paraId="0CBA2255">
                  <w:pPr>
                    <w:spacing w:line="240" w:lineRule="auto"/>
                    <w:jc w:val="center"/>
                    <w:rPr>
                      <w:rFonts w:hint="eastAsia" w:eastAsia="宋体"/>
                      <w:color w:val="auto"/>
                      <w:kern w:val="0"/>
                      <w:sz w:val="21"/>
                      <w:szCs w:val="21"/>
                      <w:lang w:eastAsia="zh-CN"/>
                    </w:rPr>
                  </w:pPr>
                  <w:r>
                    <w:rPr>
                      <w:rFonts w:hint="eastAsia"/>
                      <w:color w:val="auto"/>
                      <w:kern w:val="0"/>
                      <w:sz w:val="21"/>
                      <w:szCs w:val="21"/>
                      <w:lang w:val="en-US" w:eastAsia="zh-CN"/>
                    </w:rPr>
                    <w:t>1</w:t>
                  </w:r>
                </w:p>
              </w:tc>
              <w:tc>
                <w:tcPr>
                  <w:tcW w:w="1161" w:type="dxa"/>
                  <w:tcBorders>
                    <w:tl2br w:val="nil"/>
                    <w:tr2bl w:val="nil"/>
                  </w:tcBorders>
                  <w:vAlign w:val="center"/>
                </w:tcPr>
                <w:p w14:paraId="443C91C2">
                  <w:pPr>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olor w:val="auto"/>
                      <w:kern w:val="0"/>
                      <w:sz w:val="21"/>
                      <w:szCs w:val="21"/>
                    </w:rPr>
                    <w:t>废机油存储区</w:t>
                  </w:r>
                </w:p>
              </w:tc>
              <w:tc>
                <w:tcPr>
                  <w:tcW w:w="952" w:type="dxa"/>
                  <w:tcBorders>
                    <w:tl2br w:val="nil"/>
                    <w:tr2bl w:val="nil"/>
                  </w:tcBorders>
                  <w:vAlign w:val="center"/>
                </w:tcPr>
                <w:p w14:paraId="1B3F6157">
                  <w:pPr>
                    <w:spacing w:line="24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color w:val="auto"/>
                      <w:kern w:val="0"/>
                      <w:sz w:val="21"/>
                      <w:szCs w:val="21"/>
                    </w:rPr>
                    <w:t>废机油</w:t>
                  </w:r>
                </w:p>
              </w:tc>
              <w:tc>
                <w:tcPr>
                  <w:tcW w:w="1700" w:type="dxa"/>
                  <w:tcBorders>
                    <w:tl2br w:val="nil"/>
                    <w:tr2bl w:val="nil"/>
                  </w:tcBorders>
                  <w:vAlign w:val="center"/>
                </w:tcPr>
                <w:p w14:paraId="1A732DDF">
                  <w:pPr>
                    <w:spacing w:line="240" w:lineRule="auto"/>
                    <w:jc w:val="center"/>
                    <w:rPr>
                      <w:color w:val="auto"/>
                      <w:kern w:val="0"/>
                      <w:sz w:val="21"/>
                      <w:szCs w:val="21"/>
                    </w:rPr>
                  </w:pPr>
                  <w:r>
                    <w:rPr>
                      <w:color w:val="auto"/>
                      <w:kern w:val="0"/>
                      <w:sz w:val="21"/>
                      <w:szCs w:val="21"/>
                    </w:rPr>
                    <w:t>HW08</w:t>
                  </w:r>
                </w:p>
                <w:p w14:paraId="5440A251">
                  <w:pPr>
                    <w:spacing w:line="240" w:lineRule="auto"/>
                    <w:jc w:val="center"/>
                    <w:rPr>
                      <w:rFonts w:ascii="Times New Roman" w:hAnsi="Times New Roman" w:cs="Times New Roman" w:eastAsiaTheme="minorEastAsia"/>
                      <w:color w:val="auto"/>
                      <w:kern w:val="2"/>
                      <w:sz w:val="21"/>
                      <w:szCs w:val="21"/>
                      <w:u w:color="000000"/>
                      <w:lang w:val="en-US" w:eastAsia="zh-CN" w:bidi="ar-SA"/>
                    </w:rPr>
                  </w:pPr>
                  <w:r>
                    <w:rPr>
                      <w:color w:val="auto"/>
                      <w:kern w:val="0"/>
                      <w:sz w:val="21"/>
                      <w:szCs w:val="21"/>
                    </w:rPr>
                    <w:t>废矿物油与含矿物油废物</w:t>
                  </w:r>
                </w:p>
              </w:tc>
              <w:tc>
                <w:tcPr>
                  <w:tcW w:w="962" w:type="dxa"/>
                  <w:tcBorders>
                    <w:tl2br w:val="nil"/>
                    <w:tr2bl w:val="nil"/>
                  </w:tcBorders>
                  <w:vAlign w:val="center"/>
                </w:tcPr>
                <w:p w14:paraId="5802F4F1">
                  <w:pPr>
                    <w:spacing w:line="24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color w:val="auto"/>
                      <w:sz w:val="21"/>
                      <w:szCs w:val="21"/>
                    </w:rPr>
                    <w:t>900-249-08</w:t>
                  </w:r>
                </w:p>
              </w:tc>
              <w:tc>
                <w:tcPr>
                  <w:tcW w:w="536" w:type="dxa"/>
                  <w:tcBorders>
                    <w:tl2br w:val="nil"/>
                    <w:tr2bl w:val="nil"/>
                  </w:tcBorders>
                  <w:vAlign w:val="center"/>
                </w:tcPr>
                <w:p w14:paraId="1E26B1C5">
                  <w:pPr>
                    <w:spacing w:line="240" w:lineRule="auto"/>
                    <w:jc w:val="center"/>
                    <w:rPr>
                      <w:rFonts w:hint="default" w:eastAsia="宋体"/>
                      <w:color w:val="auto"/>
                      <w:kern w:val="0"/>
                      <w:sz w:val="21"/>
                      <w:szCs w:val="21"/>
                      <w:lang w:val="en-US" w:eastAsia="zh-CN"/>
                    </w:rPr>
                  </w:pPr>
                  <w:r>
                    <w:rPr>
                      <w:rFonts w:hint="eastAsia"/>
                      <w:color w:val="auto"/>
                      <w:kern w:val="0"/>
                      <w:sz w:val="21"/>
                      <w:szCs w:val="21"/>
                      <w:lang w:val="en-US" w:eastAsia="zh-CN"/>
                    </w:rPr>
                    <w:t>危废贮存点</w:t>
                  </w:r>
                </w:p>
              </w:tc>
              <w:tc>
                <w:tcPr>
                  <w:tcW w:w="495" w:type="dxa"/>
                  <w:tcBorders>
                    <w:tl2br w:val="nil"/>
                    <w:tr2bl w:val="nil"/>
                  </w:tcBorders>
                  <w:vAlign w:val="center"/>
                </w:tcPr>
                <w:p w14:paraId="3A00523B">
                  <w:pPr>
                    <w:spacing w:line="240" w:lineRule="auto"/>
                    <w:jc w:val="center"/>
                    <w:rPr>
                      <w:color w:val="auto"/>
                      <w:kern w:val="0"/>
                      <w:sz w:val="21"/>
                      <w:szCs w:val="21"/>
                    </w:rPr>
                  </w:pPr>
                  <w:r>
                    <w:rPr>
                      <w:rFonts w:hint="eastAsia"/>
                      <w:snapToGrid w:val="0"/>
                      <w:color w:val="auto"/>
                      <w:kern w:val="0"/>
                      <w:sz w:val="21"/>
                      <w:szCs w:val="21"/>
                      <w:lang w:val="en-US" w:eastAsia="zh-CN"/>
                    </w:rPr>
                    <w:t>1</w:t>
                  </w:r>
                  <w:r>
                    <w:rPr>
                      <w:rFonts w:hint="eastAsia" w:ascii="Times New Roman" w:hAnsi="Times New Roman"/>
                      <w:snapToGrid w:val="0"/>
                      <w:color w:val="auto"/>
                      <w:kern w:val="0"/>
                      <w:sz w:val="21"/>
                      <w:szCs w:val="21"/>
                    </w:rPr>
                    <w:t>0</w:t>
                  </w:r>
                  <w:r>
                    <w:rPr>
                      <w:rFonts w:ascii="Times New Roman" w:hAnsi="Times New Roman"/>
                      <w:snapToGrid w:val="0"/>
                      <w:color w:val="auto"/>
                      <w:kern w:val="0"/>
                      <w:sz w:val="21"/>
                      <w:szCs w:val="21"/>
                    </w:rPr>
                    <w:t>m</w:t>
                  </w:r>
                  <w:r>
                    <w:rPr>
                      <w:rFonts w:ascii="Times New Roman" w:hAnsi="Times New Roman"/>
                      <w:color w:val="auto"/>
                      <w:sz w:val="21"/>
                      <w:szCs w:val="21"/>
                      <w:vertAlign w:val="superscript"/>
                    </w:rPr>
                    <w:t>2</w:t>
                  </w:r>
                </w:p>
              </w:tc>
              <w:tc>
                <w:tcPr>
                  <w:tcW w:w="566" w:type="dxa"/>
                  <w:tcBorders>
                    <w:tl2br w:val="nil"/>
                    <w:tr2bl w:val="nil"/>
                  </w:tcBorders>
                  <w:vAlign w:val="center"/>
                </w:tcPr>
                <w:p w14:paraId="2D43C00D">
                  <w:pPr>
                    <w:spacing w:line="240" w:lineRule="auto"/>
                    <w:jc w:val="center"/>
                    <w:rPr>
                      <w:rFonts w:hint="default" w:eastAsia="宋体"/>
                      <w:color w:val="auto"/>
                      <w:kern w:val="0"/>
                      <w:sz w:val="21"/>
                      <w:szCs w:val="21"/>
                      <w:lang w:val="en-US" w:eastAsia="zh-CN"/>
                    </w:rPr>
                  </w:pPr>
                  <w:r>
                    <w:rPr>
                      <w:rFonts w:hint="eastAsia"/>
                      <w:color w:val="auto"/>
                      <w:kern w:val="0"/>
                      <w:sz w:val="21"/>
                      <w:szCs w:val="21"/>
                    </w:rPr>
                    <w:t>隔离隔开分离贮存</w:t>
                  </w:r>
                </w:p>
              </w:tc>
              <w:tc>
                <w:tcPr>
                  <w:tcW w:w="728" w:type="dxa"/>
                  <w:tcBorders>
                    <w:tl2br w:val="nil"/>
                    <w:tr2bl w:val="nil"/>
                  </w:tcBorders>
                  <w:vAlign w:val="center"/>
                </w:tcPr>
                <w:p w14:paraId="61FB8F98">
                  <w:pPr>
                    <w:kinsoku w:val="0"/>
                    <w:overflowPunct w:val="0"/>
                    <w:autoSpaceDE w:val="0"/>
                    <w:autoSpaceDN w:val="0"/>
                    <w:spacing w:line="240" w:lineRule="auto"/>
                    <w:jc w:val="center"/>
                    <w:rPr>
                      <w:rFonts w:hint="default" w:ascii="Times New Roman" w:hAnsi="Times New Roman" w:cs="Times New Roman" w:eastAsiaTheme="minorEastAsia"/>
                      <w:color w:val="auto"/>
                      <w:kern w:val="2"/>
                      <w:sz w:val="21"/>
                      <w:szCs w:val="21"/>
                      <w:lang w:val="en-US" w:eastAsia="zh-CN" w:bidi="ar-SA"/>
                    </w:rPr>
                  </w:pPr>
                  <w:r>
                    <w:rPr>
                      <w:rFonts w:hint="eastAsia" w:cs="Times New Roman" w:eastAsiaTheme="minorEastAsia"/>
                      <w:color w:val="auto"/>
                      <w:kern w:val="2"/>
                      <w:sz w:val="21"/>
                      <w:szCs w:val="21"/>
                      <w:lang w:val="en-US" w:eastAsia="zh-CN" w:bidi="ar-SA"/>
                    </w:rPr>
                    <w:t>0.5t</w:t>
                  </w:r>
                </w:p>
              </w:tc>
              <w:tc>
                <w:tcPr>
                  <w:tcW w:w="615" w:type="dxa"/>
                  <w:tcBorders>
                    <w:tl2br w:val="nil"/>
                    <w:tr2bl w:val="nil"/>
                  </w:tcBorders>
                  <w:vAlign w:val="center"/>
                </w:tcPr>
                <w:p w14:paraId="37AA94EE">
                  <w:pPr>
                    <w:spacing w:line="240" w:lineRule="auto"/>
                    <w:jc w:val="center"/>
                    <w:rPr>
                      <w:rFonts w:hint="default" w:ascii="Times New Roman" w:hAnsi="Times New Roman" w:eastAsia="宋体" w:cs="Times New Roman"/>
                      <w:color w:val="auto"/>
                      <w:kern w:val="0"/>
                      <w:sz w:val="21"/>
                      <w:szCs w:val="21"/>
                      <w:lang w:val="en-US" w:eastAsia="zh-CN" w:bidi="ar-SA"/>
                    </w:rPr>
                  </w:pPr>
                  <w:r>
                    <w:rPr>
                      <w:rFonts w:hint="eastAsia"/>
                      <w:color w:val="auto"/>
                      <w:kern w:val="0"/>
                      <w:sz w:val="21"/>
                      <w:szCs w:val="21"/>
                      <w:lang w:val="en-US" w:eastAsia="zh-CN"/>
                    </w:rPr>
                    <w:t>1年</w:t>
                  </w:r>
                </w:p>
              </w:tc>
            </w:tr>
          </w:tbl>
          <w:p w14:paraId="792B17AC">
            <w:pPr>
              <w:pStyle w:val="117"/>
              <w:rPr>
                <w:rFonts w:hint="eastAsia" w:ascii="Times New Roman" w:hAnsi="Times New Roman" w:eastAsia="宋体" w:cs="Times New Roman"/>
                <w:color w:val="auto"/>
                <w:lang w:val="en-US"/>
              </w:rPr>
            </w:pPr>
            <w:r>
              <w:rPr>
                <w:rFonts w:ascii="Times New Roman" w:hAnsi="Times New Roman" w:eastAsia="宋体" w:cs="Times New Roman"/>
                <w:color w:val="auto"/>
              </w:rPr>
              <w:t>本项目产生的危险废物在厂内指定的</w:t>
            </w:r>
            <w:r>
              <w:rPr>
                <w:rFonts w:hint="eastAsia" w:cs="Times New Roman"/>
                <w:color w:val="auto"/>
                <w:lang w:eastAsia="zh-CN"/>
              </w:rPr>
              <w:t>危废贮存点</w:t>
            </w:r>
            <w:r>
              <w:rPr>
                <w:rFonts w:ascii="Times New Roman" w:hAnsi="Times New Roman" w:eastAsia="宋体" w:cs="Times New Roman"/>
                <w:color w:val="auto"/>
              </w:rPr>
              <w:t>安全暂存，定期委托有资质单位回收处理，由持有危险废物经营许可证、危险货物运输资质的单位拉运。</w:t>
            </w:r>
          </w:p>
          <w:p w14:paraId="1093731E">
            <w:pPr>
              <w:keepLines w:val="0"/>
              <w:pageBreakBefore w:val="0"/>
              <w:topLinePunct w:val="0"/>
              <w:bidi w:val="0"/>
              <w:spacing w:beforeAutospacing="0" w:afterAutospacing="0" w:line="360" w:lineRule="auto"/>
              <w:ind w:left="0" w:leftChars="0" w:right="0" w:rightChars="0" w:firstLine="482" w:firstLineChars="200"/>
              <w:rPr>
                <w:rFonts w:hint="eastAsia" w:ascii="Times New Roman" w:hAnsi="Times New Roman" w:cs="Times New Roman"/>
                <w:b/>
                <w:bCs/>
                <w:color w:val="auto"/>
                <w:sz w:val="24"/>
                <w:szCs w:val="24"/>
                <w:highlight w:val="none"/>
                <w:lang w:val="en-US" w:eastAsia="zh-CN" w:bidi="zh-CN"/>
              </w:rPr>
            </w:pPr>
            <w:r>
              <w:rPr>
                <w:rFonts w:hint="eastAsia" w:cs="Times New Roman"/>
                <w:b/>
                <w:bCs/>
                <w:color w:val="auto"/>
                <w:sz w:val="24"/>
                <w:szCs w:val="24"/>
                <w:highlight w:val="none"/>
                <w:lang w:val="en-US" w:bidi="zh-CN"/>
              </w:rPr>
              <w:t>五</w:t>
            </w:r>
            <w:r>
              <w:rPr>
                <w:rFonts w:hint="eastAsia" w:ascii="Times New Roman" w:hAnsi="Times New Roman" w:cs="Times New Roman"/>
                <w:b/>
                <w:bCs/>
                <w:color w:val="auto"/>
                <w:sz w:val="24"/>
                <w:szCs w:val="24"/>
                <w:highlight w:val="none"/>
                <w:lang w:val="en-US" w:bidi="zh-CN"/>
              </w:rPr>
              <w:t>、</w:t>
            </w:r>
            <w:r>
              <w:rPr>
                <w:rFonts w:hint="eastAsia" w:ascii="Times New Roman" w:hAnsi="Times New Roman" w:cs="Times New Roman"/>
                <w:b/>
                <w:bCs/>
                <w:color w:val="auto"/>
                <w:sz w:val="24"/>
                <w:szCs w:val="24"/>
                <w:highlight w:val="none"/>
                <w:lang w:val="en-US" w:eastAsia="zh-CN" w:bidi="zh-CN"/>
              </w:rPr>
              <w:t>地下水</w:t>
            </w:r>
          </w:p>
          <w:p w14:paraId="2E694B7D">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eastAsia="宋体" w:cs="Times New Roman"/>
                <w:color w:val="auto"/>
                <w:highlight w:val="none"/>
                <w:lang w:val="en-US" w:eastAsia="zh-CN"/>
              </w:rPr>
            </w:pPr>
            <w:r>
              <w:rPr>
                <w:rFonts w:hint="eastAsia"/>
                <w:color w:val="auto"/>
                <w:sz w:val="24"/>
                <w:lang w:val="en-US" w:eastAsia="zh-CN"/>
              </w:rPr>
              <w:t>本项目厂区综合废水排入市政管网，经</w:t>
            </w:r>
            <w:r>
              <w:rPr>
                <w:rFonts w:hint="eastAsia" w:ascii="Times New Roman" w:hAnsi="Times New Roman" w:eastAsia="宋体" w:cs="Times New Roman"/>
                <w:color w:val="auto"/>
                <w:sz w:val="24"/>
                <w:lang w:val="en-US" w:eastAsia="zh-CN"/>
              </w:rPr>
              <w:t>双鸭山市污水处理厂处</w:t>
            </w:r>
            <w:r>
              <w:rPr>
                <w:rFonts w:hint="eastAsia"/>
                <w:color w:val="auto"/>
                <w:sz w:val="24"/>
                <w:lang w:val="en-US" w:eastAsia="zh-CN"/>
              </w:rPr>
              <w:t>理达标后排放。</w:t>
            </w:r>
            <w:r>
              <w:rPr>
                <w:rFonts w:hint="eastAsia" w:ascii="Times New Roman" w:hAnsi="Times New Roman" w:eastAsia="宋体" w:cs="Times New Roman"/>
                <w:color w:val="auto"/>
                <w:highlight w:val="none"/>
                <w:lang w:val="en-US" w:eastAsia="zh-CN"/>
              </w:rPr>
              <w:t>根据《环境影响评价技术导则 地下水环境》（HJ610-2016）将厂区各生产功能单元可能泄漏至地面区域的污染物性质和生产单元的构筑方式，将厂区建筑区域划分为重点污染防治区、一般污染防治区和简单污染防治区，并按要求进行地表防渗。</w:t>
            </w:r>
          </w:p>
          <w:p w14:paraId="1C01105A">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（1）重点污染防治区</w:t>
            </w:r>
          </w:p>
          <w:p w14:paraId="3F926844">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重点防渗区指位于地下或半地下的生产功能单元，污染地下水环境的污染物渗漏后不容易被及时发现和处理，或场地水文地质条件相对较差的区域和部位。</w:t>
            </w:r>
          </w:p>
          <w:p w14:paraId="3205690C">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w:t>
            </w:r>
            <w:r>
              <w:rPr>
                <w:rFonts w:hint="eastAsia" w:cs="Times New Roman"/>
                <w:color w:val="auto"/>
                <w:highlight w:val="none"/>
                <w:lang w:val="en-US" w:eastAsia="zh-CN"/>
              </w:rPr>
              <w:t>危废贮存点</w:t>
            </w:r>
            <w:r>
              <w:rPr>
                <w:rFonts w:hint="eastAsia" w:ascii="Times New Roman" w:hAnsi="Times New Roman" w:eastAsia="宋体" w:cs="Times New Roman"/>
                <w:color w:val="auto"/>
                <w:highlight w:val="none"/>
                <w:lang w:val="en-US" w:eastAsia="zh-CN"/>
              </w:rPr>
              <w:t>按照重点防渗区管理，</w:t>
            </w:r>
            <w:r>
              <w:rPr>
                <w:rFonts w:hint="eastAsia" w:cs="Times New Roman"/>
                <w:color w:val="auto"/>
                <w:highlight w:val="none"/>
                <w:lang w:val="en-US" w:eastAsia="zh-CN"/>
              </w:rPr>
              <w:t>危废贮存点</w:t>
            </w:r>
            <w:r>
              <w:rPr>
                <w:rFonts w:hint="eastAsia" w:ascii="Times New Roman" w:hAnsi="Times New Roman" w:eastAsia="宋体" w:cs="Times New Roman"/>
                <w:color w:val="auto"/>
                <w:highlight w:val="none"/>
                <w:lang w:val="en-US" w:eastAsia="zh-CN"/>
              </w:rPr>
              <w:t>防渗要求按照《危险废物贮存污染控制标准》（GB18597-2023）的要求执行，为重点防渗区，基础敷设2mm厚的高密度聚乙烯防水层，上部敷设10cm厚水泥层，表面铺设防水树脂层，渗透系数≤10</w:t>
            </w:r>
            <w:r>
              <w:rPr>
                <w:rFonts w:hint="eastAsia" w:ascii="Times New Roman" w:hAnsi="Times New Roman" w:eastAsia="宋体" w:cs="Times New Roman"/>
                <w:color w:val="auto"/>
                <w:highlight w:val="none"/>
                <w:vertAlign w:val="superscript"/>
                <w:lang w:val="en-US" w:eastAsia="zh-CN"/>
              </w:rPr>
              <w:t>-10</w:t>
            </w:r>
            <w:r>
              <w:rPr>
                <w:rFonts w:hint="eastAsia" w:ascii="Times New Roman" w:hAnsi="Times New Roman" w:eastAsia="宋体" w:cs="Times New Roman"/>
                <w:color w:val="auto"/>
                <w:highlight w:val="none"/>
                <w:lang w:val="en-US" w:eastAsia="zh-CN"/>
              </w:rPr>
              <w:t>cm/s。</w:t>
            </w:r>
          </w:p>
          <w:p w14:paraId="78408334">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一般污染防治区</w:t>
            </w:r>
          </w:p>
          <w:p w14:paraId="498C043D">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一般污染防治区指对地下水环境有污染的物料或污染物渗漏后，可及时发现和处理的区域或部位。本项目一般防渗区为</w:t>
            </w:r>
            <w:r>
              <w:rPr>
                <w:rFonts w:hint="eastAsia" w:cs="Times New Roman"/>
                <w:color w:val="auto"/>
                <w:highlight w:val="none"/>
                <w:lang w:val="en-US" w:eastAsia="zh-CN"/>
              </w:rPr>
              <w:t>去皮车间、速冻间、加工间、冷库、仓库、锅炉房、水房</w:t>
            </w:r>
            <w:r>
              <w:rPr>
                <w:rFonts w:hint="eastAsia" w:ascii="Times New Roman" w:hAnsi="Times New Roman" w:eastAsia="宋体" w:cs="Times New Roman"/>
                <w:color w:val="auto"/>
                <w:highlight w:val="none"/>
                <w:lang w:val="en-US" w:eastAsia="zh-CN"/>
              </w:rPr>
              <w:t>所在区域，采用抗渗等级不低于P6级的抗渗混凝土，满足《环境影响评价技术导则 地下水环境》（HJ610-2016）表7中一般防渗区防渗技术要求（等效黏土防渗层Mb≥1.5m，渗透系数≤10</w:t>
            </w:r>
            <w:r>
              <w:rPr>
                <w:rFonts w:hint="eastAsia" w:ascii="Times New Roman" w:hAnsi="Times New Roman" w:eastAsia="宋体" w:cs="Times New Roman"/>
                <w:color w:val="auto"/>
                <w:highlight w:val="none"/>
                <w:vertAlign w:val="superscript"/>
                <w:lang w:val="en-US" w:eastAsia="zh-CN"/>
              </w:rPr>
              <w:t>-7</w:t>
            </w:r>
            <w:r>
              <w:rPr>
                <w:rFonts w:hint="eastAsia" w:ascii="Times New Roman" w:hAnsi="Times New Roman" w:eastAsia="宋体" w:cs="Times New Roman"/>
                <w:color w:val="auto"/>
                <w:highlight w:val="none"/>
                <w:lang w:val="en-US" w:eastAsia="zh-CN"/>
              </w:rPr>
              <w:t>cm/s）。</w:t>
            </w:r>
          </w:p>
          <w:p w14:paraId="3EB82A26">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（2）简单污染区防治区</w:t>
            </w:r>
          </w:p>
          <w:p w14:paraId="2846C432">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本项目简单防渗区为除一般防渗区以外的厂区其它建筑区，参照《环境影响评价技术导则 地下水环境》(HJ610-2016)表7地下水污染防渗分区参照表中简单防渗区防渗技术要求，主要防渗措施为水泥地面硬化。</w:t>
            </w:r>
          </w:p>
          <w:p w14:paraId="6A7F8798">
            <w:pPr>
              <w:pStyle w:val="11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480"/>
              <w:jc w:val="center"/>
              <w:textAlignment w:val="auto"/>
              <w:rPr>
                <w:rFonts w:hint="eastAsia" w:ascii="Times New Roman" w:hAnsi="Times New Roman" w:cs="Times New Roman" w:eastAsiaTheme="minorEastAsia"/>
                <w:b/>
                <w:bCs/>
                <w:color w:val="auto"/>
                <w:sz w:val="21"/>
                <w:szCs w:val="16"/>
                <w:highlight w:val="none"/>
                <w:lang w:val="en-US" w:eastAsia="zh-CN"/>
              </w:rPr>
            </w:pPr>
            <w:r>
              <w:rPr>
                <w:rFonts w:hint="eastAsia" w:ascii="Times New Roman" w:hAnsi="Times New Roman" w:cs="Times New Roman" w:eastAsiaTheme="minorEastAsia"/>
                <w:b/>
                <w:bCs/>
                <w:color w:val="auto"/>
                <w:sz w:val="21"/>
                <w:szCs w:val="16"/>
                <w:highlight w:val="none"/>
                <w:lang w:val="en-US" w:eastAsia="zh-CN"/>
              </w:rPr>
              <w:t>表4-</w:t>
            </w:r>
            <w:r>
              <w:rPr>
                <w:rFonts w:hint="eastAsia" w:cs="Times New Roman" w:eastAsiaTheme="minorEastAsia"/>
                <w:b/>
                <w:bCs/>
                <w:color w:val="auto"/>
                <w:sz w:val="21"/>
                <w:szCs w:val="16"/>
                <w:highlight w:val="none"/>
                <w:lang w:val="en-US" w:eastAsia="zh-CN"/>
              </w:rPr>
              <w:t xml:space="preserve">21  </w:t>
            </w:r>
            <w:r>
              <w:rPr>
                <w:rFonts w:hint="eastAsia" w:ascii="Times New Roman" w:hAnsi="Times New Roman" w:cs="Times New Roman" w:eastAsiaTheme="minorEastAsia"/>
                <w:b/>
                <w:bCs/>
                <w:color w:val="auto"/>
                <w:sz w:val="21"/>
                <w:szCs w:val="16"/>
                <w:highlight w:val="none"/>
                <w:lang w:val="en-US" w:eastAsia="zh-CN"/>
              </w:rPr>
              <w:t>本项目分区防渗情况一览表</w:t>
            </w:r>
          </w:p>
          <w:tbl>
            <w:tblPr>
              <w:tblStyle w:val="32"/>
              <w:tblW w:w="822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583"/>
              <w:gridCol w:w="1272"/>
              <w:gridCol w:w="1995"/>
              <w:gridCol w:w="4375"/>
            </w:tblGrid>
            <w:tr w14:paraId="6A4F1C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24" w:hRule="atLeast"/>
                <w:jc w:val="center"/>
              </w:trPr>
              <w:tc>
                <w:tcPr>
                  <w:tcW w:w="583" w:type="dxa"/>
                  <w:tcBorders>
                    <w:tl2br w:val="nil"/>
                    <w:tr2bl w:val="nil"/>
                  </w:tcBorders>
                  <w:noWrap w:val="0"/>
                  <w:vAlign w:val="center"/>
                </w:tcPr>
                <w:p w14:paraId="79B108F4">
                  <w:pPr>
                    <w:pStyle w:val="11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cs="Times New Roman" w:eastAsiaTheme="minorEastAsia"/>
                      <w:color w:val="auto"/>
                      <w:sz w:val="21"/>
                      <w:szCs w:val="16"/>
                      <w:highlight w:val="none"/>
                      <w:lang w:val="en-US" w:eastAsia="zh-CN"/>
                    </w:rPr>
                  </w:pPr>
                  <w:r>
                    <w:rPr>
                      <w:rFonts w:hint="eastAsia" w:ascii="Times New Roman" w:hAnsi="Times New Roman" w:cs="Times New Roman" w:eastAsiaTheme="minorEastAsia"/>
                      <w:color w:val="auto"/>
                      <w:sz w:val="21"/>
                      <w:szCs w:val="16"/>
                      <w:highlight w:val="none"/>
                      <w:lang w:val="en-US" w:eastAsia="zh-CN"/>
                    </w:rPr>
                    <w:t>序号</w:t>
                  </w:r>
                </w:p>
              </w:tc>
              <w:tc>
                <w:tcPr>
                  <w:tcW w:w="1272" w:type="dxa"/>
                  <w:tcBorders>
                    <w:tl2br w:val="nil"/>
                    <w:tr2bl w:val="nil"/>
                  </w:tcBorders>
                  <w:noWrap w:val="0"/>
                  <w:vAlign w:val="center"/>
                </w:tcPr>
                <w:p w14:paraId="77167E9C">
                  <w:pPr>
                    <w:pStyle w:val="11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cs="Times New Roman" w:eastAsiaTheme="minorEastAsia"/>
                      <w:color w:val="auto"/>
                      <w:sz w:val="21"/>
                      <w:szCs w:val="16"/>
                      <w:highlight w:val="none"/>
                      <w:lang w:val="en-US" w:eastAsia="zh-CN"/>
                    </w:rPr>
                  </w:pPr>
                  <w:r>
                    <w:rPr>
                      <w:rFonts w:hint="eastAsia" w:ascii="Times New Roman" w:hAnsi="Times New Roman" w:cs="Times New Roman" w:eastAsiaTheme="minorEastAsia"/>
                      <w:color w:val="auto"/>
                      <w:sz w:val="21"/>
                      <w:szCs w:val="16"/>
                      <w:highlight w:val="none"/>
                      <w:lang w:val="en-US" w:eastAsia="zh-CN"/>
                    </w:rPr>
                    <w:t>污染防治区主要类别</w:t>
                  </w:r>
                </w:p>
              </w:tc>
              <w:tc>
                <w:tcPr>
                  <w:tcW w:w="1995" w:type="dxa"/>
                  <w:tcBorders>
                    <w:tl2br w:val="nil"/>
                    <w:tr2bl w:val="nil"/>
                  </w:tcBorders>
                  <w:noWrap w:val="0"/>
                  <w:vAlign w:val="center"/>
                </w:tcPr>
                <w:p w14:paraId="7911D8F7">
                  <w:pPr>
                    <w:pStyle w:val="11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cs="Times New Roman" w:eastAsiaTheme="minorEastAsia"/>
                      <w:color w:val="auto"/>
                      <w:sz w:val="21"/>
                      <w:szCs w:val="16"/>
                      <w:highlight w:val="none"/>
                      <w:lang w:val="en-US" w:eastAsia="zh-CN"/>
                    </w:rPr>
                  </w:pPr>
                  <w:r>
                    <w:rPr>
                      <w:rFonts w:hint="eastAsia" w:ascii="Times New Roman" w:hAnsi="Times New Roman" w:cs="Times New Roman" w:eastAsiaTheme="minorEastAsia"/>
                      <w:color w:val="auto"/>
                      <w:sz w:val="21"/>
                      <w:szCs w:val="16"/>
                      <w:highlight w:val="none"/>
                      <w:lang w:val="en-US" w:eastAsia="zh-CN"/>
                    </w:rPr>
                    <w:t>装置、单元名称</w:t>
                  </w:r>
                </w:p>
              </w:tc>
              <w:tc>
                <w:tcPr>
                  <w:tcW w:w="4375" w:type="dxa"/>
                  <w:tcBorders>
                    <w:tl2br w:val="nil"/>
                    <w:tr2bl w:val="nil"/>
                  </w:tcBorders>
                  <w:noWrap w:val="0"/>
                  <w:vAlign w:val="center"/>
                </w:tcPr>
                <w:p w14:paraId="19BC383F">
                  <w:pPr>
                    <w:pStyle w:val="11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cs="Times New Roman" w:eastAsiaTheme="minorEastAsia"/>
                      <w:color w:val="auto"/>
                      <w:sz w:val="21"/>
                      <w:szCs w:val="16"/>
                      <w:highlight w:val="none"/>
                      <w:lang w:val="en-US" w:eastAsia="zh-CN"/>
                    </w:rPr>
                  </w:pPr>
                  <w:r>
                    <w:rPr>
                      <w:rFonts w:hint="eastAsia" w:ascii="Times New Roman" w:hAnsi="Times New Roman" w:cs="Times New Roman" w:eastAsiaTheme="minorEastAsia"/>
                      <w:color w:val="auto"/>
                      <w:sz w:val="21"/>
                      <w:szCs w:val="16"/>
                      <w:highlight w:val="none"/>
                      <w:lang w:val="en-US" w:eastAsia="zh-CN"/>
                    </w:rPr>
                    <w:t>防渗要求</w:t>
                  </w:r>
                </w:p>
              </w:tc>
            </w:tr>
            <w:tr w14:paraId="75DEF1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83" w:type="dxa"/>
                  <w:tcBorders>
                    <w:tl2br w:val="nil"/>
                    <w:tr2bl w:val="nil"/>
                  </w:tcBorders>
                  <w:noWrap w:val="0"/>
                  <w:vAlign w:val="center"/>
                </w:tcPr>
                <w:p w14:paraId="20630303">
                  <w:pPr>
                    <w:pStyle w:val="11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default" w:ascii="Times New Roman" w:hAnsi="Times New Roman" w:cs="Times New Roman" w:eastAsiaTheme="minorEastAsia"/>
                      <w:color w:val="auto"/>
                      <w:sz w:val="21"/>
                      <w:szCs w:val="16"/>
                      <w:highlight w:val="none"/>
                      <w:lang w:val="en-US" w:eastAsia="zh-CN"/>
                    </w:rPr>
                  </w:pPr>
                  <w:r>
                    <w:rPr>
                      <w:rFonts w:hint="eastAsia" w:cs="Times New Roman" w:eastAsiaTheme="minorEastAsia"/>
                      <w:color w:val="auto"/>
                      <w:sz w:val="21"/>
                      <w:szCs w:val="16"/>
                      <w:highlight w:val="none"/>
                      <w:lang w:val="en-US" w:eastAsia="zh-CN"/>
                    </w:rPr>
                    <w:t>1</w:t>
                  </w:r>
                </w:p>
              </w:tc>
              <w:tc>
                <w:tcPr>
                  <w:tcW w:w="1272" w:type="dxa"/>
                  <w:tcBorders>
                    <w:tl2br w:val="nil"/>
                    <w:tr2bl w:val="nil"/>
                  </w:tcBorders>
                  <w:noWrap w:val="0"/>
                  <w:vAlign w:val="center"/>
                </w:tcPr>
                <w:p w14:paraId="42051350">
                  <w:pPr>
                    <w:pStyle w:val="11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default" w:ascii="Times New Roman" w:hAnsi="Times New Roman" w:cs="Times New Roman" w:eastAsiaTheme="minorEastAsia"/>
                      <w:color w:val="auto"/>
                      <w:sz w:val="21"/>
                      <w:szCs w:val="16"/>
                      <w:highlight w:val="none"/>
                      <w:lang w:val="en-US" w:eastAsia="zh-CN"/>
                    </w:rPr>
                  </w:pPr>
                  <w:r>
                    <w:rPr>
                      <w:rFonts w:hint="eastAsia" w:cs="Times New Roman" w:eastAsiaTheme="minorEastAsia"/>
                      <w:color w:val="auto"/>
                      <w:sz w:val="21"/>
                      <w:szCs w:val="16"/>
                      <w:highlight w:val="none"/>
                      <w:lang w:val="en-US" w:eastAsia="zh-CN"/>
                    </w:rPr>
                    <w:t>重点防渗区</w:t>
                  </w:r>
                </w:p>
              </w:tc>
              <w:tc>
                <w:tcPr>
                  <w:tcW w:w="1995" w:type="dxa"/>
                  <w:tcBorders>
                    <w:tl2br w:val="nil"/>
                    <w:tr2bl w:val="nil"/>
                  </w:tcBorders>
                  <w:noWrap w:val="0"/>
                  <w:vAlign w:val="center"/>
                </w:tcPr>
                <w:p w14:paraId="09E2CA06">
                  <w:pPr>
                    <w:pStyle w:val="11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default" w:ascii="Times New Roman" w:hAnsi="Times New Roman" w:cs="Times New Roman" w:eastAsiaTheme="minorEastAsia"/>
                      <w:color w:val="auto"/>
                      <w:sz w:val="21"/>
                      <w:szCs w:val="16"/>
                      <w:highlight w:val="none"/>
                      <w:lang w:val="en-US" w:eastAsia="zh-CN"/>
                    </w:rPr>
                  </w:pPr>
                  <w:r>
                    <w:rPr>
                      <w:rFonts w:hint="eastAsia" w:cs="Times New Roman" w:eastAsiaTheme="minorEastAsia"/>
                      <w:color w:val="auto"/>
                      <w:sz w:val="21"/>
                      <w:szCs w:val="16"/>
                      <w:highlight w:val="none"/>
                      <w:lang w:val="en-US" w:eastAsia="zh-CN"/>
                    </w:rPr>
                    <w:t>危废贮存点</w:t>
                  </w:r>
                </w:p>
              </w:tc>
              <w:tc>
                <w:tcPr>
                  <w:tcW w:w="4375" w:type="dxa"/>
                  <w:tcBorders>
                    <w:tl2br w:val="nil"/>
                    <w:tr2bl w:val="nil"/>
                  </w:tcBorders>
                  <w:noWrap w:val="0"/>
                  <w:vAlign w:val="center"/>
                </w:tcPr>
                <w:p w14:paraId="293FB7CE">
                  <w:pPr>
                    <w:pStyle w:val="11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cs="Times New Roman" w:eastAsiaTheme="minorEastAsia"/>
                      <w:color w:val="auto"/>
                      <w:sz w:val="21"/>
                      <w:szCs w:val="16"/>
                      <w:highlight w:val="none"/>
                      <w:lang w:val="en-US" w:eastAsia="zh-CN"/>
                    </w:rPr>
                  </w:pPr>
                  <w:r>
                    <w:rPr>
                      <w:rFonts w:ascii="Times New Roman" w:hAnsi="Times New Roman" w:cs="Times New Roman"/>
                      <w:color w:val="auto"/>
                      <w:sz w:val="21"/>
                      <w:szCs w:val="16"/>
                    </w:rPr>
                    <w:t>地面与裙脚采用坚固防渗的材料建造，防风、防晒、防雨；基础</w:t>
                  </w:r>
                  <w:r>
                    <w:rPr>
                      <w:rFonts w:hint="eastAsia" w:ascii="Times New Roman" w:hAnsi="Times New Roman" w:cs="Times New Roman"/>
                      <w:color w:val="auto"/>
                      <w:sz w:val="21"/>
                      <w:szCs w:val="16"/>
                    </w:rPr>
                    <w:t>敷设</w:t>
                  </w:r>
                  <w:r>
                    <w:rPr>
                      <w:rFonts w:ascii="Times New Roman" w:hAnsi="Times New Roman" w:cs="Times New Roman"/>
                      <w:color w:val="auto"/>
                      <w:sz w:val="21"/>
                      <w:szCs w:val="16"/>
                    </w:rPr>
                    <w:t>至少2mm厚的高密度聚乙烯防水层，上部敷设10cm厚水泥层，渗透系数应≤1×10</w:t>
                  </w:r>
                  <w:r>
                    <w:rPr>
                      <w:rFonts w:ascii="Times New Roman" w:hAnsi="Times New Roman" w:cs="Times New Roman"/>
                      <w:color w:val="auto"/>
                      <w:sz w:val="21"/>
                      <w:szCs w:val="16"/>
                      <w:vertAlign w:val="superscript"/>
                    </w:rPr>
                    <w:t>-10</w:t>
                  </w:r>
                  <w:r>
                    <w:rPr>
                      <w:rFonts w:ascii="Times New Roman" w:hAnsi="Times New Roman" w:cs="Times New Roman"/>
                      <w:color w:val="auto"/>
                      <w:sz w:val="21"/>
                      <w:szCs w:val="16"/>
                    </w:rPr>
                    <w:t>cm/s</w:t>
                  </w:r>
                </w:p>
              </w:tc>
            </w:tr>
            <w:tr w14:paraId="0200C1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83" w:type="dxa"/>
                  <w:tcBorders>
                    <w:tl2br w:val="nil"/>
                    <w:tr2bl w:val="nil"/>
                  </w:tcBorders>
                  <w:noWrap w:val="0"/>
                  <w:vAlign w:val="center"/>
                </w:tcPr>
                <w:p w14:paraId="64A44BF6">
                  <w:pPr>
                    <w:pStyle w:val="11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cs="Times New Roman" w:eastAsiaTheme="minorEastAsia"/>
                      <w:color w:val="auto"/>
                      <w:sz w:val="21"/>
                      <w:szCs w:val="16"/>
                      <w:highlight w:val="none"/>
                      <w:lang w:val="en-US" w:eastAsia="zh-CN"/>
                    </w:rPr>
                  </w:pPr>
                  <w:r>
                    <w:rPr>
                      <w:rFonts w:hint="eastAsia" w:ascii="Times New Roman" w:hAnsi="Times New Roman" w:cs="Times New Roman" w:eastAsiaTheme="minorEastAsia"/>
                      <w:color w:val="auto"/>
                      <w:sz w:val="21"/>
                      <w:szCs w:val="16"/>
                      <w:highlight w:val="none"/>
                      <w:lang w:val="en-US" w:eastAsia="zh-CN"/>
                    </w:rPr>
                    <w:t>2</w:t>
                  </w:r>
                </w:p>
              </w:tc>
              <w:tc>
                <w:tcPr>
                  <w:tcW w:w="1272" w:type="dxa"/>
                  <w:tcBorders>
                    <w:tl2br w:val="nil"/>
                    <w:tr2bl w:val="nil"/>
                  </w:tcBorders>
                  <w:noWrap w:val="0"/>
                  <w:vAlign w:val="center"/>
                </w:tcPr>
                <w:p w14:paraId="6CFCAAC8">
                  <w:pPr>
                    <w:pStyle w:val="11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cs="Times New Roman" w:eastAsiaTheme="minorEastAsia"/>
                      <w:color w:val="auto"/>
                      <w:sz w:val="21"/>
                      <w:szCs w:val="16"/>
                      <w:highlight w:val="none"/>
                      <w:lang w:val="en-US" w:eastAsia="zh-CN"/>
                    </w:rPr>
                  </w:pPr>
                  <w:r>
                    <w:rPr>
                      <w:rFonts w:hint="eastAsia" w:ascii="Times New Roman" w:hAnsi="Times New Roman" w:cs="Times New Roman" w:eastAsiaTheme="minorEastAsia"/>
                      <w:color w:val="auto"/>
                      <w:sz w:val="21"/>
                      <w:szCs w:val="16"/>
                      <w:highlight w:val="none"/>
                      <w:lang w:val="en-US" w:eastAsia="zh-CN"/>
                    </w:rPr>
                    <w:t>一般防渗区</w:t>
                  </w:r>
                </w:p>
              </w:tc>
              <w:tc>
                <w:tcPr>
                  <w:tcW w:w="1995" w:type="dxa"/>
                  <w:tcBorders>
                    <w:tl2br w:val="nil"/>
                    <w:tr2bl w:val="nil"/>
                  </w:tcBorders>
                  <w:noWrap w:val="0"/>
                  <w:vAlign w:val="center"/>
                </w:tcPr>
                <w:p w14:paraId="710B6C10">
                  <w:pPr>
                    <w:pStyle w:val="11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default" w:ascii="Times New Roman" w:hAnsi="Times New Roman" w:cs="Times New Roman" w:eastAsiaTheme="minorEastAsia"/>
                      <w:color w:val="auto"/>
                      <w:sz w:val="21"/>
                      <w:szCs w:val="16"/>
                      <w:highlight w:val="none"/>
                      <w:lang w:val="en-US" w:eastAsia="zh-CN"/>
                    </w:rPr>
                  </w:pPr>
                  <w:r>
                    <w:rPr>
                      <w:rFonts w:hint="eastAsia" w:ascii="Times New Roman" w:hAnsi="Times New Roman" w:cs="Times New Roman" w:eastAsiaTheme="minorEastAsia"/>
                      <w:color w:val="auto"/>
                      <w:sz w:val="21"/>
                      <w:szCs w:val="16"/>
                      <w:highlight w:val="none"/>
                      <w:lang w:val="en-US" w:eastAsia="zh-CN"/>
                    </w:rPr>
                    <w:t>去皮车间、速冻间、加工间、冷库、仓库、锅炉房</w:t>
                  </w:r>
                  <w:r>
                    <w:rPr>
                      <w:rFonts w:hint="eastAsia" w:cs="Times New Roman" w:eastAsiaTheme="minorEastAsia"/>
                      <w:color w:val="auto"/>
                      <w:sz w:val="21"/>
                      <w:szCs w:val="16"/>
                      <w:highlight w:val="none"/>
                      <w:lang w:val="en-US" w:eastAsia="zh-CN"/>
                    </w:rPr>
                    <w:t>、水房</w:t>
                  </w:r>
                </w:p>
              </w:tc>
              <w:tc>
                <w:tcPr>
                  <w:tcW w:w="4375" w:type="dxa"/>
                  <w:tcBorders>
                    <w:tl2br w:val="nil"/>
                    <w:tr2bl w:val="nil"/>
                  </w:tcBorders>
                  <w:noWrap w:val="0"/>
                  <w:vAlign w:val="center"/>
                </w:tcPr>
                <w:p w14:paraId="586E22FC">
                  <w:pPr>
                    <w:pStyle w:val="11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cs="Times New Roman" w:eastAsiaTheme="minorEastAsia"/>
                      <w:color w:val="auto"/>
                      <w:sz w:val="21"/>
                      <w:szCs w:val="16"/>
                      <w:highlight w:val="none"/>
                      <w:lang w:val="en-US" w:eastAsia="zh-CN"/>
                    </w:rPr>
                  </w:pPr>
                  <w:r>
                    <w:rPr>
                      <w:rFonts w:hint="eastAsia" w:ascii="Times New Roman" w:hAnsi="Times New Roman" w:cs="Times New Roman" w:eastAsiaTheme="minorEastAsia"/>
                      <w:color w:val="auto"/>
                      <w:sz w:val="21"/>
                      <w:szCs w:val="16"/>
                      <w:highlight w:val="none"/>
                      <w:lang w:val="en-US" w:eastAsia="zh-CN"/>
                    </w:rPr>
                    <w:t>采用抗渗等级不低于P6级的抗渗混凝土，满足《环境影响评价技术导则 地下水环境》（HJ610-2016）表7中一般防渗区防渗技术要求（等效黏土防渗层Mb≥1.5m，渗透系数≤10</w:t>
                  </w:r>
                  <w:r>
                    <w:rPr>
                      <w:rFonts w:hint="eastAsia" w:ascii="Times New Roman" w:hAnsi="Times New Roman" w:cs="Times New Roman" w:eastAsiaTheme="minorEastAsia"/>
                      <w:color w:val="auto"/>
                      <w:sz w:val="21"/>
                      <w:szCs w:val="16"/>
                      <w:highlight w:val="none"/>
                      <w:vertAlign w:val="superscript"/>
                      <w:lang w:val="en-US" w:eastAsia="zh-CN"/>
                    </w:rPr>
                    <w:t>-7</w:t>
                  </w:r>
                  <w:r>
                    <w:rPr>
                      <w:rFonts w:hint="eastAsia" w:ascii="Times New Roman" w:hAnsi="Times New Roman" w:cs="Times New Roman" w:eastAsiaTheme="minorEastAsia"/>
                      <w:color w:val="auto"/>
                      <w:sz w:val="21"/>
                      <w:szCs w:val="16"/>
                      <w:highlight w:val="none"/>
                      <w:lang w:val="en-US" w:eastAsia="zh-CN"/>
                    </w:rPr>
                    <w:t>cm/s）</w:t>
                  </w:r>
                </w:p>
              </w:tc>
            </w:tr>
            <w:tr w14:paraId="35B4C8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83" w:type="dxa"/>
                  <w:tcBorders>
                    <w:tl2br w:val="nil"/>
                    <w:tr2bl w:val="nil"/>
                  </w:tcBorders>
                  <w:noWrap w:val="0"/>
                  <w:vAlign w:val="center"/>
                </w:tcPr>
                <w:p w14:paraId="7D19AC2A">
                  <w:pPr>
                    <w:pStyle w:val="11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cs="Times New Roman" w:eastAsiaTheme="minorEastAsia"/>
                      <w:color w:val="auto"/>
                      <w:sz w:val="21"/>
                      <w:szCs w:val="16"/>
                      <w:highlight w:val="none"/>
                      <w:lang w:val="en-US" w:eastAsia="zh-CN"/>
                    </w:rPr>
                  </w:pPr>
                  <w:r>
                    <w:rPr>
                      <w:rFonts w:hint="eastAsia" w:ascii="Times New Roman" w:hAnsi="Times New Roman" w:cs="Times New Roman" w:eastAsiaTheme="minorEastAsia"/>
                      <w:color w:val="auto"/>
                      <w:sz w:val="21"/>
                      <w:szCs w:val="16"/>
                      <w:highlight w:val="none"/>
                      <w:lang w:val="en-US" w:eastAsia="zh-CN"/>
                    </w:rPr>
                    <w:t>3</w:t>
                  </w:r>
                </w:p>
              </w:tc>
              <w:tc>
                <w:tcPr>
                  <w:tcW w:w="1272" w:type="dxa"/>
                  <w:tcBorders>
                    <w:tl2br w:val="nil"/>
                    <w:tr2bl w:val="nil"/>
                  </w:tcBorders>
                  <w:noWrap w:val="0"/>
                  <w:vAlign w:val="center"/>
                </w:tcPr>
                <w:p w14:paraId="0BCA0BE3">
                  <w:pPr>
                    <w:pStyle w:val="11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cs="Times New Roman" w:eastAsiaTheme="minorEastAsia"/>
                      <w:color w:val="auto"/>
                      <w:sz w:val="21"/>
                      <w:szCs w:val="16"/>
                      <w:highlight w:val="none"/>
                      <w:lang w:val="en-US" w:eastAsia="zh-CN"/>
                    </w:rPr>
                  </w:pPr>
                  <w:r>
                    <w:rPr>
                      <w:rFonts w:hint="eastAsia" w:ascii="Times New Roman" w:hAnsi="Times New Roman" w:cs="Times New Roman" w:eastAsiaTheme="minorEastAsia"/>
                      <w:color w:val="auto"/>
                      <w:sz w:val="21"/>
                      <w:szCs w:val="16"/>
                      <w:highlight w:val="none"/>
                      <w:lang w:val="en-US" w:eastAsia="zh-CN"/>
                    </w:rPr>
                    <w:t>简单防渗区</w:t>
                  </w:r>
                </w:p>
              </w:tc>
              <w:tc>
                <w:tcPr>
                  <w:tcW w:w="1995" w:type="dxa"/>
                  <w:tcBorders>
                    <w:tl2br w:val="nil"/>
                    <w:tr2bl w:val="nil"/>
                  </w:tcBorders>
                  <w:noWrap w:val="0"/>
                  <w:vAlign w:val="center"/>
                </w:tcPr>
                <w:p w14:paraId="2DE373FB">
                  <w:pPr>
                    <w:pStyle w:val="11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default" w:ascii="Times New Roman" w:hAnsi="Times New Roman" w:cs="Times New Roman" w:eastAsiaTheme="minorEastAsia"/>
                      <w:color w:val="auto"/>
                      <w:sz w:val="21"/>
                      <w:szCs w:val="16"/>
                      <w:highlight w:val="none"/>
                      <w:lang w:val="en-US" w:eastAsia="zh-CN"/>
                    </w:rPr>
                  </w:pPr>
                  <w:r>
                    <w:rPr>
                      <w:rFonts w:hint="eastAsia" w:cs="Times New Roman" w:eastAsiaTheme="minorEastAsia"/>
                      <w:color w:val="auto"/>
                      <w:sz w:val="21"/>
                      <w:szCs w:val="16"/>
                      <w:highlight w:val="none"/>
                      <w:lang w:val="en-US" w:eastAsia="zh-CN"/>
                    </w:rPr>
                    <w:t>除重点防渗区和一般防渗区的区域</w:t>
                  </w:r>
                </w:p>
              </w:tc>
              <w:tc>
                <w:tcPr>
                  <w:tcW w:w="4375" w:type="dxa"/>
                  <w:tcBorders>
                    <w:tl2br w:val="nil"/>
                    <w:tr2bl w:val="nil"/>
                  </w:tcBorders>
                  <w:noWrap w:val="0"/>
                  <w:vAlign w:val="center"/>
                </w:tcPr>
                <w:p w14:paraId="0F8861C1">
                  <w:pPr>
                    <w:pStyle w:val="11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cs="Times New Roman" w:eastAsiaTheme="minorEastAsia"/>
                      <w:color w:val="auto"/>
                      <w:sz w:val="21"/>
                      <w:szCs w:val="16"/>
                      <w:highlight w:val="none"/>
                      <w:lang w:val="en-US" w:eastAsia="zh-CN"/>
                    </w:rPr>
                  </w:pPr>
                  <w:r>
                    <w:rPr>
                      <w:rFonts w:hint="eastAsia" w:ascii="Times New Roman" w:hAnsi="Times New Roman" w:cs="Times New Roman" w:eastAsiaTheme="minorEastAsia"/>
                      <w:color w:val="auto"/>
                      <w:sz w:val="21"/>
                      <w:szCs w:val="16"/>
                      <w:highlight w:val="none"/>
                      <w:lang w:val="en-US" w:eastAsia="zh-CN"/>
                    </w:rPr>
                    <w:t>水泥硬化</w:t>
                  </w:r>
                </w:p>
              </w:tc>
            </w:tr>
          </w:tbl>
          <w:p w14:paraId="7C1C86AF">
            <w:pPr>
              <w:keepLines w:val="0"/>
              <w:pageBreakBefore w:val="0"/>
              <w:topLinePunct w:val="0"/>
              <w:bidi w:val="0"/>
              <w:spacing w:beforeAutospacing="0" w:afterAutospacing="0" w:line="360" w:lineRule="auto"/>
              <w:ind w:left="0" w:leftChars="0" w:right="0" w:rightChars="0" w:firstLine="482" w:firstLineChars="200"/>
              <w:rPr>
                <w:rFonts w:hint="eastAsia" w:ascii="Times New Roman" w:hAnsi="Times New Roman" w:eastAsia="宋体" w:cs="Times New Roman"/>
                <w:b/>
                <w:bCs/>
                <w:color w:val="auto"/>
                <w:kern w:val="0"/>
                <w:sz w:val="24"/>
                <w:szCs w:val="24"/>
                <w:highlight w:val="none"/>
                <w:lang w:val="en-US" w:bidi="ar"/>
              </w:rPr>
            </w:pPr>
            <w:r>
              <w:rPr>
                <w:rFonts w:hint="eastAsia" w:ascii="Times New Roman" w:hAnsi="Times New Roman" w:eastAsia="宋体" w:cs="Times New Roman"/>
                <w:b/>
                <w:bCs/>
                <w:color w:val="auto"/>
                <w:kern w:val="0"/>
                <w:sz w:val="24"/>
                <w:szCs w:val="24"/>
                <w:highlight w:val="none"/>
                <w:lang w:val="en-US" w:bidi="ar"/>
              </w:rPr>
              <w:t>六、土壤</w:t>
            </w:r>
          </w:p>
          <w:p w14:paraId="26E1C119">
            <w:pPr>
              <w:keepLines w:val="0"/>
              <w:pageBreakBefore w:val="0"/>
              <w:topLinePunct w:val="0"/>
              <w:bidi w:val="0"/>
              <w:spacing w:beforeAutospacing="0" w:afterAutospacing="0" w:line="360" w:lineRule="auto"/>
              <w:ind w:left="0" w:leftChars="0" w:right="0" w:rightChars="0" w:firstLine="480" w:firstLineChars="200"/>
              <w:rPr>
                <w:rFonts w:hint="eastAsia" w:ascii="Times New Roman" w:hAnsi="Times New Roman" w:eastAsia="宋体" w:cs="Times New Roman"/>
                <w:color w:val="auto"/>
                <w:kern w:val="0"/>
                <w:sz w:val="24"/>
                <w:szCs w:val="24"/>
                <w:highlight w:val="none"/>
                <w:lang w:val="en-US" w:bidi="ar"/>
              </w:rPr>
            </w:pPr>
            <w:r>
              <w:rPr>
                <w:rFonts w:hint="eastAsia" w:ascii="Times New Roman" w:hAnsi="Times New Roman" w:eastAsia="宋体" w:cs="Times New Roman"/>
                <w:color w:val="auto"/>
                <w:kern w:val="0"/>
                <w:sz w:val="24"/>
                <w:szCs w:val="24"/>
                <w:highlight w:val="none"/>
                <w:lang w:val="en-US" w:bidi="ar"/>
              </w:rPr>
              <w:t>根据《环境影响评价技术导则 土壤环境（试行）》（HJ964-2018）附录A中的内容，本项目土壤环境影响评价项目类别为“其他行业”，属于Ⅳ类项目，因此本项目可不开展土环境影响评价工作。</w:t>
            </w:r>
          </w:p>
          <w:p w14:paraId="0CBCBC8B">
            <w:pPr>
              <w:keepLines w:val="0"/>
              <w:pageBreakBefore w:val="0"/>
              <w:topLinePunct w:val="0"/>
              <w:bidi w:val="0"/>
              <w:spacing w:beforeAutospacing="0" w:afterAutospacing="0" w:line="360" w:lineRule="auto"/>
              <w:ind w:left="0" w:leftChars="0" w:right="0" w:rightChars="0" w:firstLine="482" w:firstLineChars="200"/>
              <w:rPr>
                <w:rFonts w:hint="default" w:ascii="Times New Roman" w:hAnsi="Times New Roman" w:eastAsia="宋体" w:cs="Times New Roman"/>
                <w:b/>
                <w:bCs/>
                <w:color w:val="auto"/>
                <w:sz w:val="24"/>
                <w:szCs w:val="24"/>
                <w:highlight w:val="none"/>
                <w:lang w:val="en-US" w:bidi="zh-CN"/>
              </w:rPr>
            </w:pPr>
            <w:r>
              <w:rPr>
                <w:rFonts w:hint="eastAsia" w:cs="Times New Roman"/>
                <w:b/>
                <w:bCs/>
                <w:color w:val="auto"/>
                <w:sz w:val="24"/>
                <w:szCs w:val="24"/>
                <w:highlight w:val="none"/>
                <w:lang w:val="en-US" w:bidi="zh-CN"/>
              </w:rPr>
              <w:t>七</w:t>
            </w:r>
            <w:r>
              <w:rPr>
                <w:rFonts w:hint="default" w:ascii="Times New Roman" w:hAnsi="Times New Roman" w:eastAsia="宋体" w:cs="Times New Roman"/>
                <w:b/>
                <w:bCs/>
                <w:color w:val="auto"/>
                <w:sz w:val="24"/>
                <w:szCs w:val="24"/>
                <w:highlight w:val="none"/>
                <w:lang w:val="en-US" w:bidi="zh-CN"/>
              </w:rPr>
              <w:t>、生态</w:t>
            </w:r>
          </w:p>
          <w:p w14:paraId="0C41F1F3">
            <w:pPr>
              <w:keepLines w:val="0"/>
              <w:pageBreakBefore w:val="0"/>
              <w:topLinePunct w:val="0"/>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bidi="ar"/>
              </w:rPr>
              <w:t>本项目占地范围内无特殊生态敏感区及重要生态敏感区等生态环境保护目标，对周边生态环境影响较小，无需设置相应生态环境保护措施</w:t>
            </w:r>
            <w:r>
              <w:rPr>
                <w:rFonts w:hint="default" w:ascii="Times New Roman" w:hAnsi="Times New Roman" w:eastAsia="宋体" w:cs="Times New Roman"/>
                <w:color w:val="auto"/>
                <w:kern w:val="0"/>
                <w:sz w:val="24"/>
                <w:szCs w:val="24"/>
                <w:highlight w:val="none"/>
                <w:lang w:val="en-US" w:eastAsia="zh-CN" w:bidi="ar"/>
              </w:rPr>
              <w:t>。</w:t>
            </w:r>
          </w:p>
          <w:p w14:paraId="6372EAD2">
            <w:pPr>
              <w:keepLines w:val="0"/>
              <w:pageBreakBefore w:val="0"/>
              <w:topLinePunct w:val="0"/>
              <w:bidi w:val="0"/>
              <w:spacing w:beforeAutospacing="0" w:afterAutospacing="0" w:line="360" w:lineRule="auto"/>
              <w:ind w:left="0" w:leftChars="0" w:right="0" w:rightChars="0" w:firstLine="482" w:firstLineChars="200"/>
              <w:rPr>
                <w:rFonts w:hint="default" w:ascii="Times New Roman" w:hAnsi="Times New Roman" w:eastAsia="宋体" w:cs="Times New Roman"/>
                <w:b/>
                <w:bCs/>
                <w:color w:val="auto"/>
                <w:sz w:val="24"/>
                <w:szCs w:val="24"/>
                <w:highlight w:val="none"/>
                <w:lang w:val="en-US" w:bidi="zh-CN"/>
              </w:rPr>
            </w:pPr>
            <w:r>
              <w:rPr>
                <w:rFonts w:hint="eastAsia" w:cs="Times New Roman"/>
                <w:b/>
                <w:bCs/>
                <w:color w:val="auto"/>
                <w:sz w:val="24"/>
                <w:szCs w:val="24"/>
                <w:highlight w:val="none"/>
                <w:lang w:val="en-US" w:bidi="zh-CN"/>
              </w:rPr>
              <w:t>八</w:t>
            </w:r>
            <w:r>
              <w:rPr>
                <w:rFonts w:hint="eastAsia" w:ascii="Times New Roman" w:hAnsi="Times New Roman" w:cs="Times New Roman"/>
                <w:b/>
                <w:bCs/>
                <w:color w:val="auto"/>
                <w:sz w:val="24"/>
                <w:szCs w:val="24"/>
                <w:highlight w:val="none"/>
                <w:lang w:val="en-US" w:bidi="zh-CN"/>
              </w:rPr>
              <w:t>、环境</w:t>
            </w:r>
            <w:r>
              <w:rPr>
                <w:rFonts w:hint="default" w:ascii="Times New Roman" w:hAnsi="Times New Roman" w:eastAsia="宋体" w:cs="Times New Roman"/>
                <w:b/>
                <w:bCs/>
                <w:color w:val="auto"/>
                <w:sz w:val="24"/>
                <w:szCs w:val="24"/>
                <w:highlight w:val="none"/>
                <w:lang w:val="en-US" w:bidi="zh-CN"/>
              </w:rPr>
              <w:t>风险</w:t>
            </w:r>
          </w:p>
          <w:p w14:paraId="30E667AB">
            <w:pPr>
              <w:pStyle w:val="117"/>
              <w:adjustRightInd w:val="0"/>
              <w:snapToGrid w:val="0"/>
              <w:spacing w:line="360" w:lineRule="auto"/>
              <w:ind w:firstLine="480"/>
              <w:rPr>
                <w:rFonts w:eastAsiaTheme="minorEastAsia"/>
                <w:color w:val="auto"/>
              </w:rPr>
            </w:pPr>
            <w:r>
              <w:rPr>
                <w:rFonts w:hint="eastAsia" w:eastAsiaTheme="minorEastAsia"/>
                <w:color w:val="auto"/>
              </w:rPr>
              <w:t>环境风险评价的目的是分析和预测建设项目存在的潜在危险、有害因素，建设项目建设和运行期间可能发生的突发性事件或事故（一般不包括人为破坏及自然灾害），引起有毒有害和易燃易爆等物质泄漏，所造成的人身安全与环境影响和损害程度，提出合理可行的防范、应急与减缓措施，以将风险可能性和危害程度降至最低。</w:t>
            </w:r>
          </w:p>
          <w:p w14:paraId="1C26F511">
            <w:pPr>
              <w:pStyle w:val="117"/>
              <w:adjustRightInd w:val="0"/>
              <w:snapToGrid w:val="0"/>
              <w:spacing w:line="360" w:lineRule="auto"/>
              <w:ind w:firstLine="480"/>
              <w:rPr>
                <w:rFonts w:hint="default" w:ascii="Times New Roman" w:hAnsi="Times New Roman" w:cs="Times New Roman" w:eastAsiaTheme="minorEastAsia"/>
                <w:color w:val="auto"/>
              </w:rPr>
            </w:pPr>
            <w:r>
              <w:rPr>
                <w:rFonts w:hint="eastAsia" w:eastAsiaTheme="minorEastAsia"/>
                <w:color w:val="auto"/>
              </w:rPr>
              <w:t>本</w:t>
            </w:r>
            <w:r>
              <w:rPr>
                <w:rFonts w:hint="eastAsia"/>
                <w:color w:val="auto"/>
                <w:lang w:val="en-US" w:eastAsia="zh-CN"/>
              </w:rPr>
              <w:t>项目设备维修和保养过程中会</w:t>
            </w:r>
            <w:r>
              <w:rPr>
                <w:rFonts w:hint="default" w:ascii="Times New Roman" w:hAnsi="Times New Roman" w:cs="Times New Roman"/>
                <w:color w:val="auto"/>
                <w:lang w:val="en-US" w:eastAsia="zh-CN"/>
              </w:rPr>
              <w:t>产生废机油</w:t>
            </w:r>
            <w:r>
              <w:rPr>
                <w:rFonts w:hint="default" w:ascii="Times New Roman" w:hAnsi="Times New Roman" w:cs="Times New Roman" w:eastAsiaTheme="minorEastAsia"/>
                <w:color w:val="auto"/>
              </w:rPr>
              <w:t>。</w:t>
            </w:r>
          </w:p>
          <w:p w14:paraId="669613D4">
            <w:pPr>
              <w:pStyle w:val="117"/>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1、风险潜势初判</w:t>
            </w:r>
          </w:p>
          <w:p w14:paraId="2DA8094B">
            <w:pPr>
              <w:pStyle w:val="117"/>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（1）物质及工艺系统危险性</w:t>
            </w:r>
          </w:p>
          <w:p w14:paraId="1170EA18">
            <w:pPr>
              <w:pStyle w:val="117"/>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根据《建设项目环境风险评价技术导则》HJ169-2018 中附录B，本项目涉及的危险物质为</w:t>
            </w:r>
            <w:r>
              <w:rPr>
                <w:rFonts w:hint="eastAsia" w:cs="Times New Roman"/>
                <w:color w:val="auto"/>
                <w:lang w:val="en-US" w:eastAsia="zh-CN"/>
              </w:rPr>
              <w:t>废机油</w:t>
            </w:r>
            <w:r>
              <w:rPr>
                <w:rFonts w:hint="default" w:ascii="Times New Roman" w:hAnsi="Times New Roman" w:cs="Times New Roman" w:eastAsiaTheme="minorEastAsia"/>
                <w:color w:val="auto"/>
              </w:rPr>
              <w:t>。</w:t>
            </w:r>
          </w:p>
          <w:p w14:paraId="0340F523">
            <w:pPr>
              <w:pStyle w:val="117"/>
              <w:spacing w:line="240" w:lineRule="auto"/>
              <w:ind w:firstLine="422"/>
              <w:jc w:val="center"/>
              <w:rPr>
                <w:rFonts w:hint="eastAsia" w:ascii="Times New Roman" w:hAnsi="Times New Roman" w:eastAsia="宋体" w:cs="Times New Roman"/>
                <w:b/>
                <w:bCs/>
                <w:color w:val="auto"/>
                <w:sz w:val="21"/>
                <w:szCs w:val="16"/>
              </w:rPr>
            </w:pPr>
            <w:r>
              <w:rPr>
                <w:rFonts w:hint="eastAsia" w:ascii="Times New Roman" w:hAnsi="Times New Roman" w:eastAsia="宋体" w:cs="Times New Roman"/>
                <w:b/>
                <w:bCs/>
                <w:color w:val="auto"/>
                <w:sz w:val="21"/>
                <w:szCs w:val="16"/>
              </w:rPr>
              <w:t>表4-</w:t>
            </w:r>
            <w:r>
              <w:rPr>
                <w:rFonts w:hint="eastAsia" w:ascii="Times New Roman" w:hAnsi="Times New Roman" w:eastAsia="宋体" w:cs="Times New Roman"/>
                <w:b/>
                <w:bCs/>
                <w:color w:val="auto"/>
                <w:sz w:val="21"/>
                <w:szCs w:val="16"/>
                <w:lang w:val="en-US" w:eastAsia="zh-CN"/>
              </w:rPr>
              <w:t>2</w:t>
            </w:r>
            <w:r>
              <w:rPr>
                <w:rFonts w:hint="eastAsia" w:cs="Times New Roman"/>
                <w:b/>
                <w:bCs/>
                <w:color w:val="auto"/>
                <w:sz w:val="21"/>
                <w:szCs w:val="16"/>
                <w:lang w:val="en-US" w:eastAsia="zh-CN"/>
              </w:rPr>
              <w:t>2</w:t>
            </w:r>
            <w:r>
              <w:rPr>
                <w:rFonts w:hint="eastAsia" w:ascii="Times New Roman" w:hAnsi="Times New Roman" w:eastAsia="宋体" w:cs="Times New Roman"/>
                <w:b/>
                <w:bCs/>
                <w:color w:val="auto"/>
                <w:sz w:val="21"/>
                <w:szCs w:val="16"/>
              </w:rPr>
              <w:t xml:space="preserve">  废机油的理化性质及危险特性表</w:t>
            </w:r>
          </w:p>
          <w:tbl>
            <w:tblPr>
              <w:tblStyle w:val="33"/>
              <w:tblW w:w="819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70"/>
              <w:gridCol w:w="3387"/>
              <w:gridCol w:w="3035"/>
            </w:tblGrid>
            <w:tr w14:paraId="0D2728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14:paraId="17BC268E">
                  <w:pPr>
                    <w:pStyle w:val="117"/>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物质名称</w:t>
                  </w:r>
                </w:p>
              </w:tc>
              <w:tc>
                <w:tcPr>
                  <w:tcW w:w="6422" w:type="dxa"/>
                  <w:gridSpan w:val="2"/>
                  <w:tcBorders>
                    <w:tl2br w:val="nil"/>
                    <w:tr2bl w:val="nil"/>
                  </w:tcBorders>
                  <w:vAlign w:val="center"/>
                </w:tcPr>
                <w:p w14:paraId="4CA23384">
                  <w:pPr>
                    <w:pStyle w:val="117"/>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废机油/链烷烃</w:t>
                  </w:r>
                </w:p>
              </w:tc>
            </w:tr>
            <w:tr w14:paraId="2465D7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14:paraId="37375C90">
                  <w:pPr>
                    <w:pStyle w:val="117"/>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危险性类别</w:t>
                  </w:r>
                </w:p>
              </w:tc>
              <w:tc>
                <w:tcPr>
                  <w:tcW w:w="6422" w:type="dxa"/>
                  <w:gridSpan w:val="2"/>
                  <w:tcBorders>
                    <w:tl2br w:val="nil"/>
                    <w:tr2bl w:val="nil"/>
                  </w:tcBorders>
                  <w:vAlign w:val="center"/>
                </w:tcPr>
                <w:p w14:paraId="33C1F77F">
                  <w:pPr>
                    <w:pStyle w:val="117"/>
                    <w:adjustRightInd w:val="0"/>
                    <w:snapToGrid w:val="0"/>
                    <w:spacing w:line="360" w:lineRule="auto"/>
                    <w:ind w:firstLine="0" w:firstLineChars="0"/>
                    <w:jc w:val="both"/>
                    <w:rPr>
                      <w:rFonts w:hint="eastAsia"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rPr>
                    <w:t>易燃，其蒸气与空气可形成爆炸性混合物，遇明火高热能引起燃烧爆炸。与氧化剂接触发生化学反应，甚至引起燃烧。在火场中，受热的容器有爆炸危险蒸气比空气重，沿地面扩散并易积存于低洼处，遇火源会着火回燃</w:t>
                  </w:r>
                  <w:r>
                    <w:rPr>
                      <w:rFonts w:hint="eastAsia" w:ascii="Times New Roman" w:hAnsi="Times New Roman" w:cs="Times New Roman"/>
                      <w:color w:val="auto"/>
                      <w:sz w:val="21"/>
                      <w:szCs w:val="21"/>
                      <w:lang w:eastAsia="zh-CN"/>
                    </w:rPr>
                    <w:t>。</w:t>
                  </w:r>
                </w:p>
              </w:tc>
            </w:tr>
            <w:tr w14:paraId="49D7D7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restart"/>
                  <w:tcBorders>
                    <w:tl2br w:val="nil"/>
                    <w:tr2bl w:val="nil"/>
                  </w:tcBorders>
                  <w:vAlign w:val="center"/>
                </w:tcPr>
                <w:p w14:paraId="45BE50EE">
                  <w:pPr>
                    <w:pStyle w:val="117"/>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物理性质</w:t>
                  </w:r>
                </w:p>
              </w:tc>
              <w:tc>
                <w:tcPr>
                  <w:tcW w:w="3387" w:type="dxa"/>
                  <w:tcBorders>
                    <w:tl2br w:val="nil"/>
                    <w:tr2bl w:val="nil"/>
                  </w:tcBorders>
                  <w:vAlign w:val="center"/>
                </w:tcPr>
                <w:p w14:paraId="072165F3">
                  <w:pPr>
                    <w:spacing w:line="360" w:lineRule="auto"/>
                    <w:jc w:val="both"/>
                    <w:rPr>
                      <w:rFonts w:hint="default" w:ascii="Times New Roman" w:hAnsi="Times New Roman" w:cs="Times New Roman" w:eastAsiaTheme="minorEastAsia"/>
                      <w:color w:val="auto"/>
                      <w:szCs w:val="21"/>
                    </w:rPr>
                  </w:pPr>
                  <w:r>
                    <w:rPr>
                      <w:rFonts w:hint="default" w:ascii="Times New Roman" w:hAnsi="Times New Roman" w:cs="Times New Roman"/>
                      <w:color w:val="auto"/>
                      <w:szCs w:val="21"/>
                    </w:rPr>
                    <w:t>熔点=95.3~-94.3℃</w:t>
                  </w:r>
                </w:p>
              </w:tc>
              <w:tc>
                <w:tcPr>
                  <w:tcW w:w="3035" w:type="dxa"/>
                  <w:tcBorders>
                    <w:tl2br w:val="nil"/>
                    <w:tr2bl w:val="nil"/>
                  </w:tcBorders>
                  <w:vAlign w:val="center"/>
                </w:tcPr>
                <w:p w14:paraId="552BE4D9">
                  <w:pPr>
                    <w:spacing w:line="360" w:lineRule="auto"/>
                    <w:jc w:val="both"/>
                    <w:rPr>
                      <w:rFonts w:hint="default" w:ascii="Times New Roman" w:hAnsi="Times New Roman" w:cs="Times New Roman"/>
                      <w:color w:val="auto"/>
                      <w:szCs w:val="21"/>
                    </w:rPr>
                  </w:pPr>
                  <w:r>
                    <w:rPr>
                      <w:rFonts w:hint="default" w:ascii="Times New Roman" w:hAnsi="Times New Roman" w:cs="Times New Roman"/>
                      <w:color w:val="auto"/>
                      <w:szCs w:val="21"/>
                    </w:rPr>
                    <w:t>沸点=69℃</w:t>
                  </w:r>
                </w:p>
              </w:tc>
            </w:tr>
            <w:tr w14:paraId="65266D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continue"/>
                  <w:tcBorders>
                    <w:tl2br w:val="nil"/>
                    <w:tr2bl w:val="nil"/>
                  </w:tcBorders>
                  <w:vAlign w:val="center"/>
                </w:tcPr>
                <w:p w14:paraId="26A7FC7D">
                  <w:pPr>
                    <w:pStyle w:val="117"/>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p>
              </w:tc>
              <w:tc>
                <w:tcPr>
                  <w:tcW w:w="3387" w:type="dxa"/>
                  <w:tcBorders>
                    <w:tl2br w:val="nil"/>
                    <w:tr2bl w:val="nil"/>
                  </w:tcBorders>
                  <w:vAlign w:val="center"/>
                </w:tcPr>
                <w:p w14:paraId="0886FACF">
                  <w:pPr>
                    <w:pStyle w:val="117"/>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相对密度（水=1）=0.66</w:t>
                  </w:r>
                </w:p>
              </w:tc>
              <w:tc>
                <w:tcPr>
                  <w:tcW w:w="3035" w:type="dxa"/>
                  <w:tcBorders>
                    <w:tl2br w:val="nil"/>
                    <w:tr2bl w:val="nil"/>
                  </w:tcBorders>
                  <w:vAlign w:val="center"/>
                </w:tcPr>
                <w:p w14:paraId="50531A18">
                  <w:pPr>
                    <w:pStyle w:val="117"/>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相对蒸汽密度（空气=1）=2.97</w:t>
                  </w:r>
                </w:p>
              </w:tc>
            </w:tr>
            <w:tr w14:paraId="231022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continue"/>
                  <w:tcBorders>
                    <w:tl2br w:val="nil"/>
                    <w:tr2bl w:val="nil"/>
                  </w:tcBorders>
                  <w:vAlign w:val="center"/>
                </w:tcPr>
                <w:p w14:paraId="002D09C9">
                  <w:pPr>
                    <w:pStyle w:val="117"/>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p>
              </w:tc>
              <w:tc>
                <w:tcPr>
                  <w:tcW w:w="3387" w:type="dxa"/>
                  <w:tcBorders>
                    <w:tl2br w:val="nil"/>
                    <w:tr2bl w:val="nil"/>
                  </w:tcBorders>
                  <w:vAlign w:val="center"/>
                </w:tcPr>
                <w:p w14:paraId="1FD9868C">
                  <w:pPr>
                    <w:pStyle w:val="117"/>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color w:val="auto"/>
                      <w:sz w:val="21"/>
                      <w:szCs w:val="21"/>
                    </w:rPr>
                    <w:t>饱和蒸气压=17kPa（20℃）</w:t>
                  </w:r>
                </w:p>
              </w:tc>
              <w:tc>
                <w:tcPr>
                  <w:tcW w:w="3035" w:type="dxa"/>
                  <w:tcBorders>
                    <w:tl2br w:val="nil"/>
                    <w:tr2bl w:val="nil"/>
                  </w:tcBorders>
                  <w:vAlign w:val="center"/>
                </w:tcPr>
                <w:p w14:paraId="56211096">
                  <w:pPr>
                    <w:pStyle w:val="117"/>
                    <w:adjustRightInd w:val="0"/>
                    <w:snapToGrid w:val="0"/>
                    <w:spacing w:line="36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燃烧热=-4159.1kJ/mol</w:t>
                  </w:r>
                </w:p>
              </w:tc>
            </w:tr>
            <w:tr w14:paraId="4894D3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continue"/>
                  <w:tcBorders>
                    <w:tl2br w:val="nil"/>
                    <w:tr2bl w:val="nil"/>
                  </w:tcBorders>
                  <w:vAlign w:val="center"/>
                </w:tcPr>
                <w:p w14:paraId="0BA40924">
                  <w:pPr>
                    <w:pStyle w:val="117"/>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p>
              </w:tc>
              <w:tc>
                <w:tcPr>
                  <w:tcW w:w="3387" w:type="dxa"/>
                  <w:tcBorders>
                    <w:tl2br w:val="nil"/>
                    <w:tr2bl w:val="nil"/>
                  </w:tcBorders>
                  <w:vAlign w:val="center"/>
                </w:tcPr>
                <w:p w14:paraId="5AA30EAF">
                  <w:pPr>
                    <w:pStyle w:val="117"/>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color w:val="auto"/>
                      <w:sz w:val="21"/>
                      <w:szCs w:val="21"/>
                    </w:rPr>
                    <w:t>临界压力=1.09MPa</w:t>
                  </w:r>
                </w:p>
              </w:tc>
              <w:tc>
                <w:tcPr>
                  <w:tcW w:w="3035" w:type="dxa"/>
                  <w:tcBorders>
                    <w:tl2br w:val="nil"/>
                    <w:tr2bl w:val="nil"/>
                  </w:tcBorders>
                  <w:vAlign w:val="center"/>
                </w:tcPr>
                <w:p w14:paraId="42C32BC3">
                  <w:pPr>
                    <w:pStyle w:val="117"/>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color w:val="auto"/>
                      <w:sz w:val="21"/>
                      <w:szCs w:val="21"/>
                    </w:rPr>
                    <w:t>辛醇/水分配系数=1.9</w:t>
                  </w:r>
                </w:p>
              </w:tc>
            </w:tr>
            <w:tr w14:paraId="62BD98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continue"/>
                  <w:tcBorders>
                    <w:tl2br w:val="nil"/>
                    <w:tr2bl w:val="nil"/>
                  </w:tcBorders>
                  <w:vAlign w:val="center"/>
                </w:tcPr>
                <w:p w14:paraId="07CFF98B">
                  <w:pPr>
                    <w:pStyle w:val="117"/>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p>
              </w:tc>
              <w:tc>
                <w:tcPr>
                  <w:tcW w:w="3387" w:type="dxa"/>
                  <w:tcBorders>
                    <w:tl2br w:val="nil"/>
                    <w:tr2bl w:val="nil"/>
                  </w:tcBorders>
                  <w:vAlign w:val="center"/>
                </w:tcPr>
                <w:p w14:paraId="2AC0DB23">
                  <w:pPr>
                    <w:pStyle w:val="117"/>
                    <w:adjustRightInd w:val="0"/>
                    <w:snapToGrid w:val="0"/>
                    <w:spacing w:line="36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闪点=22℃</w:t>
                  </w:r>
                </w:p>
              </w:tc>
              <w:tc>
                <w:tcPr>
                  <w:tcW w:w="3035" w:type="dxa"/>
                  <w:tcBorders>
                    <w:tl2br w:val="nil"/>
                    <w:tr2bl w:val="nil"/>
                  </w:tcBorders>
                  <w:vAlign w:val="center"/>
                </w:tcPr>
                <w:p w14:paraId="05FFA1B2">
                  <w:pPr>
                    <w:pStyle w:val="117"/>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color w:val="auto"/>
                      <w:sz w:val="21"/>
                      <w:szCs w:val="21"/>
                    </w:rPr>
                    <w:t>引燃温度=225℃</w:t>
                  </w:r>
                </w:p>
              </w:tc>
            </w:tr>
            <w:tr w14:paraId="5A4A10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continue"/>
                  <w:tcBorders>
                    <w:tl2br w:val="nil"/>
                    <w:tr2bl w:val="nil"/>
                  </w:tcBorders>
                  <w:vAlign w:val="center"/>
                </w:tcPr>
                <w:p w14:paraId="483637E4">
                  <w:pPr>
                    <w:pStyle w:val="117"/>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p>
              </w:tc>
              <w:tc>
                <w:tcPr>
                  <w:tcW w:w="3387" w:type="dxa"/>
                  <w:tcBorders>
                    <w:tl2br w:val="nil"/>
                    <w:tr2bl w:val="nil"/>
                  </w:tcBorders>
                  <w:vAlign w:val="center"/>
                </w:tcPr>
                <w:p w14:paraId="18B0165C">
                  <w:pPr>
                    <w:pStyle w:val="117"/>
                    <w:adjustRightInd w:val="0"/>
                    <w:snapToGrid w:val="0"/>
                    <w:spacing w:line="36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爆炸下限=1.1%</w:t>
                  </w:r>
                </w:p>
              </w:tc>
              <w:tc>
                <w:tcPr>
                  <w:tcW w:w="3035" w:type="dxa"/>
                  <w:tcBorders>
                    <w:tl2br w:val="nil"/>
                    <w:tr2bl w:val="nil"/>
                  </w:tcBorders>
                  <w:vAlign w:val="center"/>
                </w:tcPr>
                <w:p w14:paraId="45AB8844">
                  <w:pPr>
                    <w:pStyle w:val="117"/>
                    <w:adjustRightInd w:val="0"/>
                    <w:snapToGrid w:val="0"/>
                    <w:spacing w:line="36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爆炸上限=7.5%</w:t>
                  </w:r>
                </w:p>
              </w:tc>
            </w:tr>
            <w:tr w14:paraId="091D18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continue"/>
                  <w:tcBorders>
                    <w:tl2br w:val="nil"/>
                    <w:tr2bl w:val="nil"/>
                  </w:tcBorders>
                  <w:vAlign w:val="center"/>
                </w:tcPr>
                <w:p w14:paraId="223B8D39">
                  <w:pPr>
                    <w:pStyle w:val="117"/>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p>
              </w:tc>
              <w:tc>
                <w:tcPr>
                  <w:tcW w:w="6422" w:type="dxa"/>
                  <w:gridSpan w:val="2"/>
                  <w:tcBorders>
                    <w:tl2br w:val="nil"/>
                    <w:tr2bl w:val="nil"/>
                  </w:tcBorders>
                  <w:vAlign w:val="center"/>
                </w:tcPr>
                <w:p w14:paraId="404E384F">
                  <w:pPr>
                    <w:pStyle w:val="117"/>
                    <w:adjustRightInd w:val="0"/>
                    <w:snapToGrid w:val="0"/>
                    <w:spacing w:line="36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溶解性:不溶于水，溶于乙醇、乙醚、丙酮、氯仿等多数有机溶剂</w:t>
                  </w:r>
                </w:p>
              </w:tc>
            </w:tr>
            <w:tr w14:paraId="4E891E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14:paraId="25961105">
                  <w:pPr>
                    <w:pStyle w:val="117"/>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外观与气味</w:t>
                  </w:r>
                </w:p>
              </w:tc>
              <w:tc>
                <w:tcPr>
                  <w:tcW w:w="6422" w:type="dxa"/>
                  <w:gridSpan w:val="2"/>
                  <w:tcBorders>
                    <w:tl2br w:val="nil"/>
                    <w:tr2bl w:val="nil"/>
                  </w:tcBorders>
                  <w:vAlign w:val="center"/>
                </w:tcPr>
                <w:p w14:paraId="1CD95429">
                  <w:pPr>
                    <w:pStyle w:val="117"/>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高挥发性无色液体，有汽油味</w:t>
                  </w:r>
                </w:p>
              </w:tc>
            </w:tr>
            <w:tr w14:paraId="697187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92" w:type="dxa"/>
                  <w:gridSpan w:val="3"/>
                  <w:tcBorders>
                    <w:tl2br w:val="nil"/>
                    <w:tr2bl w:val="nil"/>
                  </w:tcBorders>
                  <w:vAlign w:val="center"/>
                </w:tcPr>
                <w:p w14:paraId="7DB6D2D5">
                  <w:pPr>
                    <w:pStyle w:val="117"/>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火灾爆炸危险数据</w:t>
                  </w:r>
                </w:p>
              </w:tc>
            </w:tr>
            <w:tr w14:paraId="598C65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14:paraId="2EEBF125">
                  <w:pPr>
                    <w:pStyle w:val="117"/>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灭火剂</w:t>
                  </w:r>
                </w:p>
              </w:tc>
              <w:tc>
                <w:tcPr>
                  <w:tcW w:w="6422" w:type="dxa"/>
                  <w:gridSpan w:val="2"/>
                  <w:tcBorders>
                    <w:tl2br w:val="nil"/>
                    <w:tr2bl w:val="nil"/>
                  </w:tcBorders>
                  <w:vAlign w:val="center"/>
                </w:tcPr>
                <w:p w14:paraId="3F963AAB">
                  <w:pPr>
                    <w:pStyle w:val="117"/>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用抗溶性泡沫、干粉、二氧化碳、砂土灭火</w:t>
                  </w:r>
                </w:p>
              </w:tc>
            </w:tr>
            <w:tr w14:paraId="7D45A5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14:paraId="6B82C9FA">
                  <w:pPr>
                    <w:pStyle w:val="117"/>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危险特性</w:t>
                  </w:r>
                </w:p>
              </w:tc>
              <w:tc>
                <w:tcPr>
                  <w:tcW w:w="6422" w:type="dxa"/>
                  <w:gridSpan w:val="2"/>
                  <w:tcBorders>
                    <w:tl2br w:val="nil"/>
                    <w:tr2bl w:val="nil"/>
                  </w:tcBorders>
                  <w:vAlign w:val="center"/>
                </w:tcPr>
                <w:p w14:paraId="548BFC6B">
                  <w:pPr>
                    <w:pStyle w:val="117"/>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高闪点液体，可燃，并有腐蚀性、属于危险废物</w:t>
                  </w:r>
                </w:p>
              </w:tc>
            </w:tr>
            <w:tr w14:paraId="6E6454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14:paraId="015FFA2F">
                  <w:pPr>
                    <w:pStyle w:val="117"/>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健康危害</w:t>
                  </w:r>
                </w:p>
                <w:p w14:paraId="69B5215B">
                  <w:pPr>
                    <w:pStyle w:val="117"/>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(急性、慢性)</w:t>
                  </w:r>
                </w:p>
              </w:tc>
              <w:tc>
                <w:tcPr>
                  <w:tcW w:w="6422" w:type="dxa"/>
                  <w:gridSpan w:val="2"/>
                  <w:tcBorders>
                    <w:tl2br w:val="nil"/>
                    <w:tr2bl w:val="nil"/>
                  </w:tcBorders>
                  <w:vAlign w:val="center"/>
                </w:tcPr>
                <w:p w14:paraId="6EF6CE74">
                  <w:pPr>
                    <w:pStyle w:val="117"/>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本品有麻醉和刺激作用。长期接触可致周围神经炎急性中毒:吸入高浓度本品出现头痛、头晕、恶心、共济失调等，重者引起神志丧失甚至死亡。对眼和上呼吸道有刺激性慢性中毒:长期接触出现头痛、头晕、乏力、胃纳减退:其后四肢远端逐渐发展成感觉异常，麻木，触、痛、震动和位置等感觉减退，尤以下肢为甚，上肢较少受累。进一步发展为下肢无力，肌肉疼痛，肌肉萎缩及运动障碍。神经-肌电图检查示感觉神经及运动神经传导速度减慢。</w:t>
                  </w:r>
                </w:p>
              </w:tc>
            </w:tr>
            <w:tr w14:paraId="0902E9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14:paraId="30216EF6">
                  <w:pPr>
                    <w:pStyle w:val="117"/>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泄漏紧急处理</w:t>
                  </w:r>
                </w:p>
              </w:tc>
              <w:tc>
                <w:tcPr>
                  <w:tcW w:w="6422" w:type="dxa"/>
                  <w:gridSpan w:val="2"/>
                  <w:tcBorders>
                    <w:tl2br w:val="nil"/>
                    <w:tr2bl w:val="nil"/>
                  </w:tcBorders>
                  <w:vAlign w:val="center"/>
                </w:tcPr>
                <w:p w14:paraId="28643C31">
                  <w:pPr>
                    <w:pStyle w:val="117"/>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少量溢出时先进行溢流的围堵，避免污染面积扩散，用沙或泥土吸收溢出的液体，然后移至安全地区，以待日后处理。较大面积泄漏时，需使用围油栏对油污进行控制，防止扩散，并使用收油机、油拖网、吸油毡、浮式储油罐进行吸附、收集。</w:t>
                  </w:r>
                </w:p>
              </w:tc>
            </w:tr>
            <w:tr w14:paraId="2C9FD0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14:paraId="64B8B811">
                  <w:pPr>
                    <w:pStyle w:val="117"/>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火灾事故处理</w:t>
                  </w:r>
                </w:p>
              </w:tc>
              <w:tc>
                <w:tcPr>
                  <w:tcW w:w="6422" w:type="dxa"/>
                  <w:gridSpan w:val="2"/>
                  <w:tcBorders>
                    <w:tl2br w:val="nil"/>
                    <w:tr2bl w:val="nil"/>
                  </w:tcBorders>
                  <w:vAlign w:val="center"/>
                </w:tcPr>
                <w:p w14:paraId="19667E8F">
                  <w:pPr>
                    <w:pStyle w:val="117"/>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小型火灾时立刻用储区附近备用的灭火器灭火，如其有迅速扩大之势，应避免靠近，须立即打开消火栓降低着火点及附近油漆的温度，控制火势，避免发生爆炸，待火焰减低后再用灭火器灭之大型火灾时应立刻开启消火栓降温，控制火势，避免爆炸，等待救援。</w:t>
                  </w:r>
                </w:p>
              </w:tc>
            </w:tr>
          </w:tbl>
          <w:p w14:paraId="151C4840">
            <w:pPr>
              <w:pStyle w:val="117"/>
              <w:spacing w:line="240" w:lineRule="auto"/>
              <w:ind w:firstLine="422"/>
              <w:jc w:val="center"/>
              <w:rPr>
                <w:rFonts w:hint="eastAsia" w:ascii="Times New Roman" w:hAnsi="Times New Roman" w:eastAsia="宋体" w:cs="Times New Roman"/>
                <w:b/>
                <w:bCs/>
                <w:color w:val="auto"/>
                <w:sz w:val="21"/>
                <w:szCs w:val="16"/>
              </w:rPr>
            </w:pPr>
            <w:r>
              <w:rPr>
                <w:rFonts w:hint="eastAsia" w:ascii="Times New Roman" w:hAnsi="Times New Roman" w:eastAsia="宋体" w:cs="Times New Roman"/>
                <w:b/>
                <w:bCs/>
                <w:color w:val="auto"/>
                <w:sz w:val="21"/>
                <w:szCs w:val="16"/>
              </w:rPr>
              <w:t>表4-</w:t>
            </w:r>
            <w:r>
              <w:rPr>
                <w:rFonts w:hint="eastAsia" w:ascii="Times New Roman" w:hAnsi="Times New Roman" w:eastAsia="宋体" w:cs="Times New Roman"/>
                <w:b/>
                <w:bCs/>
                <w:color w:val="auto"/>
                <w:sz w:val="21"/>
                <w:szCs w:val="16"/>
                <w:lang w:val="en-US" w:eastAsia="zh-CN"/>
              </w:rPr>
              <w:t>2</w:t>
            </w:r>
            <w:r>
              <w:rPr>
                <w:rFonts w:hint="eastAsia" w:cs="Times New Roman"/>
                <w:b/>
                <w:bCs/>
                <w:color w:val="auto"/>
                <w:sz w:val="21"/>
                <w:szCs w:val="16"/>
                <w:lang w:val="en-US" w:eastAsia="zh-CN"/>
              </w:rPr>
              <w:t>3</w:t>
            </w:r>
            <w:r>
              <w:rPr>
                <w:rFonts w:hint="eastAsia" w:ascii="Times New Roman" w:hAnsi="Times New Roman" w:eastAsia="宋体" w:cs="Times New Roman"/>
                <w:b/>
                <w:bCs/>
                <w:color w:val="auto"/>
                <w:sz w:val="21"/>
                <w:szCs w:val="16"/>
              </w:rPr>
              <w:t xml:space="preserve">  危险物质数量与临界量比值</w:t>
            </w:r>
          </w:p>
          <w:tbl>
            <w:tblPr>
              <w:tblStyle w:val="3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38"/>
              <w:gridCol w:w="2562"/>
              <w:gridCol w:w="1305"/>
              <w:gridCol w:w="857"/>
              <w:gridCol w:w="1623"/>
            </w:tblGrid>
            <w:tr w14:paraId="360C92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1738" w:type="dxa"/>
                  <w:tcBorders>
                    <w:tl2br w:val="nil"/>
                    <w:tr2bl w:val="nil"/>
                  </w:tcBorders>
                  <w:vAlign w:val="center"/>
                </w:tcPr>
                <w:p w14:paraId="3B4D1F56">
                  <w:pPr>
                    <w:pStyle w:val="117"/>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单元名称</w:t>
                  </w:r>
                </w:p>
              </w:tc>
              <w:tc>
                <w:tcPr>
                  <w:tcW w:w="2562" w:type="dxa"/>
                  <w:tcBorders>
                    <w:tl2br w:val="nil"/>
                    <w:tr2bl w:val="nil"/>
                  </w:tcBorders>
                  <w:vAlign w:val="center"/>
                </w:tcPr>
                <w:p w14:paraId="1BCECB59">
                  <w:pPr>
                    <w:pStyle w:val="117"/>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危险物质</w:t>
                  </w:r>
                </w:p>
              </w:tc>
              <w:tc>
                <w:tcPr>
                  <w:tcW w:w="1305" w:type="dxa"/>
                  <w:tcBorders>
                    <w:tl2br w:val="nil"/>
                    <w:tr2bl w:val="nil"/>
                  </w:tcBorders>
                  <w:vAlign w:val="center"/>
                </w:tcPr>
                <w:p w14:paraId="50F30B0A">
                  <w:pPr>
                    <w:pStyle w:val="117"/>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最大存储量</w:t>
                  </w:r>
                </w:p>
              </w:tc>
              <w:tc>
                <w:tcPr>
                  <w:tcW w:w="857" w:type="dxa"/>
                  <w:tcBorders>
                    <w:tl2br w:val="nil"/>
                    <w:tr2bl w:val="nil"/>
                  </w:tcBorders>
                  <w:vAlign w:val="center"/>
                </w:tcPr>
                <w:p w14:paraId="4F8A1ED3">
                  <w:pPr>
                    <w:pStyle w:val="117"/>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临界量</w:t>
                  </w:r>
                </w:p>
              </w:tc>
              <w:tc>
                <w:tcPr>
                  <w:tcW w:w="1623" w:type="dxa"/>
                  <w:tcBorders>
                    <w:tl2br w:val="nil"/>
                    <w:tr2bl w:val="nil"/>
                  </w:tcBorders>
                  <w:vAlign w:val="center"/>
                </w:tcPr>
                <w:p w14:paraId="286CBFE8">
                  <w:pPr>
                    <w:pStyle w:val="117"/>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drawing>
                      <wp:inline distT="0" distB="0" distL="114300" distR="114300">
                        <wp:extent cx="614680" cy="424815"/>
                        <wp:effectExtent l="0" t="0" r="0" b="13970"/>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31"/>
                                <a:stretch>
                                  <a:fillRect/>
                                </a:stretch>
                              </pic:blipFill>
                              <pic:spPr>
                                <a:xfrm>
                                  <a:off x="0" y="0"/>
                                  <a:ext cx="614680" cy="424815"/>
                                </a:xfrm>
                                <a:prstGeom prst="rect">
                                  <a:avLst/>
                                </a:prstGeom>
                                <a:noFill/>
                                <a:ln>
                                  <a:noFill/>
                                </a:ln>
                              </pic:spPr>
                            </pic:pic>
                          </a:graphicData>
                        </a:graphic>
                      </wp:inline>
                    </w:drawing>
                  </w:r>
                </w:p>
              </w:tc>
            </w:tr>
            <w:tr w14:paraId="10CED7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38" w:type="dxa"/>
                  <w:tcBorders>
                    <w:tl2br w:val="nil"/>
                    <w:tr2bl w:val="nil"/>
                  </w:tcBorders>
                  <w:vAlign w:val="center"/>
                </w:tcPr>
                <w:p w14:paraId="64CF27F0">
                  <w:pPr>
                    <w:pStyle w:val="117"/>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color w:val="auto"/>
                      <w:sz w:val="21"/>
                      <w:szCs w:val="21"/>
                      <w:lang w:val="en-US" w:eastAsia="zh-CN"/>
                    </w:rPr>
                    <w:t>设备维修和保养</w:t>
                  </w:r>
                </w:p>
              </w:tc>
              <w:tc>
                <w:tcPr>
                  <w:tcW w:w="2562" w:type="dxa"/>
                  <w:tcBorders>
                    <w:tl2br w:val="nil"/>
                    <w:tr2bl w:val="nil"/>
                  </w:tcBorders>
                  <w:vAlign w:val="center"/>
                </w:tcPr>
                <w:p w14:paraId="07205293">
                  <w:pPr>
                    <w:pStyle w:val="117"/>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废机油</w:t>
                  </w:r>
                </w:p>
              </w:tc>
              <w:tc>
                <w:tcPr>
                  <w:tcW w:w="1305" w:type="dxa"/>
                  <w:tcBorders>
                    <w:tl2br w:val="nil"/>
                    <w:tr2bl w:val="nil"/>
                  </w:tcBorders>
                  <w:vAlign w:val="center"/>
                </w:tcPr>
                <w:p w14:paraId="47CB2B44">
                  <w:pPr>
                    <w:pStyle w:val="117"/>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0.5t</w:t>
                  </w:r>
                </w:p>
              </w:tc>
              <w:tc>
                <w:tcPr>
                  <w:tcW w:w="857" w:type="dxa"/>
                  <w:tcBorders>
                    <w:tl2br w:val="nil"/>
                    <w:tr2bl w:val="nil"/>
                  </w:tcBorders>
                  <w:vAlign w:val="center"/>
                </w:tcPr>
                <w:p w14:paraId="13A6DE4A">
                  <w:pPr>
                    <w:pStyle w:val="117"/>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2500t</w:t>
                  </w:r>
                </w:p>
              </w:tc>
              <w:tc>
                <w:tcPr>
                  <w:tcW w:w="1623" w:type="dxa"/>
                  <w:tcBorders>
                    <w:tl2br w:val="nil"/>
                    <w:tr2bl w:val="nil"/>
                  </w:tcBorders>
                  <w:vAlign w:val="center"/>
                </w:tcPr>
                <w:p w14:paraId="24C0A316">
                  <w:pPr>
                    <w:pStyle w:val="117"/>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0.0002</w:t>
                  </w:r>
                </w:p>
              </w:tc>
            </w:tr>
            <w:tr w14:paraId="26623C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62" w:type="dxa"/>
                  <w:gridSpan w:val="4"/>
                  <w:tcBorders>
                    <w:tl2br w:val="nil"/>
                    <w:tr2bl w:val="nil"/>
                  </w:tcBorders>
                  <w:vAlign w:val="center"/>
                </w:tcPr>
                <w:p w14:paraId="3F7029C6">
                  <w:pPr>
                    <w:pStyle w:val="117"/>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Q</w:t>
                  </w:r>
                </w:p>
              </w:tc>
              <w:tc>
                <w:tcPr>
                  <w:tcW w:w="1623" w:type="dxa"/>
                  <w:tcBorders>
                    <w:tl2br w:val="nil"/>
                    <w:tr2bl w:val="nil"/>
                  </w:tcBorders>
                  <w:vAlign w:val="center"/>
                </w:tcPr>
                <w:p w14:paraId="62AEECA4">
                  <w:pPr>
                    <w:pStyle w:val="117"/>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0.</w:t>
                  </w:r>
                  <w:r>
                    <w:rPr>
                      <w:rFonts w:hint="eastAsia" w:cs="Times New Roman" w:eastAsiaTheme="minorEastAsia"/>
                      <w:color w:val="auto"/>
                      <w:sz w:val="21"/>
                      <w:szCs w:val="21"/>
                      <w:lang w:val="en-US" w:eastAsia="zh-CN"/>
                    </w:rPr>
                    <w:t>0</w:t>
                  </w:r>
                  <w:r>
                    <w:rPr>
                      <w:rFonts w:hint="eastAsia" w:ascii="Times New Roman" w:hAnsi="Times New Roman" w:cs="Times New Roman"/>
                      <w:color w:val="auto"/>
                      <w:sz w:val="21"/>
                      <w:szCs w:val="21"/>
                      <w:lang w:val="en-US" w:eastAsia="zh-CN"/>
                    </w:rPr>
                    <w:t>00</w:t>
                  </w:r>
                  <w:r>
                    <w:rPr>
                      <w:rFonts w:hint="default" w:ascii="Times New Roman" w:hAnsi="Times New Roman" w:cs="Times New Roman" w:eastAsiaTheme="minorEastAsia"/>
                      <w:color w:val="auto"/>
                      <w:sz w:val="21"/>
                      <w:szCs w:val="21"/>
                    </w:rPr>
                    <w:t>2</w:t>
                  </w:r>
                </w:p>
              </w:tc>
            </w:tr>
          </w:tbl>
          <w:p w14:paraId="7E896617">
            <w:pPr>
              <w:pStyle w:val="117"/>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（2）危险物质及工艺系统危险性（P）分级</w:t>
            </w:r>
          </w:p>
          <w:p w14:paraId="23F5BD03">
            <w:pPr>
              <w:pStyle w:val="117"/>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计算所涉及的每种危险物质在厂界内的最大存在总量与其附录B中对应临界量的比</w:t>
            </w:r>
            <w:r>
              <w:rPr>
                <w:rFonts w:hint="default" w:ascii="Times New Roman" w:hAnsi="Times New Roman" w:cs="Times New Roman" w:eastAsiaTheme="minorEastAsia"/>
                <w:color w:val="auto"/>
                <w:sz w:val="21"/>
                <w:szCs w:val="21"/>
              </w:rPr>
              <w:t>值Q。当只涉及</w:t>
            </w:r>
            <w:r>
              <w:rPr>
                <w:rFonts w:hint="default" w:ascii="Times New Roman" w:hAnsi="Times New Roman" w:cs="Times New Roman" w:eastAsiaTheme="minorEastAsia"/>
                <w:color w:val="auto"/>
              </w:rPr>
              <w:t>一种危险物质时，计算该物质的总量与其临界量比值。</w:t>
            </w:r>
          </w:p>
          <w:p w14:paraId="4657B785">
            <w:pPr>
              <w:pStyle w:val="117"/>
              <w:adjustRightInd w:val="0"/>
              <w:snapToGrid w:val="0"/>
              <w:spacing w:line="360" w:lineRule="auto"/>
              <w:ind w:firstLine="480"/>
              <w:rPr>
                <w:rFonts w:hint="default" w:ascii="Times New Roman" w:hAnsi="Times New Roman" w:cs="Times New Roman"/>
                <w:color w:val="auto"/>
              </w:rPr>
            </w:pPr>
            <w:r>
              <w:rPr>
                <w:rFonts w:hint="default" w:ascii="Times New Roman" w:hAnsi="Times New Roman" w:cs="Times New Roman" w:eastAsiaTheme="minorEastAsia"/>
                <w:color w:val="auto"/>
              </w:rPr>
              <w:t>根据《建设项目环境风险评价技术导则》（HJ169-2018）中附录B中表B.2其他危险物质临界量推荐值。</w:t>
            </w:r>
          </w:p>
          <w:p w14:paraId="0D9352E1">
            <w:pPr>
              <w:pStyle w:val="117"/>
              <w:adjustRightInd w:val="0"/>
              <w:snapToGrid w:val="0"/>
              <w:spacing w:line="360" w:lineRule="auto"/>
              <w:ind w:firstLine="482"/>
              <w:jc w:val="center"/>
              <w:rPr>
                <w:rFonts w:hint="default" w:ascii="Times New Roman" w:hAnsi="Times New Roman" w:cs="Times New Roman" w:eastAsiaTheme="minorEastAsia"/>
                <w:color w:val="auto"/>
              </w:rPr>
            </w:pPr>
            <w:r>
              <w:rPr>
                <w:rFonts w:hint="default" w:ascii="Times New Roman" w:hAnsi="Times New Roman" w:cs="Times New Roman"/>
                <w:b/>
                <w:color w:val="auto"/>
                <w:position w:val="-30"/>
              </w:rPr>
              <w:object>
                <v:shape id="_x0000_i1026" o:spt="75" type="#_x0000_t75" style="height:34pt;width:110pt;" o:ole="t" filled="f" o:preferrelative="t" stroked="f" coordsize="21600,21600">
                  <v:path/>
                  <v:fill on="f" focussize="0,0"/>
                  <v:stroke on="f" joinstyle="miter"/>
                  <v:imagedata r:id="rId33" o:title=""/>
                  <o:lock v:ext="edit" aspectratio="t"/>
                  <w10:wrap type="none"/>
                  <w10:anchorlock/>
                </v:shape>
                <o:OLEObject Type="Embed" ProgID="Equation.3" ShapeID="_x0000_i1026" DrawAspect="Content" ObjectID="_1468075726" r:id="rId32">
                  <o:LockedField>false</o:LockedField>
                </o:OLEObject>
              </w:object>
            </w:r>
          </w:p>
          <w:p w14:paraId="1CCBB880">
            <w:pPr>
              <w:pStyle w:val="117"/>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式中：</w:t>
            </w:r>
            <w:r>
              <w:rPr>
                <w:rFonts w:hint="default" w:ascii="Times New Roman" w:hAnsi="Times New Roman" w:cs="Times New Roman" w:eastAsiaTheme="minorEastAsia"/>
                <w:color w:val="auto"/>
              </w:rPr>
              <w:drawing>
                <wp:inline distT="0" distB="0" distL="114300" distR="114300">
                  <wp:extent cx="857885" cy="230505"/>
                  <wp:effectExtent l="0" t="0" r="18415" b="17780"/>
                  <wp:docPr id="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1"/>
                          </pic:cNvPicPr>
                        </pic:nvPicPr>
                        <pic:blipFill>
                          <a:blip r:embed="rId34"/>
                          <a:stretch>
                            <a:fillRect/>
                          </a:stretch>
                        </pic:blipFill>
                        <pic:spPr>
                          <a:xfrm>
                            <a:off x="0" y="0"/>
                            <a:ext cx="857885" cy="230505"/>
                          </a:xfrm>
                          <a:prstGeom prst="rect">
                            <a:avLst/>
                          </a:prstGeom>
                          <a:noFill/>
                          <a:ln>
                            <a:noFill/>
                          </a:ln>
                        </pic:spPr>
                      </pic:pic>
                    </a:graphicData>
                  </a:graphic>
                </wp:inline>
              </w:drawing>
            </w:r>
            <w:r>
              <w:rPr>
                <w:rFonts w:hint="default" w:ascii="Times New Roman" w:hAnsi="Times New Roman" w:cs="Times New Roman" w:eastAsiaTheme="minorEastAsia"/>
                <w:color w:val="auto"/>
              </w:rPr>
              <w:t>——每种危险物质的最大存在总量，t。</w:t>
            </w:r>
          </w:p>
          <w:p w14:paraId="6E864C15">
            <w:pPr>
              <w:pStyle w:val="117"/>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drawing>
                <wp:inline distT="0" distB="0" distL="114300" distR="114300">
                  <wp:extent cx="1023620" cy="247015"/>
                  <wp:effectExtent l="0" t="0" r="5080" b="635"/>
                  <wp:docPr id="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
                          <pic:cNvPicPr>
                            <a:picLocks noChangeAspect="1"/>
                          </pic:cNvPicPr>
                        </pic:nvPicPr>
                        <pic:blipFill>
                          <a:blip r:embed="rId35"/>
                          <a:stretch>
                            <a:fillRect/>
                          </a:stretch>
                        </pic:blipFill>
                        <pic:spPr>
                          <a:xfrm>
                            <a:off x="0" y="0"/>
                            <a:ext cx="1023620" cy="247015"/>
                          </a:xfrm>
                          <a:prstGeom prst="rect">
                            <a:avLst/>
                          </a:prstGeom>
                          <a:noFill/>
                          <a:ln>
                            <a:noFill/>
                          </a:ln>
                        </pic:spPr>
                      </pic:pic>
                    </a:graphicData>
                  </a:graphic>
                </wp:inline>
              </w:drawing>
            </w:r>
            <w:r>
              <w:rPr>
                <w:rFonts w:hint="default" w:ascii="Times New Roman" w:hAnsi="Times New Roman" w:cs="Times New Roman" w:eastAsiaTheme="minorEastAsia"/>
                <w:color w:val="auto"/>
              </w:rPr>
              <w:t>——每种危险物质的临界量，t。</w:t>
            </w:r>
          </w:p>
          <w:p w14:paraId="38F39BA1">
            <w:pPr>
              <w:pStyle w:val="117"/>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当Q＜1时，该项目环境风险潜势为Ⅰ。</w:t>
            </w:r>
          </w:p>
          <w:p w14:paraId="79D3D960">
            <w:pPr>
              <w:pStyle w:val="117"/>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当Q≥1时，将Q值划分为（1）1≤Q＜10（2）10≤Q＜100（3）Q≥100</w:t>
            </w:r>
          </w:p>
          <w:p w14:paraId="363D72BF">
            <w:pPr>
              <w:pStyle w:val="117"/>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本项目Q=0.</w:t>
            </w:r>
            <w:r>
              <w:rPr>
                <w:rFonts w:hint="eastAsia" w:cs="Times New Roman" w:eastAsiaTheme="minorEastAsia"/>
                <w:color w:val="auto"/>
                <w:lang w:val="en-US" w:eastAsia="zh-CN"/>
              </w:rPr>
              <w:t>0</w:t>
            </w:r>
            <w:r>
              <w:rPr>
                <w:rFonts w:hint="eastAsia" w:ascii="Times New Roman" w:hAnsi="Times New Roman" w:cs="Times New Roman"/>
                <w:color w:val="auto"/>
                <w:lang w:val="en-US" w:eastAsia="zh-CN"/>
              </w:rPr>
              <w:t>00</w:t>
            </w:r>
            <w:r>
              <w:rPr>
                <w:rFonts w:hint="default" w:ascii="Times New Roman" w:hAnsi="Times New Roman" w:cs="Times New Roman" w:eastAsiaTheme="minorEastAsia"/>
                <w:color w:val="auto"/>
              </w:rPr>
              <w:t>2＜1，本项目环境风险潜势为Ⅰ。</w:t>
            </w:r>
          </w:p>
          <w:p w14:paraId="0A6A05AC">
            <w:pPr>
              <w:pStyle w:val="117"/>
              <w:adjustRightInd w:val="0"/>
              <w:snapToGrid w:val="0"/>
              <w:spacing w:line="360" w:lineRule="auto"/>
              <w:ind w:firstLine="480"/>
              <w:rPr>
                <w:rFonts w:hint="default" w:ascii="Times New Roman" w:hAnsi="Times New Roman" w:cs="Times New Roman" w:eastAsiaTheme="minorEastAsia"/>
                <w:color w:val="auto"/>
              </w:rPr>
            </w:pP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3</w:t>
            </w:r>
            <w:r>
              <w:rPr>
                <w:rFonts w:hint="eastAsia" w:ascii="Times New Roman" w:hAnsi="Times New Roman" w:cs="Times New Roman"/>
                <w:color w:val="auto"/>
                <w:lang w:eastAsia="zh-CN"/>
              </w:rPr>
              <w:t>）</w:t>
            </w:r>
            <w:r>
              <w:rPr>
                <w:rFonts w:hint="default" w:ascii="Times New Roman" w:hAnsi="Times New Roman" w:cs="Times New Roman" w:eastAsiaTheme="minorEastAsia"/>
                <w:color w:val="auto"/>
              </w:rPr>
              <w:t>风险源分布：危险废物储存在</w:t>
            </w:r>
            <w:r>
              <w:rPr>
                <w:rFonts w:hint="eastAsia" w:cs="Times New Roman" w:eastAsiaTheme="minorEastAsia"/>
                <w:color w:val="auto"/>
                <w:lang w:eastAsia="zh-CN"/>
              </w:rPr>
              <w:t>危废贮存点</w:t>
            </w:r>
            <w:r>
              <w:rPr>
                <w:rFonts w:hint="default" w:ascii="Times New Roman" w:hAnsi="Times New Roman" w:cs="Times New Roman" w:eastAsiaTheme="minorEastAsia"/>
                <w:color w:val="auto"/>
              </w:rPr>
              <w:t>。</w:t>
            </w:r>
          </w:p>
          <w:p w14:paraId="4FA09CA5">
            <w:pPr>
              <w:pStyle w:val="117"/>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（4）环境影响途径：①</w:t>
            </w:r>
            <w:r>
              <w:rPr>
                <w:rFonts w:hint="eastAsia" w:cs="Times New Roman" w:eastAsiaTheme="minorEastAsia"/>
                <w:color w:val="auto"/>
                <w:lang w:eastAsia="zh-CN"/>
              </w:rPr>
              <w:t>危废贮存点</w:t>
            </w:r>
            <w:r>
              <w:rPr>
                <w:rFonts w:hint="default" w:ascii="Times New Roman" w:hAnsi="Times New Roman" w:cs="Times New Roman" w:eastAsiaTheme="minorEastAsia"/>
                <w:color w:val="auto"/>
              </w:rPr>
              <w:t>因管理不善或乱排、乱倒，危废和渗出液可能进入附近土壤和水体。</w:t>
            </w:r>
          </w:p>
          <w:p w14:paraId="4D7FEE77">
            <w:pPr>
              <w:pStyle w:val="117"/>
              <w:adjustRightInd w:val="0"/>
              <w:snapToGrid w:val="0"/>
              <w:spacing w:line="360" w:lineRule="auto"/>
              <w:ind w:firstLine="480"/>
              <w:rPr>
                <w:rFonts w:hint="default" w:ascii="Times New Roman" w:hAnsi="Times New Roman" w:cs="Times New Roman" w:eastAsiaTheme="minorEastAsia"/>
                <w:color w:val="auto"/>
              </w:rPr>
            </w:pP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5</w:t>
            </w:r>
            <w:r>
              <w:rPr>
                <w:rFonts w:hint="eastAsia" w:ascii="Times New Roman" w:hAnsi="Times New Roman" w:cs="Times New Roman"/>
                <w:color w:val="auto"/>
                <w:lang w:eastAsia="zh-CN"/>
              </w:rPr>
              <w:t>）</w:t>
            </w:r>
            <w:r>
              <w:rPr>
                <w:rFonts w:hint="default" w:ascii="Times New Roman" w:hAnsi="Times New Roman" w:cs="Times New Roman" w:eastAsiaTheme="minorEastAsia"/>
                <w:color w:val="auto"/>
              </w:rPr>
              <w:t>风险防范措施要求：①管理过程：安排专人负责厂区安全管理，操作人员须经过专业培训；同时对公司员工也应进行消防培训，加强员工安全意识。</w:t>
            </w:r>
          </w:p>
          <w:p w14:paraId="008E1E2D">
            <w:pPr>
              <w:pStyle w:val="117"/>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②贮存过程：仓库管理人员须经过专业知识培训。</w:t>
            </w:r>
          </w:p>
          <w:p w14:paraId="4D0FAFBB">
            <w:pPr>
              <w:pStyle w:val="117"/>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③运输过程：企业须配备消防器材，有经过消防安全培训合格的驾驶员、押运员；运输包装上应印制清晰的提醒符号或标志。</w:t>
            </w:r>
          </w:p>
          <w:p w14:paraId="797138B8">
            <w:pPr>
              <w:pStyle w:val="117"/>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③生产过程：企业应做好日常监督检查与维修保养，平时组织专门人员周期性巡回检查，有异常现象及时检修。</w:t>
            </w:r>
          </w:p>
          <w:p w14:paraId="62D4AD0E">
            <w:pPr>
              <w:keepLines w:val="0"/>
              <w:pageBreakBefore w:val="0"/>
              <w:topLinePunct w:val="0"/>
              <w:bidi w:val="0"/>
              <w:spacing w:beforeAutospacing="0" w:afterAutospacing="0" w:line="360" w:lineRule="auto"/>
              <w:ind w:left="0" w:leftChars="0" w:right="0" w:rightChars="0" w:firstLine="482" w:firstLineChars="200"/>
              <w:rPr>
                <w:rFonts w:hint="eastAsia" w:ascii="Times New Roman" w:hAnsi="Times New Roman" w:eastAsia="宋体" w:cs="Times New Roman"/>
                <w:b/>
                <w:bCs/>
                <w:color w:val="auto"/>
                <w:sz w:val="24"/>
                <w:szCs w:val="24"/>
                <w:highlight w:val="none"/>
                <w:lang w:val="en-US" w:eastAsia="zh-CN" w:bidi="zh-CN"/>
              </w:rPr>
            </w:pPr>
            <w:r>
              <w:rPr>
                <w:rFonts w:hint="eastAsia" w:ascii="Times New Roman" w:hAnsi="Times New Roman" w:eastAsia="宋体" w:cs="Times New Roman"/>
                <w:b/>
                <w:bCs/>
                <w:color w:val="auto"/>
                <w:sz w:val="24"/>
                <w:szCs w:val="24"/>
                <w:highlight w:val="none"/>
                <w:lang w:val="en-US" w:eastAsia="zh-CN" w:bidi="zh-CN"/>
              </w:rPr>
              <w:t>九、环境影响评价与排污许可制度衔接</w:t>
            </w:r>
          </w:p>
          <w:p w14:paraId="1CB356D7">
            <w:pPr>
              <w:pStyle w:val="117"/>
              <w:adjustRightInd w:val="0"/>
              <w:snapToGrid w:val="0"/>
              <w:spacing w:line="360" w:lineRule="auto"/>
              <w:ind w:firstLine="480"/>
              <w:rPr>
                <w:rFonts w:hint="eastAsia" w:ascii="Times New Roman" w:hAnsi="Times New Roman" w:cs="Times New Roman" w:eastAsiaTheme="minorEastAsia"/>
                <w:color w:val="auto"/>
                <w:lang w:val="en-US" w:eastAsia="zh-CN"/>
              </w:rPr>
            </w:pPr>
            <w:r>
              <w:rPr>
                <w:rFonts w:hint="eastAsia" w:cs="Times New Roman" w:eastAsiaTheme="minorEastAsia"/>
                <w:color w:val="auto"/>
                <w:lang w:val="en-US" w:eastAsia="zh-CN"/>
              </w:rPr>
              <w:t>根据《排污许可管理办法》（试行），第三条：环境保护部依法制定并公布固定污染源排污许可分类管理名录，明确纳入排污许可管理的范围和申领时限。纳入固定污染源排污许可分类管理名录的企业事业单位和其他生产经营者（以下简称排污单位）应当按照规定的时限申请并取得排污许可证；未纳入固定污染源排污许可分类管理名录的排污单位，暂不需申请排污许可证。第二十四条：在固定污染源排污许可分类管理名录规定的时限前已经建成并实际排污的排污单位，应当在名录规定时限申请排污许可证；在名录规定的时限后建成的排污单位，应当在启动生产设施或</w:t>
            </w:r>
            <w:r>
              <w:rPr>
                <w:rFonts w:hint="eastAsia" w:ascii="Times New Roman" w:hAnsi="Times New Roman" w:cs="Times New Roman" w:eastAsiaTheme="minorEastAsia"/>
                <w:color w:val="auto"/>
                <w:lang w:val="en-US" w:eastAsia="zh-CN"/>
              </w:rPr>
              <w:t>者在实际排污之前申请排污许可证。</w:t>
            </w:r>
          </w:p>
          <w:p w14:paraId="6639A971">
            <w:pPr>
              <w:pStyle w:val="117"/>
              <w:adjustRightInd w:val="0"/>
              <w:snapToGrid w:val="0"/>
              <w:spacing w:line="360" w:lineRule="auto"/>
              <w:ind w:firstLine="480"/>
              <w:rPr>
                <w:rFonts w:hint="eastAsia" w:ascii="Times New Roman" w:hAnsi="Times New Roman" w:cs="Times New Roman" w:eastAsiaTheme="minorEastAsia"/>
                <w:color w:val="auto"/>
                <w:lang w:val="en-US" w:eastAsia="zh-CN"/>
              </w:rPr>
            </w:pPr>
            <w:r>
              <w:rPr>
                <w:rFonts w:hint="eastAsia" w:ascii="Times New Roman" w:hAnsi="Times New Roman" w:cs="Times New Roman" w:eastAsiaTheme="minorEastAsia"/>
                <w:color w:val="auto"/>
                <w:lang w:val="en-US" w:eastAsia="zh-CN"/>
              </w:rPr>
              <w:t>根据《固定污染源排污许可分类管理名录》（2019年版），本项目属于“八</w:t>
            </w:r>
            <w:r>
              <w:rPr>
                <w:rFonts w:hint="default" w:ascii="Times New Roman" w:hAnsi="Times New Roman" w:cs="Times New Roman" w:eastAsiaTheme="minorEastAsia"/>
                <w:color w:val="auto"/>
                <w:lang w:val="en-US" w:eastAsia="zh-CN"/>
              </w:rPr>
              <w:t>、农副食品加工业13</w:t>
            </w:r>
            <w:r>
              <w:rPr>
                <w:rFonts w:hint="eastAsia" w:ascii="Times New Roman" w:hAnsi="Times New Roman" w:cs="Times New Roman" w:eastAsiaTheme="minorEastAsia"/>
                <w:color w:val="auto"/>
                <w:lang w:val="en-US" w:eastAsia="zh-CN"/>
              </w:rPr>
              <w:t>，1</w:t>
            </w:r>
            <w:r>
              <w:rPr>
                <w:rFonts w:hint="default" w:ascii="Times New Roman" w:hAnsi="Times New Roman" w:cs="Times New Roman" w:eastAsiaTheme="minorEastAsia"/>
                <w:color w:val="auto"/>
                <w:lang w:val="en-US" w:eastAsia="zh-CN"/>
              </w:rPr>
              <w:t>6.其他农副食品加工139</w:t>
            </w:r>
            <w:r>
              <w:rPr>
                <w:rFonts w:hint="eastAsia" w:ascii="Times New Roman" w:hAnsi="Times New Roman" w:cs="Times New Roman" w:eastAsiaTheme="minorEastAsia"/>
                <w:color w:val="auto"/>
                <w:lang w:val="en-US" w:eastAsia="zh-CN"/>
              </w:rPr>
              <w:t>，其他</w:t>
            </w:r>
            <w:r>
              <w:rPr>
                <w:rFonts w:hint="eastAsia" w:cs="Times New Roman" w:eastAsiaTheme="minorEastAsia"/>
                <w:color w:val="auto"/>
                <w:lang w:val="en-US" w:eastAsia="zh-CN"/>
              </w:rPr>
              <w:t>”，需要进行排污许可证登记管理。</w:t>
            </w:r>
          </w:p>
          <w:p w14:paraId="77EFD7BF">
            <w:pPr>
              <w:pStyle w:val="117"/>
              <w:adjustRightInd w:val="0"/>
              <w:snapToGrid w:val="0"/>
              <w:spacing w:line="360" w:lineRule="auto"/>
              <w:ind w:firstLine="480"/>
              <w:rPr>
                <w:rFonts w:hint="default" w:ascii="Times New Roman" w:hAnsi="Times New Roman" w:cs="Times New Roman" w:eastAsiaTheme="minorEastAsia"/>
                <w:color w:val="auto"/>
              </w:rPr>
            </w:pPr>
          </w:p>
          <w:p w14:paraId="3B8FCF16">
            <w:pPr>
              <w:pStyle w:val="117"/>
              <w:adjustRightInd w:val="0"/>
              <w:snapToGrid w:val="0"/>
              <w:spacing w:line="360" w:lineRule="auto"/>
              <w:ind w:firstLine="480"/>
              <w:rPr>
                <w:rFonts w:hint="default" w:ascii="Times New Roman" w:hAnsi="Times New Roman" w:cs="Times New Roman" w:eastAsiaTheme="minorEastAsia"/>
                <w:color w:val="auto"/>
              </w:rPr>
            </w:pPr>
          </w:p>
          <w:p w14:paraId="11D40868">
            <w:pPr>
              <w:pStyle w:val="117"/>
              <w:adjustRightInd w:val="0"/>
              <w:snapToGrid w:val="0"/>
              <w:spacing w:line="360" w:lineRule="auto"/>
              <w:ind w:firstLine="480"/>
              <w:rPr>
                <w:rFonts w:hint="default" w:ascii="Times New Roman" w:hAnsi="Times New Roman" w:cs="Times New Roman" w:eastAsiaTheme="minorEastAsia"/>
                <w:color w:val="auto"/>
              </w:rPr>
            </w:pPr>
          </w:p>
          <w:p w14:paraId="48A701C9">
            <w:pPr>
              <w:pStyle w:val="117"/>
              <w:adjustRightInd w:val="0"/>
              <w:snapToGrid w:val="0"/>
              <w:spacing w:line="360" w:lineRule="auto"/>
              <w:ind w:firstLine="480"/>
              <w:rPr>
                <w:rFonts w:hint="default" w:ascii="Times New Roman" w:hAnsi="Times New Roman" w:cs="Times New Roman" w:eastAsiaTheme="minorEastAsia"/>
                <w:color w:val="auto"/>
              </w:rPr>
            </w:pPr>
          </w:p>
          <w:p w14:paraId="4470DAE4">
            <w:pPr>
              <w:pStyle w:val="117"/>
              <w:adjustRightInd w:val="0"/>
              <w:snapToGrid w:val="0"/>
              <w:spacing w:line="360" w:lineRule="auto"/>
              <w:ind w:firstLine="480"/>
              <w:rPr>
                <w:rFonts w:hint="default" w:ascii="Times New Roman" w:hAnsi="Times New Roman" w:cs="Times New Roman" w:eastAsiaTheme="minorEastAsia"/>
                <w:color w:val="auto"/>
              </w:rPr>
            </w:pPr>
          </w:p>
          <w:p w14:paraId="3FE8633E">
            <w:pPr>
              <w:pStyle w:val="117"/>
              <w:adjustRightInd w:val="0"/>
              <w:snapToGrid w:val="0"/>
              <w:spacing w:line="360" w:lineRule="auto"/>
              <w:ind w:firstLine="480"/>
              <w:rPr>
                <w:rFonts w:hint="default" w:ascii="Times New Roman" w:hAnsi="Times New Roman" w:cs="Times New Roman" w:eastAsiaTheme="minorEastAsia"/>
                <w:color w:val="auto"/>
              </w:rPr>
            </w:pPr>
          </w:p>
          <w:p w14:paraId="37A232DE">
            <w:pPr>
              <w:pStyle w:val="117"/>
              <w:adjustRightInd w:val="0"/>
              <w:snapToGrid w:val="0"/>
              <w:spacing w:line="360" w:lineRule="auto"/>
              <w:ind w:firstLine="480"/>
              <w:rPr>
                <w:rFonts w:hint="default" w:ascii="Times New Roman" w:hAnsi="Times New Roman" w:cs="Times New Roman" w:eastAsiaTheme="minorEastAsia"/>
                <w:color w:val="auto"/>
              </w:rPr>
            </w:pPr>
          </w:p>
          <w:p w14:paraId="09AE1ABD">
            <w:pPr>
              <w:pStyle w:val="117"/>
              <w:adjustRightInd w:val="0"/>
              <w:snapToGrid w:val="0"/>
              <w:spacing w:line="360" w:lineRule="auto"/>
              <w:ind w:firstLine="480"/>
              <w:rPr>
                <w:rFonts w:hint="default" w:ascii="Times New Roman" w:hAnsi="Times New Roman" w:cs="Times New Roman" w:eastAsiaTheme="minorEastAsia"/>
                <w:color w:val="auto"/>
              </w:rPr>
            </w:pPr>
          </w:p>
          <w:p w14:paraId="60EF75E6">
            <w:pPr>
              <w:pStyle w:val="117"/>
              <w:adjustRightInd w:val="0"/>
              <w:snapToGrid w:val="0"/>
              <w:spacing w:line="360" w:lineRule="auto"/>
              <w:ind w:firstLine="480"/>
              <w:rPr>
                <w:rFonts w:hint="default" w:ascii="Times New Roman" w:hAnsi="Times New Roman" w:cs="Times New Roman" w:eastAsiaTheme="minorEastAsia"/>
                <w:color w:val="auto"/>
              </w:rPr>
            </w:pPr>
          </w:p>
          <w:p w14:paraId="79611FEF">
            <w:pPr>
              <w:pStyle w:val="117"/>
              <w:adjustRightInd w:val="0"/>
              <w:snapToGrid w:val="0"/>
              <w:spacing w:line="360" w:lineRule="auto"/>
              <w:ind w:firstLine="480"/>
              <w:rPr>
                <w:rFonts w:hint="default" w:ascii="Times New Roman" w:hAnsi="Times New Roman" w:cs="Times New Roman" w:eastAsiaTheme="minorEastAsia"/>
                <w:color w:val="auto"/>
              </w:rPr>
            </w:pPr>
          </w:p>
          <w:p w14:paraId="75F14BEA">
            <w:pPr>
              <w:pStyle w:val="117"/>
              <w:adjustRightInd w:val="0"/>
              <w:snapToGrid w:val="0"/>
              <w:spacing w:line="360" w:lineRule="auto"/>
              <w:ind w:firstLine="480"/>
              <w:rPr>
                <w:rFonts w:hint="default" w:ascii="Times New Roman" w:hAnsi="Times New Roman" w:cs="Times New Roman" w:eastAsiaTheme="minorEastAsia"/>
                <w:color w:val="auto"/>
              </w:rPr>
            </w:pPr>
          </w:p>
          <w:p w14:paraId="75836FD7">
            <w:pPr>
              <w:pStyle w:val="117"/>
              <w:adjustRightInd w:val="0"/>
              <w:snapToGrid w:val="0"/>
              <w:spacing w:line="360" w:lineRule="auto"/>
              <w:ind w:firstLine="480"/>
              <w:rPr>
                <w:rFonts w:hint="default" w:ascii="Times New Roman" w:hAnsi="Times New Roman" w:cs="Times New Roman" w:eastAsiaTheme="minorEastAsia"/>
                <w:color w:val="auto"/>
              </w:rPr>
            </w:pPr>
          </w:p>
          <w:p w14:paraId="1902BFAE">
            <w:pPr>
              <w:pStyle w:val="117"/>
              <w:adjustRightInd w:val="0"/>
              <w:snapToGrid w:val="0"/>
              <w:spacing w:line="360" w:lineRule="auto"/>
              <w:ind w:firstLine="480"/>
              <w:rPr>
                <w:rFonts w:hint="default" w:ascii="Times New Roman" w:hAnsi="Times New Roman" w:cs="Times New Roman" w:eastAsiaTheme="minorEastAsia"/>
                <w:color w:val="auto"/>
              </w:rPr>
            </w:pPr>
          </w:p>
          <w:p w14:paraId="1578E4DE">
            <w:pPr>
              <w:pStyle w:val="117"/>
              <w:adjustRightInd w:val="0"/>
              <w:snapToGrid w:val="0"/>
              <w:spacing w:line="360" w:lineRule="auto"/>
              <w:ind w:firstLine="480"/>
              <w:rPr>
                <w:rFonts w:hint="default" w:ascii="Times New Roman" w:hAnsi="Times New Roman" w:cs="Times New Roman" w:eastAsiaTheme="minorEastAsia"/>
                <w:color w:val="auto"/>
              </w:rPr>
            </w:pPr>
          </w:p>
          <w:p w14:paraId="18FE7879">
            <w:pPr>
              <w:pStyle w:val="117"/>
              <w:adjustRightInd w:val="0"/>
              <w:snapToGrid w:val="0"/>
              <w:spacing w:line="360" w:lineRule="auto"/>
              <w:ind w:firstLine="480"/>
              <w:rPr>
                <w:rFonts w:hint="default" w:ascii="Times New Roman" w:hAnsi="Times New Roman" w:cs="Times New Roman" w:eastAsiaTheme="minorEastAsia"/>
                <w:color w:val="auto"/>
              </w:rPr>
            </w:pPr>
          </w:p>
          <w:p w14:paraId="09EA6AFF">
            <w:pPr>
              <w:pStyle w:val="117"/>
              <w:adjustRightInd w:val="0"/>
              <w:snapToGrid w:val="0"/>
              <w:spacing w:line="360" w:lineRule="auto"/>
              <w:ind w:firstLine="480"/>
              <w:rPr>
                <w:rFonts w:hint="default" w:ascii="Times New Roman" w:hAnsi="Times New Roman" w:cs="Times New Roman" w:eastAsiaTheme="minorEastAsia"/>
                <w:color w:val="auto"/>
              </w:rPr>
            </w:pPr>
          </w:p>
          <w:p w14:paraId="461A59FF">
            <w:pPr>
              <w:pStyle w:val="117"/>
              <w:adjustRightInd w:val="0"/>
              <w:snapToGrid w:val="0"/>
              <w:spacing w:line="360" w:lineRule="auto"/>
              <w:ind w:firstLine="480"/>
              <w:rPr>
                <w:rFonts w:hint="default" w:ascii="Times New Roman" w:hAnsi="Times New Roman" w:cs="Times New Roman" w:eastAsiaTheme="minorEastAsia"/>
                <w:color w:val="auto"/>
              </w:rPr>
            </w:pPr>
          </w:p>
          <w:p w14:paraId="58F45272">
            <w:pPr>
              <w:pStyle w:val="117"/>
              <w:adjustRightInd w:val="0"/>
              <w:snapToGrid w:val="0"/>
              <w:spacing w:line="360" w:lineRule="auto"/>
              <w:ind w:firstLine="480"/>
              <w:rPr>
                <w:rFonts w:hint="default" w:ascii="Times New Roman" w:hAnsi="Times New Roman" w:cs="Times New Roman" w:eastAsiaTheme="minorEastAsia"/>
                <w:color w:val="auto"/>
              </w:rPr>
            </w:pPr>
          </w:p>
          <w:p w14:paraId="02580498">
            <w:pPr>
              <w:pStyle w:val="117"/>
              <w:adjustRightInd w:val="0"/>
              <w:snapToGrid w:val="0"/>
              <w:spacing w:line="360" w:lineRule="auto"/>
              <w:ind w:firstLine="480"/>
              <w:rPr>
                <w:rFonts w:hint="default" w:ascii="Times New Roman" w:hAnsi="Times New Roman" w:cs="Times New Roman" w:eastAsiaTheme="minorEastAsia"/>
                <w:color w:val="auto"/>
              </w:rPr>
            </w:pPr>
          </w:p>
          <w:p w14:paraId="54D0BAE1">
            <w:pPr>
              <w:pStyle w:val="117"/>
              <w:adjustRightInd w:val="0"/>
              <w:snapToGrid w:val="0"/>
              <w:spacing w:line="360" w:lineRule="auto"/>
              <w:ind w:firstLine="480"/>
              <w:rPr>
                <w:rFonts w:hint="default" w:ascii="Times New Roman" w:hAnsi="Times New Roman" w:cs="Times New Roman" w:eastAsiaTheme="minorEastAsia"/>
                <w:color w:val="auto"/>
              </w:rPr>
            </w:pPr>
          </w:p>
          <w:p w14:paraId="60EBD8F5">
            <w:pPr>
              <w:pStyle w:val="117"/>
              <w:adjustRightInd w:val="0"/>
              <w:snapToGrid w:val="0"/>
              <w:spacing w:line="360" w:lineRule="auto"/>
              <w:ind w:firstLine="480"/>
              <w:rPr>
                <w:rFonts w:hint="default" w:ascii="Times New Roman" w:hAnsi="Times New Roman" w:cs="Times New Roman" w:eastAsiaTheme="minorEastAsia"/>
                <w:color w:val="auto"/>
              </w:rPr>
            </w:pPr>
          </w:p>
          <w:p w14:paraId="5CCA064A">
            <w:pPr>
              <w:pStyle w:val="117"/>
              <w:adjustRightInd w:val="0"/>
              <w:snapToGrid w:val="0"/>
              <w:spacing w:line="360" w:lineRule="auto"/>
              <w:ind w:firstLine="480"/>
              <w:rPr>
                <w:rFonts w:hint="default" w:ascii="Times New Roman" w:hAnsi="Times New Roman" w:cs="Times New Roman" w:eastAsiaTheme="minorEastAsia"/>
                <w:color w:val="auto"/>
              </w:rPr>
            </w:pPr>
          </w:p>
          <w:p w14:paraId="204EF444">
            <w:pPr>
              <w:pStyle w:val="117"/>
              <w:adjustRightInd w:val="0"/>
              <w:snapToGrid w:val="0"/>
              <w:spacing w:line="360" w:lineRule="auto"/>
              <w:ind w:firstLine="480"/>
              <w:rPr>
                <w:rFonts w:hint="default" w:ascii="Times New Roman" w:hAnsi="Times New Roman" w:cs="Times New Roman" w:eastAsiaTheme="minorEastAsia"/>
                <w:color w:val="auto"/>
              </w:rPr>
            </w:pPr>
          </w:p>
          <w:p w14:paraId="6F254310">
            <w:pPr>
              <w:pStyle w:val="117"/>
              <w:adjustRightInd w:val="0"/>
              <w:snapToGrid w:val="0"/>
              <w:spacing w:line="360" w:lineRule="auto"/>
              <w:ind w:firstLine="480"/>
              <w:rPr>
                <w:rFonts w:hint="default" w:ascii="Times New Roman" w:hAnsi="Times New Roman" w:cs="Times New Roman" w:eastAsiaTheme="minorEastAsia"/>
                <w:color w:val="auto"/>
              </w:rPr>
            </w:pPr>
          </w:p>
          <w:p w14:paraId="49529462">
            <w:pPr>
              <w:pStyle w:val="117"/>
              <w:adjustRightInd w:val="0"/>
              <w:snapToGrid w:val="0"/>
              <w:spacing w:line="360" w:lineRule="auto"/>
              <w:ind w:firstLine="480"/>
              <w:rPr>
                <w:rFonts w:hint="default" w:ascii="Times New Roman" w:hAnsi="Times New Roman" w:cs="Times New Roman" w:eastAsiaTheme="minorEastAsia"/>
                <w:color w:val="auto"/>
              </w:rPr>
            </w:pPr>
          </w:p>
          <w:p w14:paraId="39667493">
            <w:pPr>
              <w:pStyle w:val="117"/>
              <w:adjustRightInd w:val="0"/>
              <w:snapToGrid w:val="0"/>
              <w:spacing w:line="360" w:lineRule="auto"/>
              <w:ind w:firstLine="480"/>
              <w:rPr>
                <w:rFonts w:hint="default" w:ascii="Times New Roman" w:hAnsi="Times New Roman" w:cs="Times New Roman" w:eastAsiaTheme="minorEastAsia"/>
                <w:color w:val="auto"/>
              </w:rPr>
            </w:pPr>
          </w:p>
          <w:p w14:paraId="27BF10DE">
            <w:pPr>
              <w:pStyle w:val="117"/>
              <w:adjustRightInd w:val="0"/>
              <w:snapToGrid w:val="0"/>
              <w:spacing w:line="360" w:lineRule="auto"/>
              <w:ind w:left="0" w:leftChars="0" w:firstLine="0" w:firstLineChars="0"/>
              <w:rPr>
                <w:color w:val="auto"/>
                <w:kern w:val="0"/>
                <w:sz w:val="24"/>
              </w:rPr>
            </w:pPr>
          </w:p>
        </w:tc>
      </w:tr>
    </w:tbl>
    <w:p w14:paraId="27ECCEB6">
      <w:pPr>
        <w:adjustRightInd w:val="0"/>
        <w:snapToGrid w:val="0"/>
        <w:jc w:val="both"/>
        <w:rPr>
          <w:b/>
          <w:bCs/>
          <w:color w:val="auto"/>
          <w:sz w:val="24"/>
        </w:rPr>
        <w:sectPr>
          <w:footerReference r:id="rId5" w:type="default"/>
          <w:pgSz w:w="11907" w:h="16840"/>
          <w:pgMar w:top="1701" w:right="1531" w:bottom="2127" w:left="1531" w:header="851" w:footer="1531" w:gutter="0"/>
          <w:pgBorders>
            <w:top w:val="none" w:sz="0" w:space="0"/>
            <w:left w:val="none" w:sz="0" w:space="0"/>
            <w:bottom w:val="none" w:sz="0" w:space="0"/>
            <w:right w:val="none" w:sz="0" w:space="0"/>
          </w:pgBorders>
          <w:pgNumType w:fmt="decimal"/>
          <w:cols w:space="720" w:num="1"/>
          <w:docGrid w:linePitch="312" w:charSpace="0"/>
        </w:sectPr>
      </w:pPr>
    </w:p>
    <w:p w14:paraId="215FD817">
      <w:pPr>
        <w:pStyle w:val="27"/>
        <w:spacing w:before="0" w:beforeAutospacing="0" w:after="0" w:afterAutospacing="0"/>
        <w:jc w:val="center"/>
        <w:outlineLvl w:val="0"/>
        <w:rPr>
          <w:rFonts w:ascii="Times New Roman" w:hAnsi="Times New Roman"/>
          <w:b/>
          <w:snapToGrid w:val="0"/>
          <w:color w:val="auto"/>
          <w:sz w:val="30"/>
          <w:szCs w:val="30"/>
        </w:rPr>
      </w:pPr>
      <w:bookmarkStart w:id="20" w:name="_Toc7200"/>
      <w:r>
        <w:rPr>
          <w:rFonts w:ascii="Times New Roman" w:hAnsi="Times New Roman"/>
          <w:b/>
          <w:snapToGrid w:val="0"/>
          <w:color w:val="auto"/>
          <w:sz w:val="30"/>
          <w:szCs w:val="30"/>
        </w:rPr>
        <w:t>五、</w:t>
      </w:r>
      <w:bookmarkStart w:id="21" w:name="_Hlk54167917"/>
      <w:r>
        <w:rPr>
          <w:rFonts w:ascii="Times New Roman" w:hAnsi="Times New Roman"/>
          <w:b/>
          <w:snapToGrid w:val="0"/>
          <w:color w:val="auto"/>
          <w:sz w:val="30"/>
          <w:szCs w:val="30"/>
        </w:rPr>
        <w:t>环境保护措施监督检查清单</w:t>
      </w:r>
      <w:bookmarkEnd w:id="20"/>
      <w:bookmarkEnd w:id="21"/>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96"/>
        <w:gridCol w:w="1559"/>
        <w:gridCol w:w="1276"/>
        <w:gridCol w:w="2232"/>
        <w:gridCol w:w="2553"/>
      </w:tblGrid>
      <w:tr w14:paraId="71B8FA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96" w:type="dxa"/>
            <w:tcBorders>
              <w:tl2br w:val="single" w:color="auto" w:sz="4" w:space="0"/>
            </w:tcBorders>
            <w:noWrap/>
          </w:tcPr>
          <w:p w14:paraId="5F89F4CE">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630" w:firstLineChars="300"/>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内容</w:t>
            </w:r>
          </w:p>
          <w:p w14:paraId="42456F63">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要素</w:t>
            </w:r>
          </w:p>
        </w:tc>
        <w:tc>
          <w:tcPr>
            <w:tcW w:w="1559" w:type="dxa"/>
            <w:noWrap/>
            <w:vAlign w:val="center"/>
          </w:tcPr>
          <w:p w14:paraId="15AAF3ED">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排放口(编号、</w:t>
            </w:r>
          </w:p>
          <w:p w14:paraId="7F1BEBEC">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名称)/污染源</w:t>
            </w:r>
          </w:p>
        </w:tc>
        <w:tc>
          <w:tcPr>
            <w:tcW w:w="1276" w:type="dxa"/>
            <w:noWrap/>
            <w:vAlign w:val="center"/>
          </w:tcPr>
          <w:p w14:paraId="2521F7A0">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污染物项目</w:t>
            </w:r>
          </w:p>
        </w:tc>
        <w:tc>
          <w:tcPr>
            <w:tcW w:w="2232" w:type="dxa"/>
            <w:noWrap/>
            <w:vAlign w:val="center"/>
          </w:tcPr>
          <w:p w14:paraId="360B29CC">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环境保护措施</w:t>
            </w:r>
          </w:p>
        </w:tc>
        <w:tc>
          <w:tcPr>
            <w:tcW w:w="2553" w:type="dxa"/>
            <w:noWrap/>
            <w:vAlign w:val="center"/>
          </w:tcPr>
          <w:p w14:paraId="3CDF0FEC">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执行标准</w:t>
            </w:r>
          </w:p>
        </w:tc>
      </w:tr>
      <w:tr w14:paraId="23DB75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96" w:type="dxa"/>
            <w:vMerge w:val="restart"/>
            <w:noWrap/>
            <w:vAlign w:val="center"/>
          </w:tcPr>
          <w:p w14:paraId="5E159464">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lang w:val="en-US" w:eastAsia="zh-CN"/>
              </w:rPr>
            </w:pPr>
            <w:r>
              <w:rPr>
                <w:rFonts w:hint="eastAsia" w:cs="Times New Roman" w:eastAsiaTheme="minorEastAsia"/>
                <w:color w:val="auto"/>
                <w:szCs w:val="21"/>
                <w:lang w:val="en-US" w:eastAsia="zh-CN"/>
              </w:rPr>
              <w:t>大气环境</w:t>
            </w:r>
          </w:p>
        </w:tc>
        <w:tc>
          <w:tcPr>
            <w:tcW w:w="1559" w:type="dxa"/>
            <w:noWrap/>
            <w:vAlign w:val="center"/>
          </w:tcPr>
          <w:p w14:paraId="5DAB731F">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rPr>
              <w:t>DA00</w:t>
            </w:r>
            <w:r>
              <w:rPr>
                <w:rFonts w:hint="eastAsia" w:cs="Times New Roman" w:eastAsiaTheme="minorEastAsia"/>
                <w:color w:val="auto"/>
                <w:szCs w:val="21"/>
                <w:lang w:val="en-US" w:eastAsia="zh-CN"/>
              </w:rPr>
              <w:t>1</w:t>
            </w:r>
          </w:p>
        </w:tc>
        <w:tc>
          <w:tcPr>
            <w:tcW w:w="1276" w:type="dxa"/>
            <w:noWrap/>
            <w:vAlign w:val="center"/>
          </w:tcPr>
          <w:p w14:paraId="2B74E3B2">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color w:val="auto"/>
                <w:lang w:val="en-US" w:eastAsia="zh-CN"/>
              </w:rPr>
            </w:pPr>
            <w:r>
              <w:rPr>
                <w:rFonts w:hint="default"/>
                <w:color w:val="auto"/>
                <w:lang w:eastAsia="zh-CN"/>
              </w:rPr>
              <w:t>颗粒物</w:t>
            </w:r>
            <w:r>
              <w:rPr>
                <w:rFonts w:hint="eastAsia"/>
                <w:color w:val="auto"/>
                <w:lang w:eastAsia="zh-CN"/>
              </w:rPr>
              <w:t>、</w:t>
            </w:r>
            <w:r>
              <w:rPr>
                <w:rFonts w:hint="eastAsia"/>
                <w:color w:val="auto"/>
                <w:lang w:val="en-US" w:eastAsia="zh-CN"/>
              </w:rPr>
              <w:t>SO</w:t>
            </w:r>
            <w:r>
              <w:rPr>
                <w:rFonts w:hint="eastAsia"/>
                <w:color w:val="auto"/>
                <w:vertAlign w:val="subscript"/>
                <w:lang w:val="en-US" w:eastAsia="zh-CN"/>
              </w:rPr>
              <w:t>2</w:t>
            </w:r>
            <w:r>
              <w:rPr>
                <w:rFonts w:hint="eastAsia"/>
                <w:color w:val="auto"/>
                <w:lang w:val="en-US" w:eastAsia="zh-CN"/>
              </w:rPr>
              <w:t>、NOx、烟气黑度</w:t>
            </w:r>
          </w:p>
        </w:tc>
        <w:tc>
          <w:tcPr>
            <w:tcW w:w="2232" w:type="dxa"/>
            <w:noWrap/>
            <w:vAlign w:val="center"/>
          </w:tcPr>
          <w:p w14:paraId="62FD421B">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snapToGrid w:val="0"/>
                <w:color w:val="auto"/>
                <w:lang w:val="en-US" w:eastAsia="zh-CN"/>
              </w:rPr>
            </w:pPr>
            <w:r>
              <w:rPr>
                <w:rFonts w:hint="eastAsia" w:cs="Times New Roman" w:eastAsiaTheme="minorEastAsia"/>
                <w:snapToGrid w:val="0"/>
                <w:color w:val="auto"/>
                <w:lang w:val="en-US" w:eastAsia="zh-CN"/>
              </w:rPr>
              <w:t>旋风除尘+</w:t>
            </w:r>
            <w:r>
              <w:rPr>
                <w:rFonts w:hint="eastAsia" w:ascii="Times New Roman" w:hAnsi="Times New Roman" w:cs="Times New Roman" w:eastAsiaTheme="minorEastAsia"/>
                <w:snapToGrid w:val="0"/>
                <w:color w:val="auto"/>
                <w:lang w:eastAsia="zh-CN"/>
              </w:rPr>
              <w:t>布袋除尘器</w:t>
            </w:r>
            <w:r>
              <w:rPr>
                <w:rFonts w:hint="eastAsia" w:ascii="Times New Roman" w:hAnsi="Times New Roman" w:cs="Times New Roman" w:eastAsiaTheme="minorEastAsia"/>
                <w:snapToGrid w:val="0"/>
                <w:color w:val="auto"/>
                <w:lang w:val="en-US" w:eastAsia="zh-CN"/>
              </w:rPr>
              <w:t>+</w:t>
            </w:r>
            <w:r>
              <w:rPr>
                <w:rFonts w:hint="eastAsia" w:cs="Times New Roman" w:eastAsiaTheme="minorEastAsia"/>
                <w:snapToGrid w:val="0"/>
                <w:color w:val="auto"/>
                <w:lang w:val="en-US" w:eastAsia="zh-CN"/>
              </w:rPr>
              <w:t>35</w:t>
            </w:r>
            <w:r>
              <w:rPr>
                <w:rFonts w:hint="eastAsia" w:ascii="Times New Roman" w:hAnsi="Times New Roman" w:cs="Times New Roman" w:eastAsiaTheme="minorEastAsia"/>
                <w:snapToGrid w:val="0"/>
                <w:color w:val="auto"/>
                <w:lang w:val="en-US" w:eastAsia="zh-CN"/>
              </w:rPr>
              <w:t>m高烟囱（DA001）</w:t>
            </w:r>
          </w:p>
        </w:tc>
        <w:tc>
          <w:tcPr>
            <w:tcW w:w="2553" w:type="dxa"/>
            <w:noWrap/>
            <w:vAlign w:val="center"/>
          </w:tcPr>
          <w:p w14:paraId="434EBD3A">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snapToGrid w:val="0"/>
                <w:color w:val="auto"/>
                <w:lang w:val="zh-CN" w:eastAsia="zh-CN"/>
              </w:rPr>
            </w:pPr>
            <w:r>
              <w:rPr>
                <w:rFonts w:hint="eastAsia" w:ascii="Times New Roman" w:hAnsi="Times New Roman" w:cs="Times New Roman" w:eastAsiaTheme="minorEastAsia"/>
                <w:snapToGrid w:val="0"/>
                <w:color w:val="auto"/>
                <w:lang w:val="en-US" w:eastAsia="zh-CN"/>
              </w:rPr>
              <w:t>《锅炉大气污染物排放标准》（GB13271-2014）表2中燃煤锅炉大气污染物排放限值</w:t>
            </w:r>
          </w:p>
        </w:tc>
      </w:tr>
      <w:tr w14:paraId="26E13B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96" w:type="dxa"/>
            <w:vMerge w:val="continue"/>
            <w:noWrap/>
            <w:vAlign w:val="center"/>
          </w:tcPr>
          <w:p w14:paraId="17484FC4">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p>
        </w:tc>
        <w:tc>
          <w:tcPr>
            <w:tcW w:w="1559" w:type="dxa"/>
            <w:noWrap/>
            <w:vAlign w:val="center"/>
          </w:tcPr>
          <w:p w14:paraId="22ADED27">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lang w:val="en-US" w:eastAsia="zh-CN"/>
              </w:rPr>
            </w:pPr>
            <w:r>
              <w:rPr>
                <w:rFonts w:hint="eastAsia" w:cs="Times New Roman" w:eastAsiaTheme="minorEastAsia"/>
                <w:color w:val="auto"/>
                <w:szCs w:val="21"/>
                <w:lang w:val="en-US" w:eastAsia="zh-CN"/>
              </w:rPr>
              <w:t>厂界</w:t>
            </w:r>
          </w:p>
        </w:tc>
        <w:tc>
          <w:tcPr>
            <w:tcW w:w="1276" w:type="dxa"/>
            <w:noWrap/>
            <w:vAlign w:val="center"/>
          </w:tcPr>
          <w:p w14:paraId="25EE7A37">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cs="Times New Roman" w:eastAsiaTheme="minorEastAsia"/>
                <w:color w:val="auto"/>
                <w:szCs w:val="21"/>
                <w:highlight w:val="none"/>
                <w:lang w:val="en-US" w:eastAsia="zh-CN"/>
              </w:rPr>
            </w:pPr>
            <w:r>
              <w:rPr>
                <w:rFonts w:hint="eastAsia" w:cs="Times New Roman" w:eastAsiaTheme="minorEastAsia"/>
                <w:color w:val="auto"/>
                <w:szCs w:val="21"/>
                <w:highlight w:val="none"/>
                <w:lang w:val="en-US" w:eastAsia="zh-CN"/>
              </w:rPr>
              <w:t>臭气浓度、颗粒物</w:t>
            </w:r>
          </w:p>
        </w:tc>
        <w:tc>
          <w:tcPr>
            <w:tcW w:w="2232" w:type="dxa"/>
            <w:noWrap/>
            <w:vAlign w:val="center"/>
          </w:tcPr>
          <w:p w14:paraId="4E3126F4">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cs="Times New Roman" w:eastAsiaTheme="minorEastAsia"/>
                <w:snapToGrid w:val="0"/>
                <w:color w:val="auto"/>
                <w:highlight w:val="none"/>
                <w:lang w:val="en-US" w:eastAsia="zh-CN"/>
              </w:rPr>
            </w:pPr>
            <w:r>
              <w:rPr>
                <w:rFonts w:hint="eastAsia" w:ascii="Times New Roman" w:hAnsi="Times New Roman" w:cs="Times New Roman" w:eastAsiaTheme="minorEastAsia"/>
                <w:snapToGrid w:val="0"/>
                <w:color w:val="auto"/>
                <w:highlight w:val="none"/>
                <w:lang w:eastAsia="zh-CN"/>
              </w:rPr>
              <w:t>车间通风</w:t>
            </w:r>
          </w:p>
        </w:tc>
        <w:tc>
          <w:tcPr>
            <w:tcW w:w="2553" w:type="dxa"/>
            <w:noWrap/>
            <w:vAlign w:val="center"/>
          </w:tcPr>
          <w:p w14:paraId="601CCDBA">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eastAsiaTheme="minorEastAsia"/>
                <w:snapToGrid w:val="0"/>
                <w:color w:val="auto"/>
                <w:lang w:val="en-US" w:eastAsia="zh-CN"/>
              </w:rPr>
            </w:pPr>
            <w:r>
              <w:rPr>
                <w:rFonts w:hint="eastAsia" w:ascii="Times New Roman" w:hAnsi="Times New Roman" w:cs="Times New Roman" w:eastAsiaTheme="minorEastAsia"/>
                <w:snapToGrid w:val="0"/>
                <w:color w:val="auto"/>
                <w:lang w:val="en-US" w:eastAsia="zh-CN"/>
              </w:rPr>
              <w:t>《恶臭污染物排放标准》（GB14554-93）表1恶臭污染物厂界标准值</w:t>
            </w:r>
          </w:p>
        </w:tc>
      </w:tr>
      <w:tr w14:paraId="5EFE35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9" w:hRule="atLeast"/>
          <w:jc w:val="center"/>
        </w:trPr>
        <w:tc>
          <w:tcPr>
            <w:tcW w:w="1396" w:type="dxa"/>
            <w:noWrap/>
            <w:vAlign w:val="center"/>
          </w:tcPr>
          <w:p w14:paraId="319E2CAC">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地表水环境</w:t>
            </w:r>
          </w:p>
        </w:tc>
        <w:tc>
          <w:tcPr>
            <w:tcW w:w="1559" w:type="dxa"/>
            <w:noWrap/>
            <w:vAlign w:val="center"/>
          </w:tcPr>
          <w:p w14:paraId="3F2BD963">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cs="Times New Roman" w:eastAsiaTheme="minorEastAsia"/>
                <w:color w:val="auto"/>
                <w:szCs w:val="21"/>
                <w:lang w:val="en-US" w:eastAsia="zh-CN"/>
              </w:rPr>
              <w:t>综合废水</w:t>
            </w:r>
          </w:p>
        </w:tc>
        <w:tc>
          <w:tcPr>
            <w:tcW w:w="1276" w:type="dxa"/>
            <w:noWrap/>
            <w:vAlign w:val="center"/>
          </w:tcPr>
          <w:p w14:paraId="2762EB84">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
                <w:sz w:val="21"/>
                <w:szCs w:val="24"/>
                <w:highlight w:val="none"/>
                <w:lang w:val="en-US" w:eastAsia="zh-CN" w:bidi="ar-SA"/>
              </w:rPr>
            </w:pPr>
            <w:r>
              <w:rPr>
                <w:rFonts w:hint="eastAsia" w:ascii="Times New Roman" w:hAnsi="Times New Roman" w:cs="Times New Roman" w:eastAsiaTheme="minorEastAsia"/>
                <w:snapToGrid w:val="0"/>
                <w:color w:val="auto"/>
                <w:highlight w:val="none"/>
                <w:lang w:val="en-US" w:eastAsia="zh-CN"/>
              </w:rPr>
              <w:t>pH、COD、SS、氨氮</w:t>
            </w:r>
          </w:p>
        </w:tc>
        <w:tc>
          <w:tcPr>
            <w:tcW w:w="2232" w:type="dxa"/>
            <w:noWrap/>
            <w:vAlign w:val="center"/>
          </w:tcPr>
          <w:p w14:paraId="7B9D8CB3">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snapToGrid w:val="0"/>
                <w:color w:val="auto"/>
                <w:kern w:val="2"/>
                <w:sz w:val="21"/>
                <w:szCs w:val="24"/>
                <w:highlight w:val="none"/>
                <w:lang w:val="en-US" w:eastAsia="zh-CN" w:bidi="ar-SA"/>
              </w:rPr>
            </w:pPr>
            <w:r>
              <w:rPr>
                <w:rFonts w:hint="eastAsia" w:ascii="Times New Roman" w:hAnsi="Times New Roman" w:eastAsia="宋体" w:cs="Times New Roman"/>
                <w:color w:val="auto"/>
                <w:szCs w:val="21"/>
                <w:highlight w:val="none"/>
                <w:lang w:val="en-US" w:eastAsia="zh-CN"/>
              </w:rPr>
              <w:t>排入市政管网，经双鸭山市污水处理厂处理达标后排放</w:t>
            </w:r>
          </w:p>
        </w:tc>
        <w:tc>
          <w:tcPr>
            <w:tcW w:w="2553" w:type="dxa"/>
            <w:noWrap/>
            <w:vAlign w:val="center"/>
          </w:tcPr>
          <w:p w14:paraId="4F42BF5A">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snapToGrid w:val="0"/>
                <w:color w:val="auto"/>
                <w:lang w:val="en-US" w:eastAsia="zh-CN"/>
              </w:rPr>
              <w:t>《污水综合排放标准》（GB8978-1996）中表4三级排放标准</w:t>
            </w:r>
          </w:p>
        </w:tc>
      </w:tr>
      <w:tr w14:paraId="610B4A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96" w:type="dxa"/>
            <w:noWrap/>
            <w:vAlign w:val="center"/>
          </w:tcPr>
          <w:p w14:paraId="7D944351">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声环境</w:t>
            </w:r>
          </w:p>
        </w:tc>
        <w:tc>
          <w:tcPr>
            <w:tcW w:w="1559" w:type="dxa"/>
            <w:noWrap/>
            <w:vAlign w:val="center"/>
          </w:tcPr>
          <w:p w14:paraId="4B5E38A7">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设备噪声</w:t>
            </w:r>
          </w:p>
        </w:tc>
        <w:tc>
          <w:tcPr>
            <w:tcW w:w="1276" w:type="dxa"/>
            <w:noWrap/>
            <w:vAlign w:val="center"/>
          </w:tcPr>
          <w:p w14:paraId="4DA99C96">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bCs/>
                <w:color w:val="auto"/>
                <w:szCs w:val="21"/>
                <w:lang w:val="zh-CN"/>
              </w:rPr>
              <w:t>L</w:t>
            </w:r>
            <w:r>
              <w:rPr>
                <w:rFonts w:hint="default" w:ascii="Times New Roman" w:hAnsi="Times New Roman" w:cs="Times New Roman" w:eastAsiaTheme="minorEastAsia"/>
                <w:bCs/>
                <w:color w:val="auto"/>
                <w:szCs w:val="21"/>
                <w:vertAlign w:val="subscript"/>
                <w:lang w:val="zh-CN"/>
              </w:rPr>
              <w:t>Aeq</w:t>
            </w:r>
          </w:p>
        </w:tc>
        <w:tc>
          <w:tcPr>
            <w:tcW w:w="2232" w:type="dxa"/>
            <w:noWrap/>
            <w:vAlign w:val="center"/>
          </w:tcPr>
          <w:p w14:paraId="40F5C171">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bCs/>
                <w:color w:val="auto"/>
                <w:szCs w:val="21"/>
              </w:rPr>
              <w:t>隔声、减振垫等降噪措施</w:t>
            </w:r>
          </w:p>
        </w:tc>
        <w:tc>
          <w:tcPr>
            <w:tcW w:w="2553" w:type="dxa"/>
            <w:noWrap/>
            <w:vAlign w:val="center"/>
          </w:tcPr>
          <w:p w14:paraId="1D2C2356">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《工业企业厂界环境噪声排放标准》(GB12348-2008)中</w:t>
            </w:r>
            <w:r>
              <w:rPr>
                <w:rFonts w:hint="eastAsia" w:cs="Times New Roman" w:eastAsiaTheme="minorEastAsia"/>
                <w:color w:val="auto"/>
                <w:szCs w:val="21"/>
                <w:lang w:val="en-US" w:eastAsia="zh-CN"/>
              </w:rPr>
              <w:t>1</w:t>
            </w:r>
            <w:r>
              <w:rPr>
                <w:rFonts w:hint="default" w:ascii="Times New Roman" w:hAnsi="Times New Roman" w:cs="Times New Roman" w:eastAsiaTheme="minorEastAsia"/>
                <w:color w:val="auto"/>
                <w:szCs w:val="21"/>
              </w:rPr>
              <w:t>类标准</w:t>
            </w:r>
          </w:p>
        </w:tc>
      </w:tr>
      <w:tr w14:paraId="699128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52" w:hRule="atLeast"/>
          <w:jc w:val="center"/>
        </w:trPr>
        <w:tc>
          <w:tcPr>
            <w:tcW w:w="1396" w:type="dxa"/>
            <w:noWrap/>
            <w:vAlign w:val="center"/>
          </w:tcPr>
          <w:p w14:paraId="417ED775">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color w:val="auto"/>
                <w:szCs w:val="21"/>
              </w:rPr>
              <w:t>电磁辐射</w:t>
            </w:r>
          </w:p>
        </w:tc>
        <w:tc>
          <w:tcPr>
            <w:tcW w:w="1559" w:type="dxa"/>
            <w:noWrap/>
            <w:vAlign w:val="center"/>
          </w:tcPr>
          <w:p w14:paraId="0E824902">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color w:val="auto"/>
                <w:szCs w:val="21"/>
              </w:rPr>
              <w:t>/</w:t>
            </w:r>
          </w:p>
        </w:tc>
        <w:tc>
          <w:tcPr>
            <w:tcW w:w="1276" w:type="dxa"/>
            <w:noWrap/>
            <w:vAlign w:val="center"/>
          </w:tcPr>
          <w:p w14:paraId="05915202">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bCs/>
                <w:color w:val="auto"/>
                <w:szCs w:val="21"/>
                <w:lang w:val="zh-CN"/>
              </w:rPr>
            </w:pPr>
            <w:r>
              <w:rPr>
                <w:rFonts w:hint="default" w:ascii="Times New Roman" w:hAnsi="Times New Roman" w:cs="Times New Roman"/>
                <w:color w:val="auto"/>
                <w:szCs w:val="21"/>
              </w:rPr>
              <w:t>/</w:t>
            </w:r>
          </w:p>
        </w:tc>
        <w:tc>
          <w:tcPr>
            <w:tcW w:w="2232" w:type="dxa"/>
            <w:noWrap/>
            <w:vAlign w:val="center"/>
          </w:tcPr>
          <w:p w14:paraId="1157ADBA">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bCs/>
                <w:color w:val="auto"/>
                <w:szCs w:val="21"/>
              </w:rPr>
            </w:pPr>
            <w:r>
              <w:rPr>
                <w:rFonts w:hint="default" w:ascii="Times New Roman" w:hAnsi="Times New Roman" w:cs="Times New Roman"/>
                <w:color w:val="auto"/>
                <w:szCs w:val="21"/>
              </w:rPr>
              <w:t>/</w:t>
            </w:r>
          </w:p>
        </w:tc>
        <w:tc>
          <w:tcPr>
            <w:tcW w:w="2553" w:type="dxa"/>
            <w:noWrap/>
            <w:vAlign w:val="center"/>
          </w:tcPr>
          <w:p w14:paraId="1A0225A3">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color w:val="auto"/>
                <w:szCs w:val="21"/>
              </w:rPr>
              <w:t>/</w:t>
            </w:r>
          </w:p>
        </w:tc>
      </w:tr>
      <w:tr w14:paraId="1C176D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92" w:hRule="atLeast"/>
          <w:jc w:val="center"/>
        </w:trPr>
        <w:tc>
          <w:tcPr>
            <w:tcW w:w="1396" w:type="dxa"/>
            <w:noWrap/>
            <w:vAlign w:val="center"/>
          </w:tcPr>
          <w:p w14:paraId="0830B55C">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固体废物</w:t>
            </w:r>
          </w:p>
        </w:tc>
        <w:tc>
          <w:tcPr>
            <w:tcW w:w="7620" w:type="dxa"/>
            <w:gridSpan w:val="4"/>
            <w:noWrap/>
            <w:vAlign w:val="center"/>
          </w:tcPr>
          <w:p w14:paraId="45B3504F">
            <w:pPr>
              <w:keepNext w:val="0"/>
              <w:keepLines w:val="0"/>
              <w:pageBreakBefore w:val="0"/>
              <w:widowControl w:val="0"/>
              <w:kinsoku/>
              <w:wordWrap/>
              <w:overflowPunct/>
              <w:topLinePunct w:val="0"/>
              <w:autoSpaceDE w:val="0"/>
              <w:autoSpaceDN w:val="0"/>
              <w:bidi w:val="0"/>
              <w:adjustRightIn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eastAsia" w:cs="Times New Roman" w:eastAsiaTheme="minorEastAsia"/>
                <w:color w:val="auto"/>
                <w:kern w:val="0"/>
                <w:szCs w:val="21"/>
                <w:lang w:val="en-US" w:eastAsia="zh-CN"/>
              </w:rPr>
              <w:t>工艺废料、不合格产品</w:t>
            </w:r>
            <w:r>
              <w:rPr>
                <w:rFonts w:hint="default" w:ascii="Times New Roman" w:hAnsi="Times New Roman" w:cs="Times New Roman" w:eastAsiaTheme="minorEastAsia"/>
                <w:color w:val="auto"/>
                <w:kern w:val="0"/>
                <w:szCs w:val="21"/>
                <w:lang w:eastAsia="zh-CN"/>
              </w:rPr>
              <w:t>集中收集后</w:t>
            </w:r>
            <w:r>
              <w:rPr>
                <w:rFonts w:hint="eastAsia" w:cs="Times New Roman"/>
                <w:color w:val="auto"/>
                <w:highlight w:val="none"/>
                <w:lang w:val="en-US" w:eastAsia="zh-CN"/>
              </w:rPr>
              <w:t>外售至饲料加工公司；</w:t>
            </w:r>
            <w:r>
              <w:rPr>
                <w:rFonts w:hint="eastAsia" w:ascii="Times New Roman" w:hAnsi="Times New Roman" w:cs="Times New Roman" w:eastAsiaTheme="minorEastAsia"/>
                <w:color w:val="auto"/>
                <w:kern w:val="0"/>
                <w:szCs w:val="21"/>
                <w:lang w:eastAsia="zh-CN"/>
              </w:rPr>
              <w:t>锅炉除尘灰及锅炉灰渣</w:t>
            </w:r>
            <w:r>
              <w:rPr>
                <w:rFonts w:hint="eastAsia" w:ascii="Times New Roman" w:hAnsi="Times New Roman" w:eastAsia="宋体" w:cs="Times New Roman"/>
                <w:color w:val="auto"/>
                <w:highlight w:val="none"/>
                <w:lang w:eastAsia="zh-CN"/>
              </w:rPr>
              <w:t>定期外售至肥料生产企业</w:t>
            </w:r>
            <w:r>
              <w:rPr>
                <w:rFonts w:hint="eastAsia" w:cs="Times New Roman" w:eastAsiaTheme="minorEastAsia"/>
                <w:color w:val="auto"/>
                <w:szCs w:val="21"/>
                <w:lang w:eastAsia="zh-CN"/>
              </w:rPr>
              <w:t>；</w:t>
            </w:r>
            <w:r>
              <w:rPr>
                <w:rFonts w:hint="eastAsia" w:ascii="Times New Roman" w:hAnsi="Times New Roman" w:cs="Times New Roman" w:eastAsiaTheme="minorEastAsia"/>
                <w:color w:val="auto"/>
                <w:kern w:val="0"/>
                <w:szCs w:val="21"/>
                <w:lang w:eastAsia="zh-CN"/>
              </w:rPr>
              <w:t>废布袋由</w:t>
            </w:r>
            <w:r>
              <w:rPr>
                <w:rFonts w:hint="eastAsia" w:ascii="Times New Roman" w:hAnsi="Times New Roman" w:eastAsia="宋体" w:cs="Times New Roman"/>
                <w:color w:val="auto"/>
                <w:highlight w:val="none"/>
                <w:lang w:val="en-US" w:eastAsia="zh-CN"/>
              </w:rPr>
              <w:t>除尘器厂家检修后直接带走</w:t>
            </w:r>
            <w:r>
              <w:rPr>
                <w:rFonts w:hint="eastAsia" w:cs="Times New Roman"/>
                <w:color w:val="auto"/>
                <w:highlight w:val="none"/>
                <w:lang w:val="en-US" w:eastAsia="zh-CN"/>
              </w:rPr>
              <w:t>；</w:t>
            </w:r>
            <w:r>
              <w:rPr>
                <w:rFonts w:hint="eastAsia" w:ascii="Times New Roman" w:hAnsi="Times New Roman" w:cs="Times New Roman" w:eastAsiaTheme="minorEastAsia"/>
                <w:color w:val="auto"/>
                <w:kern w:val="0"/>
                <w:szCs w:val="21"/>
                <w:lang w:eastAsia="zh-CN"/>
              </w:rPr>
              <w:t>废离子交换树脂</w:t>
            </w:r>
            <w:r>
              <w:rPr>
                <w:rFonts w:hint="default" w:ascii="Times New Roman" w:hAnsi="Times New Roman" w:eastAsia="宋体" w:cs="Times New Roman"/>
                <w:color w:val="auto"/>
                <w:highlight w:val="none"/>
                <w:lang w:val="en-US" w:eastAsia="zh-CN"/>
              </w:rPr>
              <w:t>由厂家上门更换，更换后立即外运，不在</w:t>
            </w:r>
            <w:r>
              <w:rPr>
                <w:rFonts w:hint="eastAsia" w:cs="Times New Roman"/>
                <w:color w:val="auto"/>
                <w:highlight w:val="none"/>
                <w:lang w:val="en-US" w:eastAsia="zh-CN"/>
              </w:rPr>
              <w:t>水</w:t>
            </w:r>
            <w:r>
              <w:rPr>
                <w:rFonts w:hint="default" w:ascii="Times New Roman" w:hAnsi="Times New Roman" w:eastAsia="宋体" w:cs="Times New Roman"/>
                <w:color w:val="auto"/>
                <w:highlight w:val="none"/>
                <w:lang w:val="en-US" w:eastAsia="zh-CN"/>
              </w:rPr>
              <w:t>房内存放，由厂家回收再生利用</w:t>
            </w:r>
            <w:r>
              <w:rPr>
                <w:rFonts w:hint="eastAsia" w:cs="Times New Roman"/>
                <w:color w:val="auto"/>
                <w:highlight w:val="none"/>
                <w:lang w:val="en-US" w:eastAsia="zh-CN"/>
              </w:rPr>
              <w:t>；</w:t>
            </w:r>
            <w:r>
              <w:rPr>
                <w:rFonts w:hint="eastAsia" w:ascii="Times New Roman" w:hAnsi="Times New Roman" w:cs="Times New Roman" w:eastAsiaTheme="minorEastAsia"/>
                <w:color w:val="auto"/>
                <w:kern w:val="0"/>
                <w:szCs w:val="21"/>
                <w:lang w:eastAsia="zh-CN"/>
              </w:rPr>
              <w:t>生活垃圾</w:t>
            </w:r>
            <w:r>
              <w:rPr>
                <w:rFonts w:hint="default" w:ascii="Times New Roman" w:hAnsi="Times New Roman" w:cs="Times New Roman" w:eastAsiaTheme="minorEastAsia"/>
                <w:color w:val="auto"/>
                <w:kern w:val="0"/>
                <w:szCs w:val="21"/>
                <w:lang w:eastAsia="zh-CN"/>
              </w:rPr>
              <w:t>集中收集后交由市政处理</w:t>
            </w:r>
            <w:r>
              <w:rPr>
                <w:rFonts w:hint="eastAsia" w:cs="Times New Roman" w:eastAsiaTheme="minorEastAsia"/>
                <w:color w:val="auto"/>
                <w:kern w:val="0"/>
                <w:szCs w:val="21"/>
                <w:lang w:eastAsia="zh-CN"/>
              </w:rPr>
              <w:t>；</w:t>
            </w:r>
            <w:r>
              <w:rPr>
                <w:rFonts w:hint="eastAsia" w:cs="Times New Roman" w:eastAsiaTheme="minorEastAsia"/>
                <w:color w:val="auto"/>
                <w:kern w:val="0"/>
                <w:szCs w:val="21"/>
                <w:lang w:val="en-US" w:eastAsia="zh-CN"/>
              </w:rPr>
              <w:t>废机油集中收集暂存至危废贮存点，定期委托有资质公司处理</w:t>
            </w:r>
            <w:r>
              <w:rPr>
                <w:rFonts w:hint="eastAsia" w:cs="Times New Roman" w:eastAsiaTheme="minorEastAsia"/>
                <w:color w:val="auto"/>
                <w:kern w:val="0"/>
                <w:szCs w:val="21"/>
                <w:lang w:eastAsia="zh-CN"/>
              </w:rPr>
              <w:t>。</w:t>
            </w:r>
          </w:p>
        </w:tc>
      </w:tr>
      <w:tr w14:paraId="2310E0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02" w:hRule="atLeast"/>
          <w:jc w:val="center"/>
        </w:trPr>
        <w:tc>
          <w:tcPr>
            <w:tcW w:w="1396" w:type="dxa"/>
            <w:noWrap w:val="0"/>
            <w:vAlign w:val="center"/>
          </w:tcPr>
          <w:p w14:paraId="055D4567">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土壤及地下水污染防治措施</w:t>
            </w:r>
          </w:p>
        </w:tc>
        <w:tc>
          <w:tcPr>
            <w:tcW w:w="7620" w:type="dxa"/>
            <w:gridSpan w:val="4"/>
            <w:noWrap w:val="0"/>
            <w:vAlign w:val="center"/>
          </w:tcPr>
          <w:p w14:paraId="2D4C1F68">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Cs w:val="21"/>
                <w:lang w:val="en-US" w:eastAsia="zh-CN"/>
              </w:rPr>
            </w:pPr>
            <w:r>
              <w:rPr>
                <w:rFonts w:hint="eastAsia" w:cs="Times New Roman"/>
                <w:color w:val="auto"/>
                <w:highlight w:val="none"/>
                <w:lang w:val="en-US" w:eastAsia="zh-CN"/>
              </w:rPr>
              <w:t>危废贮存点</w:t>
            </w:r>
            <w:r>
              <w:rPr>
                <w:rFonts w:hint="eastAsia" w:ascii="Times New Roman" w:hAnsi="Times New Roman" w:eastAsia="宋体" w:cs="Times New Roman"/>
                <w:color w:val="auto"/>
                <w:highlight w:val="none"/>
                <w:lang w:val="en-US" w:eastAsia="zh-CN"/>
              </w:rPr>
              <w:t>防渗要求按照《危险废物贮存污染控制标准》（GB18597-2023）的要求执行，为重点防渗区，基础敷设2mm厚的高密度聚乙烯防水层，上部敷设10cm厚水泥层，表面铺设防水树脂层，渗透系数≤10</w:t>
            </w:r>
            <w:r>
              <w:rPr>
                <w:rFonts w:hint="eastAsia" w:ascii="Times New Roman" w:hAnsi="Times New Roman" w:eastAsia="宋体" w:cs="Times New Roman"/>
                <w:color w:val="auto"/>
                <w:highlight w:val="none"/>
                <w:vertAlign w:val="superscript"/>
                <w:lang w:val="en-US" w:eastAsia="zh-CN"/>
              </w:rPr>
              <w:t>-10</w:t>
            </w:r>
            <w:r>
              <w:rPr>
                <w:rFonts w:hint="eastAsia" w:ascii="Times New Roman" w:hAnsi="Times New Roman" w:eastAsia="宋体" w:cs="Times New Roman"/>
                <w:color w:val="auto"/>
                <w:highlight w:val="none"/>
                <w:lang w:val="en-US" w:eastAsia="zh-CN"/>
              </w:rPr>
              <w:t>cm/s；</w:t>
            </w:r>
            <w:r>
              <w:rPr>
                <w:rFonts w:hint="eastAsia" w:cs="Times New Roman"/>
                <w:color w:val="auto"/>
                <w:highlight w:val="none"/>
                <w:lang w:val="en-US" w:eastAsia="zh-CN"/>
              </w:rPr>
              <w:t>去皮车间、速冻间、加工间、冷库、仓库、锅炉房、水房</w:t>
            </w:r>
            <w:r>
              <w:rPr>
                <w:rFonts w:hint="eastAsia"/>
                <w:color w:val="auto"/>
                <w:lang w:val="en-US" w:eastAsia="zh-CN"/>
              </w:rPr>
              <w:t>内</w:t>
            </w:r>
            <w:r>
              <w:rPr>
                <w:rFonts w:hint="eastAsia"/>
                <w:color w:val="auto"/>
              </w:rPr>
              <w:t>采用抗渗等级不低于P6级的抗渗混凝土，满足《环境影响评价技术导则 地下水环境》（HJ610-2016）表7中一般防渗区防渗技术要求（等效黏土防渗层Mb≥1.5m，渗透系数≤10</w:t>
            </w:r>
            <w:r>
              <w:rPr>
                <w:rFonts w:hint="eastAsia"/>
                <w:color w:val="auto"/>
                <w:vertAlign w:val="superscript"/>
              </w:rPr>
              <w:t>-7</w:t>
            </w:r>
            <w:r>
              <w:rPr>
                <w:rFonts w:hint="eastAsia"/>
                <w:color w:val="auto"/>
              </w:rPr>
              <w:t>cm/s）</w:t>
            </w:r>
            <w:r>
              <w:rPr>
                <w:rFonts w:hint="eastAsia"/>
                <w:color w:val="auto"/>
                <w:lang w:eastAsia="zh-CN"/>
              </w:rPr>
              <w:t>，</w:t>
            </w:r>
            <w:r>
              <w:rPr>
                <w:rFonts w:hint="eastAsia"/>
                <w:color w:val="auto"/>
                <w:lang w:val="en-US" w:eastAsia="zh-CN"/>
              </w:rPr>
              <w:t>厂区道路采用水泥地面硬化。</w:t>
            </w:r>
          </w:p>
        </w:tc>
      </w:tr>
      <w:tr w14:paraId="7F8566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07" w:hRule="atLeast"/>
          <w:jc w:val="center"/>
        </w:trPr>
        <w:tc>
          <w:tcPr>
            <w:tcW w:w="1396" w:type="dxa"/>
            <w:noWrap w:val="0"/>
            <w:vAlign w:val="center"/>
          </w:tcPr>
          <w:p w14:paraId="4162AE41">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生态保</w:t>
            </w:r>
          </w:p>
          <w:p w14:paraId="61ADE37C">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护措施</w:t>
            </w:r>
          </w:p>
        </w:tc>
        <w:tc>
          <w:tcPr>
            <w:tcW w:w="7620" w:type="dxa"/>
            <w:gridSpan w:val="4"/>
            <w:noWrap w:val="0"/>
            <w:vAlign w:val="center"/>
          </w:tcPr>
          <w:p w14:paraId="67DBEB9D">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w:t>
            </w:r>
          </w:p>
        </w:tc>
      </w:tr>
      <w:tr w14:paraId="264FCE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396" w:type="dxa"/>
            <w:noWrap w:val="0"/>
            <w:vAlign w:val="center"/>
          </w:tcPr>
          <w:p w14:paraId="1977EE3B">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pacing w:val="-8"/>
                <w:szCs w:val="21"/>
              </w:rPr>
            </w:pPr>
            <w:r>
              <w:rPr>
                <w:rFonts w:hint="default" w:ascii="Times New Roman" w:hAnsi="Times New Roman" w:cs="Times New Roman"/>
                <w:color w:val="auto"/>
                <w:spacing w:val="-8"/>
                <w:szCs w:val="21"/>
              </w:rPr>
              <w:t>环境风险</w:t>
            </w:r>
          </w:p>
          <w:p w14:paraId="108D2772">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pacing w:val="-8"/>
                <w:szCs w:val="21"/>
              </w:rPr>
            </w:pPr>
            <w:r>
              <w:rPr>
                <w:rFonts w:hint="default" w:ascii="Times New Roman" w:hAnsi="Times New Roman" w:cs="Times New Roman"/>
                <w:color w:val="auto"/>
                <w:spacing w:val="-8"/>
                <w:szCs w:val="21"/>
              </w:rPr>
              <w:t>防范措施</w:t>
            </w:r>
          </w:p>
        </w:tc>
        <w:tc>
          <w:tcPr>
            <w:tcW w:w="7620" w:type="dxa"/>
            <w:gridSpan w:val="4"/>
            <w:noWrap w:val="0"/>
            <w:vAlign w:val="center"/>
          </w:tcPr>
          <w:p w14:paraId="791C82CD">
            <w:pPr>
              <w:pStyle w:val="117"/>
              <w:keepNext w:val="0"/>
              <w:keepLines w:val="0"/>
              <w:pageBreakBefore w:val="0"/>
              <w:suppressLineNumbers w:val="0"/>
              <w:wordWrap/>
              <w:bidi w:val="0"/>
              <w:adjustRightInd w:val="0"/>
              <w:snapToGrid w:val="0"/>
              <w:spacing w:before="0" w:beforeAutospacing="0" w:after="0" w:afterAutospacing="0" w:line="360" w:lineRule="auto"/>
              <w:ind w:left="0" w:leftChars="0" w:right="0" w:firstLine="0" w:firstLineChars="0"/>
              <w:jc w:val="center"/>
              <w:rPr>
                <w:rFonts w:hint="eastAsia" w:ascii="Times New Roman" w:hAnsi="Times New Roman" w:eastAsia="宋体" w:cs="Times New Roman"/>
                <w:color w:val="auto"/>
                <w:szCs w:val="21"/>
                <w:lang w:eastAsia="zh-CN"/>
              </w:rPr>
            </w:pPr>
            <w:r>
              <w:rPr>
                <w:rFonts w:hint="eastAsia"/>
                <w:color w:val="auto"/>
                <w:kern w:val="0"/>
                <w:szCs w:val="21"/>
                <w:lang w:val="en-US" w:eastAsia="zh-CN"/>
              </w:rPr>
              <w:t>/</w:t>
            </w:r>
          </w:p>
        </w:tc>
      </w:tr>
      <w:tr w14:paraId="377CED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9" w:hRule="atLeast"/>
          <w:jc w:val="center"/>
        </w:trPr>
        <w:tc>
          <w:tcPr>
            <w:tcW w:w="1396" w:type="dxa"/>
            <w:noWrap w:val="0"/>
            <w:vAlign w:val="center"/>
          </w:tcPr>
          <w:p w14:paraId="2FFD9821">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pacing w:val="-8"/>
                <w:szCs w:val="21"/>
              </w:rPr>
            </w:pPr>
            <w:r>
              <w:rPr>
                <w:rFonts w:hint="default" w:ascii="Times New Roman" w:hAnsi="Times New Roman" w:cs="Times New Roman"/>
                <w:color w:val="auto"/>
                <w:spacing w:val="-8"/>
                <w:szCs w:val="21"/>
              </w:rPr>
              <w:t>其他环境</w:t>
            </w:r>
          </w:p>
          <w:p w14:paraId="75BB2AD6">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pacing w:val="-8"/>
                <w:szCs w:val="21"/>
              </w:rPr>
            </w:pPr>
            <w:r>
              <w:rPr>
                <w:rFonts w:hint="default" w:ascii="Times New Roman" w:hAnsi="Times New Roman" w:cs="Times New Roman"/>
                <w:color w:val="auto"/>
                <w:spacing w:val="-8"/>
                <w:szCs w:val="21"/>
              </w:rPr>
              <w:t>管理要求</w:t>
            </w:r>
          </w:p>
        </w:tc>
        <w:tc>
          <w:tcPr>
            <w:tcW w:w="7620" w:type="dxa"/>
            <w:gridSpan w:val="4"/>
            <w:noWrap w:val="0"/>
            <w:vAlign w:val="center"/>
          </w:tcPr>
          <w:p w14:paraId="4E76AABA">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Cs w:val="21"/>
              </w:rPr>
            </w:pPr>
            <w:r>
              <w:rPr>
                <w:rFonts w:hint="default" w:ascii="Times New Roman" w:hAnsi="Times New Roman" w:cs="Times New Roman"/>
                <w:bCs/>
                <w:color w:val="auto"/>
                <w:kern w:val="0"/>
                <w:szCs w:val="21"/>
                <w:highlight w:val="none"/>
                <w:lang w:val="en-US" w:eastAsia="zh-CN"/>
              </w:rPr>
              <w:t>根据《关于做好环境影响评价制度与排污许可制衔接相关工作的通知》（环办环评[2017]84号），建设项目发生实际排污行为之前，排污单位应当按照国家环境保护相关法律法规以及排污许可证申请与核发技术规范要求申请排污许可证，不得无证排污或不按证排污</w:t>
            </w:r>
            <w:r>
              <w:rPr>
                <w:rFonts w:hint="eastAsia" w:ascii="Times New Roman" w:hAnsi="Times New Roman" w:cs="Times New Roman"/>
                <w:bCs/>
                <w:color w:val="auto"/>
                <w:kern w:val="0"/>
                <w:szCs w:val="21"/>
                <w:highlight w:val="none"/>
                <w:lang w:val="en-US" w:eastAsia="zh-CN"/>
              </w:rPr>
              <w:t>。</w:t>
            </w:r>
          </w:p>
        </w:tc>
      </w:tr>
    </w:tbl>
    <w:p w14:paraId="6868D7B6">
      <w:pPr>
        <w:pStyle w:val="27"/>
        <w:spacing w:before="0" w:beforeAutospacing="0" w:after="0" w:afterAutospacing="0" w:line="360" w:lineRule="auto"/>
        <w:jc w:val="center"/>
        <w:outlineLvl w:val="0"/>
        <w:rPr>
          <w:rFonts w:ascii="Times New Roman" w:hAnsi="Times New Roman"/>
          <w:snapToGrid w:val="0"/>
          <w:color w:val="auto"/>
          <w:sz w:val="30"/>
          <w:szCs w:val="30"/>
        </w:rPr>
      </w:pPr>
      <w:r>
        <w:rPr>
          <w:rFonts w:ascii="Times New Roman" w:hAnsi="Times New Roman"/>
          <w:snapToGrid w:val="0"/>
          <w:color w:val="auto"/>
        </w:rPr>
        <w:br w:type="page"/>
      </w:r>
      <w:bookmarkStart w:id="22" w:name="_Toc14908"/>
      <w:r>
        <w:rPr>
          <w:rFonts w:ascii="Times New Roman" w:hAnsi="Times New Roman"/>
          <w:b/>
          <w:snapToGrid w:val="0"/>
          <w:color w:val="auto"/>
          <w:sz w:val="30"/>
          <w:szCs w:val="30"/>
        </w:rPr>
        <w:t>六、结论</w:t>
      </w:r>
      <w:bookmarkEnd w:id="22"/>
    </w:p>
    <w:tbl>
      <w:tblPr>
        <w:tblStyle w:val="32"/>
        <w:tblW w:w="0" w:type="auto"/>
        <w:jc w:val="center"/>
        <w:tblBorders>
          <w:top w:val="single" w:color="auto" w:sz="4" w:space="0"/>
          <w:left w:val="single" w:color="auto" w:sz="8" w:space="0"/>
          <w:bottom w:val="single" w:color="auto" w:sz="8" w:space="0"/>
          <w:right w:val="single" w:color="auto" w:sz="8" w:space="0"/>
          <w:insideH w:val="none" w:color="auto" w:sz="0" w:space="0"/>
          <w:insideV w:val="none" w:color="auto" w:sz="0" w:space="0"/>
        </w:tblBorders>
        <w:tblLayout w:type="fixed"/>
        <w:tblCellMar>
          <w:top w:w="0" w:type="dxa"/>
          <w:left w:w="108" w:type="dxa"/>
          <w:bottom w:w="0" w:type="dxa"/>
          <w:right w:w="108" w:type="dxa"/>
        </w:tblCellMar>
      </w:tblPr>
      <w:tblGrid>
        <w:gridCol w:w="8865"/>
      </w:tblGrid>
      <w:tr w14:paraId="701B6FD1">
        <w:tblPrEx>
          <w:tblBorders>
            <w:top w:val="single" w:color="auto" w:sz="4"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991" w:hRule="atLeast"/>
          <w:jc w:val="center"/>
        </w:trPr>
        <w:tc>
          <w:tcPr>
            <w:tcW w:w="8865" w:type="dxa"/>
          </w:tcPr>
          <w:p w14:paraId="06AE29A8">
            <w:pPr>
              <w:adjustRightInd w:val="0"/>
              <w:snapToGrid w:val="0"/>
              <w:spacing w:line="360" w:lineRule="auto"/>
              <w:ind w:firstLine="480" w:firstLineChars="200"/>
              <w:rPr>
                <w:color w:val="auto"/>
                <w:sz w:val="24"/>
              </w:rPr>
            </w:pPr>
            <w:r>
              <w:rPr>
                <w:color w:val="auto"/>
                <w:sz w:val="24"/>
              </w:rPr>
              <w:t>通过对建设项目的环境影响评价后认为：建设项目建设符合国家产业政策，项目选址于</w:t>
            </w:r>
            <w:r>
              <w:rPr>
                <w:rFonts w:hint="eastAsia" w:ascii="Times New Roman" w:hAnsi="Times New Roman" w:eastAsia="宋体" w:cs="Times New Roman"/>
                <w:color w:val="auto"/>
                <w:spacing w:val="4"/>
                <w:sz w:val="24"/>
                <w:highlight w:val="none"/>
                <w:lang w:val="en-US" w:eastAsia="zh-CN"/>
              </w:rPr>
              <w:t>双鸭山市尖山区安邦乡公立村</w:t>
            </w:r>
            <w:r>
              <w:rPr>
                <w:color w:val="auto"/>
                <w:sz w:val="24"/>
              </w:rPr>
              <w:t>，符合</w:t>
            </w:r>
            <w:r>
              <w:rPr>
                <w:rFonts w:hint="eastAsia"/>
                <w:color w:val="auto"/>
                <w:sz w:val="24"/>
                <w:lang w:val="en-US" w:eastAsia="zh-CN"/>
              </w:rPr>
              <w:t>当地</w:t>
            </w:r>
            <w:r>
              <w:rPr>
                <w:color w:val="auto"/>
                <w:sz w:val="24"/>
              </w:rPr>
              <w:t>用地规划要求；建设单位在认真落实本报告提出的各项环保措施与建议，对预期产生的主要污染物采取切实可行的污染治理措施，确保实现达标排放，最大限度减小对项目所在地环境质量影响的前提下，从环境保护角度论证，在拟建地址建设是可行的。</w:t>
            </w:r>
          </w:p>
          <w:p w14:paraId="29656B36">
            <w:pPr>
              <w:adjustRightInd w:val="0"/>
              <w:snapToGrid w:val="0"/>
              <w:spacing w:line="360" w:lineRule="auto"/>
              <w:ind w:firstLine="482" w:firstLineChars="200"/>
              <w:rPr>
                <w:b/>
                <w:color w:val="auto"/>
                <w:sz w:val="24"/>
              </w:rPr>
            </w:pPr>
          </w:p>
          <w:p w14:paraId="3DD019DE">
            <w:pPr>
              <w:adjustRightInd w:val="0"/>
              <w:snapToGrid w:val="0"/>
              <w:spacing w:line="360" w:lineRule="auto"/>
              <w:ind w:firstLine="482" w:firstLineChars="200"/>
              <w:rPr>
                <w:b/>
                <w:color w:val="auto"/>
                <w:sz w:val="24"/>
              </w:rPr>
            </w:pPr>
          </w:p>
          <w:p w14:paraId="31218A3D">
            <w:pPr>
              <w:adjustRightInd w:val="0"/>
              <w:snapToGrid w:val="0"/>
              <w:spacing w:line="360" w:lineRule="auto"/>
              <w:ind w:firstLine="482" w:firstLineChars="200"/>
              <w:rPr>
                <w:b/>
                <w:color w:val="auto"/>
                <w:sz w:val="24"/>
              </w:rPr>
            </w:pPr>
          </w:p>
          <w:p w14:paraId="5A317604">
            <w:pPr>
              <w:adjustRightInd w:val="0"/>
              <w:snapToGrid w:val="0"/>
              <w:spacing w:line="360" w:lineRule="auto"/>
              <w:ind w:firstLine="482" w:firstLineChars="200"/>
              <w:rPr>
                <w:b/>
                <w:color w:val="auto"/>
                <w:sz w:val="24"/>
              </w:rPr>
            </w:pPr>
          </w:p>
          <w:p w14:paraId="7314AB74">
            <w:pPr>
              <w:adjustRightInd w:val="0"/>
              <w:snapToGrid w:val="0"/>
              <w:spacing w:line="360" w:lineRule="auto"/>
              <w:ind w:firstLine="482" w:firstLineChars="200"/>
              <w:rPr>
                <w:b/>
                <w:color w:val="auto"/>
                <w:sz w:val="24"/>
              </w:rPr>
            </w:pPr>
          </w:p>
          <w:p w14:paraId="311EC07E">
            <w:pPr>
              <w:adjustRightInd w:val="0"/>
              <w:snapToGrid w:val="0"/>
              <w:spacing w:line="360" w:lineRule="auto"/>
              <w:ind w:firstLine="482" w:firstLineChars="200"/>
              <w:rPr>
                <w:b/>
                <w:color w:val="auto"/>
                <w:sz w:val="24"/>
              </w:rPr>
            </w:pPr>
          </w:p>
          <w:p w14:paraId="62969C7F">
            <w:pPr>
              <w:adjustRightInd w:val="0"/>
              <w:snapToGrid w:val="0"/>
              <w:spacing w:line="360" w:lineRule="auto"/>
              <w:ind w:firstLine="482" w:firstLineChars="200"/>
              <w:rPr>
                <w:b/>
                <w:color w:val="auto"/>
                <w:sz w:val="24"/>
              </w:rPr>
            </w:pPr>
          </w:p>
          <w:p w14:paraId="5757528C">
            <w:pPr>
              <w:adjustRightInd w:val="0"/>
              <w:snapToGrid w:val="0"/>
              <w:spacing w:line="360" w:lineRule="auto"/>
              <w:ind w:firstLine="482" w:firstLineChars="200"/>
              <w:rPr>
                <w:b/>
                <w:color w:val="auto"/>
                <w:sz w:val="24"/>
              </w:rPr>
            </w:pPr>
          </w:p>
          <w:p w14:paraId="1EAD4183">
            <w:pPr>
              <w:adjustRightInd w:val="0"/>
              <w:snapToGrid w:val="0"/>
              <w:spacing w:line="360" w:lineRule="auto"/>
              <w:ind w:firstLine="482" w:firstLineChars="200"/>
              <w:rPr>
                <w:b/>
                <w:color w:val="auto"/>
                <w:sz w:val="24"/>
              </w:rPr>
            </w:pPr>
          </w:p>
          <w:p w14:paraId="65B36164">
            <w:pPr>
              <w:adjustRightInd w:val="0"/>
              <w:snapToGrid w:val="0"/>
              <w:spacing w:line="360" w:lineRule="auto"/>
              <w:ind w:firstLine="482" w:firstLineChars="200"/>
              <w:rPr>
                <w:b/>
                <w:color w:val="auto"/>
                <w:sz w:val="24"/>
              </w:rPr>
            </w:pPr>
          </w:p>
          <w:p w14:paraId="5743B208">
            <w:pPr>
              <w:adjustRightInd w:val="0"/>
              <w:snapToGrid w:val="0"/>
              <w:spacing w:line="360" w:lineRule="auto"/>
              <w:ind w:firstLine="482" w:firstLineChars="200"/>
              <w:rPr>
                <w:b/>
                <w:color w:val="auto"/>
                <w:sz w:val="24"/>
              </w:rPr>
            </w:pPr>
          </w:p>
          <w:p w14:paraId="1925743D">
            <w:pPr>
              <w:adjustRightInd w:val="0"/>
              <w:snapToGrid w:val="0"/>
              <w:spacing w:line="360" w:lineRule="auto"/>
              <w:ind w:firstLine="482" w:firstLineChars="200"/>
              <w:rPr>
                <w:b/>
                <w:color w:val="auto"/>
                <w:sz w:val="24"/>
              </w:rPr>
            </w:pPr>
          </w:p>
          <w:p w14:paraId="7C6DC259">
            <w:pPr>
              <w:adjustRightInd w:val="0"/>
              <w:snapToGrid w:val="0"/>
              <w:spacing w:line="360" w:lineRule="auto"/>
              <w:ind w:firstLine="482" w:firstLineChars="200"/>
              <w:rPr>
                <w:b/>
                <w:color w:val="auto"/>
                <w:sz w:val="24"/>
              </w:rPr>
            </w:pPr>
          </w:p>
          <w:p w14:paraId="0E54CA22">
            <w:pPr>
              <w:adjustRightInd w:val="0"/>
              <w:snapToGrid w:val="0"/>
              <w:spacing w:line="360" w:lineRule="auto"/>
              <w:ind w:firstLine="482" w:firstLineChars="200"/>
              <w:rPr>
                <w:b/>
                <w:color w:val="auto"/>
                <w:sz w:val="24"/>
              </w:rPr>
            </w:pPr>
          </w:p>
          <w:p w14:paraId="39BE6AFB">
            <w:pPr>
              <w:adjustRightInd w:val="0"/>
              <w:snapToGrid w:val="0"/>
              <w:spacing w:line="360" w:lineRule="auto"/>
              <w:ind w:firstLine="482" w:firstLineChars="200"/>
              <w:rPr>
                <w:b/>
                <w:color w:val="auto"/>
                <w:sz w:val="24"/>
              </w:rPr>
            </w:pPr>
          </w:p>
          <w:p w14:paraId="7538A75C">
            <w:pPr>
              <w:adjustRightInd w:val="0"/>
              <w:snapToGrid w:val="0"/>
              <w:spacing w:line="360" w:lineRule="auto"/>
              <w:ind w:firstLine="480" w:firstLineChars="200"/>
              <w:rPr>
                <w:color w:val="auto"/>
                <w:sz w:val="24"/>
              </w:rPr>
            </w:pPr>
          </w:p>
        </w:tc>
      </w:tr>
    </w:tbl>
    <w:p w14:paraId="5FF543B7">
      <w:pPr>
        <w:rPr>
          <w:color w:val="auto"/>
        </w:rPr>
        <w:sectPr>
          <w:footerReference r:id="rId6" w:type="default"/>
          <w:pgSz w:w="11906" w:h="16838"/>
          <w:pgMar w:top="1701" w:right="1531" w:bottom="1701" w:left="1531" w:header="851" w:footer="964" w:gutter="0"/>
          <w:pgBorders>
            <w:top w:val="none" w:sz="0" w:space="0"/>
            <w:left w:val="none" w:sz="0" w:space="0"/>
            <w:bottom w:val="none" w:sz="0" w:space="0"/>
            <w:right w:val="none" w:sz="0" w:space="0"/>
          </w:pgBorders>
          <w:pgNumType w:fmt="decimal"/>
          <w:cols w:space="720" w:num="1"/>
          <w:docGrid w:linePitch="312" w:charSpace="0"/>
        </w:sectPr>
      </w:pPr>
    </w:p>
    <w:p w14:paraId="5A8E9A9B">
      <w:pPr>
        <w:pStyle w:val="27"/>
        <w:adjustRightInd w:val="0"/>
        <w:snapToGrid w:val="0"/>
        <w:spacing w:before="0" w:beforeAutospacing="0" w:after="0" w:afterAutospacing="0"/>
        <w:outlineLvl w:val="0"/>
        <w:rPr>
          <w:rFonts w:ascii="Times New Roman" w:hAnsi="Times New Roman"/>
          <w:snapToGrid w:val="0"/>
          <w:color w:val="auto"/>
          <w:sz w:val="32"/>
          <w:szCs w:val="32"/>
        </w:rPr>
      </w:pPr>
      <w:bookmarkStart w:id="23" w:name="_Toc16002"/>
      <w:r>
        <w:rPr>
          <w:rFonts w:ascii="Times New Roman" w:hAnsi="Times New Roman"/>
          <w:snapToGrid w:val="0"/>
          <w:color w:val="auto"/>
          <w:sz w:val="32"/>
          <w:szCs w:val="32"/>
        </w:rPr>
        <w:t>附表</w:t>
      </w:r>
      <w:bookmarkEnd w:id="23"/>
    </w:p>
    <w:p w14:paraId="497B7A51">
      <w:pPr>
        <w:jc w:val="center"/>
        <w:rPr>
          <w:snapToGrid w:val="0"/>
          <w:color w:val="auto"/>
          <w:sz w:val="32"/>
          <w:szCs w:val="32"/>
        </w:rPr>
      </w:pPr>
      <w:bookmarkStart w:id="24" w:name="_Toc6161"/>
      <w:r>
        <w:rPr>
          <w:b/>
          <w:bCs/>
          <w:snapToGrid w:val="0"/>
          <w:color w:val="auto"/>
          <w:sz w:val="32"/>
          <w:szCs w:val="32"/>
        </w:rPr>
        <w:t>建设项目污染物排放量汇总表</w:t>
      </w:r>
      <w:bookmarkEnd w:id="24"/>
    </w:p>
    <w:tbl>
      <w:tblPr>
        <w:tblStyle w:val="32"/>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1266"/>
        <w:gridCol w:w="1656"/>
        <w:gridCol w:w="1656"/>
        <w:gridCol w:w="1237"/>
        <w:gridCol w:w="1656"/>
        <w:gridCol w:w="1518"/>
        <w:gridCol w:w="1713"/>
        <w:gridCol w:w="1737"/>
        <w:gridCol w:w="1053"/>
      </w:tblGrid>
      <w:tr w14:paraId="514B6E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69" w:type="pct"/>
            <w:tcBorders>
              <w:tl2br w:val="single" w:color="auto" w:sz="4" w:space="0"/>
            </w:tcBorders>
            <w:tcMar>
              <w:left w:w="28" w:type="dxa"/>
              <w:right w:w="28" w:type="dxa"/>
            </w:tcMar>
            <w:vAlign w:val="center"/>
          </w:tcPr>
          <w:p w14:paraId="0AA09E3C">
            <w:pPr>
              <w:pStyle w:val="54"/>
              <w:spacing w:beforeLines="0" w:afterLines="0" w:line="240" w:lineRule="auto"/>
              <w:jc w:val="right"/>
              <w:rPr>
                <w:rFonts w:ascii="Times New Roman" w:cs="宋体"/>
                <w:snapToGrid w:val="0"/>
                <w:color w:val="auto"/>
                <w:spacing w:val="-6"/>
                <w:kern w:val="21"/>
                <w:szCs w:val="21"/>
              </w:rPr>
            </w:pPr>
            <w:r>
              <w:rPr>
                <w:rFonts w:hint="eastAsia" w:ascii="Times New Roman" w:cs="宋体"/>
                <w:snapToGrid w:val="0"/>
                <w:color w:val="auto"/>
                <w:spacing w:val="-6"/>
                <w:kern w:val="21"/>
                <w:szCs w:val="21"/>
              </w:rPr>
              <w:t>项目</w:t>
            </w:r>
          </w:p>
          <w:p w14:paraId="7CB30123">
            <w:pPr>
              <w:pStyle w:val="54"/>
              <w:spacing w:beforeLines="0" w:afterLines="0" w:line="240" w:lineRule="auto"/>
              <w:jc w:val="left"/>
              <w:rPr>
                <w:rFonts w:ascii="Times New Roman" w:cs="宋体"/>
                <w:snapToGrid w:val="0"/>
                <w:color w:val="auto"/>
                <w:spacing w:val="-6"/>
                <w:kern w:val="21"/>
                <w:szCs w:val="21"/>
              </w:rPr>
            </w:pPr>
            <w:r>
              <w:rPr>
                <w:rFonts w:hint="eastAsia" w:ascii="Times New Roman" w:cs="宋体"/>
                <w:snapToGrid w:val="0"/>
                <w:color w:val="auto"/>
                <w:spacing w:val="-6"/>
                <w:kern w:val="21"/>
                <w:szCs w:val="21"/>
              </w:rPr>
              <w:t>分类</w:t>
            </w:r>
          </w:p>
        </w:tc>
        <w:tc>
          <w:tcPr>
            <w:tcW w:w="613" w:type="pct"/>
            <w:tcMar>
              <w:left w:w="28" w:type="dxa"/>
              <w:right w:w="28" w:type="dxa"/>
            </w:tcMar>
            <w:vAlign w:val="center"/>
          </w:tcPr>
          <w:p w14:paraId="70622A7C">
            <w:pPr>
              <w:pStyle w:val="54"/>
              <w:spacing w:beforeLines="0" w:afterLines="0" w:line="240" w:lineRule="auto"/>
              <w:rPr>
                <w:rFonts w:ascii="Times New Roman" w:cs="宋体"/>
                <w:snapToGrid w:val="0"/>
                <w:color w:val="auto"/>
                <w:spacing w:val="-6"/>
                <w:kern w:val="21"/>
                <w:szCs w:val="21"/>
              </w:rPr>
            </w:pPr>
            <w:r>
              <w:rPr>
                <w:rFonts w:hint="eastAsia" w:ascii="Times New Roman" w:cs="宋体"/>
                <w:snapToGrid w:val="0"/>
                <w:color w:val="auto"/>
                <w:spacing w:val="-6"/>
                <w:kern w:val="21"/>
                <w:szCs w:val="21"/>
              </w:rPr>
              <w:t>污染物名称</w:t>
            </w:r>
          </w:p>
        </w:tc>
        <w:tc>
          <w:tcPr>
            <w:tcW w:w="613" w:type="pct"/>
            <w:tcMar>
              <w:left w:w="28" w:type="dxa"/>
              <w:right w:w="28" w:type="dxa"/>
            </w:tcMar>
            <w:vAlign w:val="center"/>
          </w:tcPr>
          <w:p w14:paraId="4639F520">
            <w:pPr>
              <w:pStyle w:val="54"/>
              <w:spacing w:beforeLines="0" w:afterLines="0" w:line="240" w:lineRule="auto"/>
              <w:rPr>
                <w:rFonts w:ascii="Times New Roman" w:cs="宋体"/>
                <w:snapToGrid w:val="0"/>
                <w:color w:val="auto"/>
                <w:spacing w:val="-6"/>
                <w:kern w:val="21"/>
                <w:szCs w:val="21"/>
              </w:rPr>
            </w:pPr>
            <w:r>
              <w:rPr>
                <w:rFonts w:hint="eastAsia" w:ascii="Times New Roman" w:cs="宋体"/>
                <w:snapToGrid w:val="0"/>
                <w:color w:val="auto"/>
                <w:spacing w:val="-6"/>
                <w:kern w:val="21"/>
                <w:szCs w:val="21"/>
              </w:rPr>
              <w:t>现有工程</w:t>
            </w:r>
          </w:p>
          <w:p w14:paraId="3706DE4B">
            <w:pPr>
              <w:pStyle w:val="54"/>
              <w:spacing w:beforeLines="0" w:afterLines="0" w:line="240" w:lineRule="auto"/>
              <w:rPr>
                <w:rFonts w:ascii="Times New Roman" w:cs="宋体"/>
                <w:snapToGrid w:val="0"/>
                <w:color w:val="auto"/>
                <w:spacing w:val="-6"/>
                <w:kern w:val="21"/>
                <w:szCs w:val="21"/>
              </w:rPr>
            </w:pPr>
            <w:r>
              <w:rPr>
                <w:rFonts w:hint="eastAsia" w:ascii="Times New Roman" w:cs="宋体"/>
                <w:snapToGrid w:val="0"/>
                <w:color w:val="auto"/>
                <w:spacing w:val="-6"/>
                <w:kern w:val="21"/>
                <w:szCs w:val="21"/>
              </w:rPr>
              <w:t>排放量（固体废物产生量）</w:t>
            </w:r>
            <w:r>
              <w:rPr>
                <w:rFonts w:hint="eastAsia" w:ascii="Times New Roman" w:cs="宋体"/>
                <w:snapToGrid w:val="0"/>
                <w:color w:val="auto"/>
                <w:spacing w:val="-6"/>
                <w:kern w:val="21"/>
                <w:szCs w:val="21"/>
              </w:rPr>
              <w:fldChar w:fldCharType="begin"/>
            </w:r>
            <w:r>
              <w:rPr>
                <w:rFonts w:hint="eastAsia" w:ascii="Times New Roman" w:cs="宋体"/>
                <w:snapToGrid w:val="0"/>
                <w:color w:val="auto"/>
                <w:spacing w:val="-6"/>
                <w:kern w:val="21"/>
                <w:szCs w:val="21"/>
              </w:rPr>
              <w:instrText xml:space="preserve"> = 1 \* GB3 \* MERGEFORMAT </w:instrText>
            </w:r>
            <w:r>
              <w:rPr>
                <w:rFonts w:hint="eastAsia" w:ascii="Times New Roman" w:cs="宋体"/>
                <w:snapToGrid w:val="0"/>
                <w:color w:val="auto"/>
                <w:spacing w:val="-6"/>
                <w:kern w:val="21"/>
                <w:szCs w:val="21"/>
              </w:rPr>
              <w:fldChar w:fldCharType="separate"/>
            </w:r>
            <w:r>
              <w:rPr>
                <w:rFonts w:hint="eastAsia" w:ascii="Times New Roman" w:cs="宋体"/>
                <w:color w:val="auto"/>
                <w:kern w:val="2"/>
                <w:szCs w:val="21"/>
              </w:rPr>
              <w:t>①</w:t>
            </w:r>
            <w:r>
              <w:rPr>
                <w:rFonts w:hint="eastAsia" w:ascii="Times New Roman" w:cs="宋体"/>
                <w:snapToGrid w:val="0"/>
                <w:color w:val="auto"/>
                <w:spacing w:val="-6"/>
                <w:kern w:val="21"/>
                <w:szCs w:val="21"/>
              </w:rPr>
              <w:fldChar w:fldCharType="end"/>
            </w:r>
          </w:p>
        </w:tc>
        <w:tc>
          <w:tcPr>
            <w:tcW w:w="458" w:type="pct"/>
            <w:tcMar>
              <w:left w:w="28" w:type="dxa"/>
              <w:right w:w="28" w:type="dxa"/>
            </w:tcMar>
            <w:vAlign w:val="center"/>
          </w:tcPr>
          <w:p w14:paraId="524B492B">
            <w:pPr>
              <w:pStyle w:val="54"/>
              <w:spacing w:beforeLines="0" w:afterLines="0" w:line="240" w:lineRule="auto"/>
              <w:rPr>
                <w:rFonts w:ascii="Times New Roman" w:cs="宋体"/>
                <w:snapToGrid w:val="0"/>
                <w:color w:val="auto"/>
                <w:spacing w:val="-6"/>
                <w:kern w:val="21"/>
                <w:szCs w:val="21"/>
              </w:rPr>
            </w:pPr>
            <w:r>
              <w:rPr>
                <w:rFonts w:hint="eastAsia" w:ascii="Times New Roman" w:cs="宋体"/>
                <w:snapToGrid w:val="0"/>
                <w:color w:val="auto"/>
                <w:spacing w:val="-6"/>
                <w:kern w:val="21"/>
                <w:szCs w:val="21"/>
              </w:rPr>
              <w:t>现有工程</w:t>
            </w:r>
          </w:p>
          <w:p w14:paraId="10CA71B5">
            <w:pPr>
              <w:pStyle w:val="54"/>
              <w:spacing w:beforeLines="0" w:afterLines="0" w:line="240" w:lineRule="auto"/>
              <w:rPr>
                <w:rFonts w:ascii="Times New Roman" w:cs="宋体"/>
                <w:snapToGrid w:val="0"/>
                <w:color w:val="auto"/>
                <w:spacing w:val="-6"/>
                <w:kern w:val="21"/>
                <w:szCs w:val="21"/>
              </w:rPr>
            </w:pPr>
            <w:r>
              <w:rPr>
                <w:rFonts w:hint="eastAsia" w:ascii="Times New Roman" w:cs="宋体"/>
                <w:snapToGrid w:val="0"/>
                <w:color w:val="auto"/>
                <w:spacing w:val="-6"/>
                <w:kern w:val="21"/>
                <w:szCs w:val="21"/>
              </w:rPr>
              <w:t>许可排放量</w:t>
            </w:r>
          </w:p>
          <w:p w14:paraId="6E4C0375">
            <w:pPr>
              <w:pStyle w:val="54"/>
              <w:spacing w:beforeLines="0" w:afterLines="0" w:line="240" w:lineRule="auto"/>
              <w:rPr>
                <w:rFonts w:ascii="Times New Roman" w:cs="宋体"/>
                <w:snapToGrid w:val="0"/>
                <w:color w:val="auto"/>
                <w:spacing w:val="-6"/>
                <w:kern w:val="21"/>
                <w:szCs w:val="21"/>
              </w:rPr>
            </w:pPr>
            <w:r>
              <w:rPr>
                <w:rFonts w:hint="eastAsia" w:ascii="Times New Roman" w:cs="宋体"/>
                <w:snapToGrid w:val="0"/>
                <w:color w:val="auto"/>
                <w:spacing w:val="-6"/>
                <w:kern w:val="21"/>
                <w:szCs w:val="21"/>
              </w:rPr>
              <w:fldChar w:fldCharType="begin"/>
            </w:r>
            <w:r>
              <w:rPr>
                <w:rFonts w:hint="eastAsia" w:ascii="Times New Roman" w:cs="宋体"/>
                <w:snapToGrid w:val="0"/>
                <w:color w:val="auto"/>
                <w:spacing w:val="-6"/>
                <w:kern w:val="21"/>
                <w:szCs w:val="21"/>
              </w:rPr>
              <w:instrText xml:space="preserve"> = 2 \* GB3 \* MERGEFORMAT </w:instrText>
            </w:r>
            <w:r>
              <w:rPr>
                <w:rFonts w:hint="eastAsia" w:ascii="Times New Roman" w:cs="宋体"/>
                <w:snapToGrid w:val="0"/>
                <w:color w:val="auto"/>
                <w:spacing w:val="-6"/>
                <w:kern w:val="21"/>
                <w:szCs w:val="21"/>
              </w:rPr>
              <w:fldChar w:fldCharType="separate"/>
            </w:r>
            <w:r>
              <w:rPr>
                <w:rFonts w:hint="eastAsia" w:ascii="Times New Roman" w:cs="宋体"/>
                <w:snapToGrid w:val="0"/>
                <w:color w:val="auto"/>
                <w:spacing w:val="-6"/>
                <w:kern w:val="21"/>
                <w:szCs w:val="21"/>
              </w:rPr>
              <w:t>②</w:t>
            </w:r>
            <w:r>
              <w:rPr>
                <w:rFonts w:hint="eastAsia" w:ascii="Times New Roman" w:cs="宋体"/>
                <w:snapToGrid w:val="0"/>
                <w:color w:val="auto"/>
                <w:spacing w:val="-6"/>
                <w:kern w:val="21"/>
                <w:szCs w:val="21"/>
              </w:rPr>
              <w:fldChar w:fldCharType="end"/>
            </w:r>
          </w:p>
        </w:tc>
        <w:tc>
          <w:tcPr>
            <w:tcW w:w="613" w:type="pct"/>
            <w:tcMar>
              <w:left w:w="28" w:type="dxa"/>
              <w:right w:w="28" w:type="dxa"/>
            </w:tcMar>
            <w:vAlign w:val="center"/>
          </w:tcPr>
          <w:p w14:paraId="593AE2AB">
            <w:pPr>
              <w:pStyle w:val="54"/>
              <w:spacing w:beforeLines="0" w:afterLines="0" w:line="240" w:lineRule="auto"/>
              <w:rPr>
                <w:rFonts w:ascii="Times New Roman" w:cs="宋体"/>
                <w:snapToGrid w:val="0"/>
                <w:color w:val="auto"/>
                <w:spacing w:val="-6"/>
                <w:kern w:val="21"/>
                <w:szCs w:val="21"/>
              </w:rPr>
            </w:pPr>
            <w:r>
              <w:rPr>
                <w:rFonts w:hint="eastAsia" w:ascii="Times New Roman" w:cs="宋体"/>
                <w:snapToGrid w:val="0"/>
                <w:color w:val="auto"/>
                <w:spacing w:val="-6"/>
                <w:kern w:val="21"/>
                <w:szCs w:val="21"/>
              </w:rPr>
              <w:t>在建工程</w:t>
            </w:r>
          </w:p>
          <w:p w14:paraId="69DE5679">
            <w:pPr>
              <w:pStyle w:val="54"/>
              <w:spacing w:beforeLines="0" w:afterLines="0" w:line="240" w:lineRule="auto"/>
              <w:rPr>
                <w:rFonts w:ascii="Times New Roman" w:cs="宋体"/>
                <w:snapToGrid w:val="0"/>
                <w:color w:val="auto"/>
                <w:spacing w:val="-6"/>
                <w:kern w:val="21"/>
                <w:szCs w:val="21"/>
              </w:rPr>
            </w:pPr>
            <w:r>
              <w:rPr>
                <w:rFonts w:hint="eastAsia" w:ascii="Times New Roman" w:cs="宋体"/>
                <w:snapToGrid w:val="0"/>
                <w:color w:val="auto"/>
                <w:spacing w:val="-6"/>
                <w:kern w:val="21"/>
                <w:szCs w:val="21"/>
              </w:rPr>
              <w:t>排放量（固体废物产生量）</w:t>
            </w:r>
            <w:r>
              <w:rPr>
                <w:rFonts w:hint="eastAsia" w:ascii="Times New Roman" w:cs="宋体"/>
                <w:snapToGrid w:val="0"/>
                <w:color w:val="auto"/>
                <w:spacing w:val="-6"/>
                <w:kern w:val="21"/>
                <w:szCs w:val="21"/>
              </w:rPr>
              <w:fldChar w:fldCharType="begin"/>
            </w:r>
            <w:r>
              <w:rPr>
                <w:rFonts w:hint="eastAsia" w:ascii="Times New Roman" w:cs="宋体"/>
                <w:snapToGrid w:val="0"/>
                <w:color w:val="auto"/>
                <w:spacing w:val="-6"/>
                <w:kern w:val="21"/>
                <w:szCs w:val="21"/>
              </w:rPr>
              <w:instrText xml:space="preserve"> = 3 \* GB3 \* MERGEFORMAT </w:instrText>
            </w:r>
            <w:r>
              <w:rPr>
                <w:rFonts w:hint="eastAsia" w:ascii="Times New Roman" w:cs="宋体"/>
                <w:snapToGrid w:val="0"/>
                <w:color w:val="auto"/>
                <w:spacing w:val="-6"/>
                <w:kern w:val="21"/>
                <w:szCs w:val="21"/>
              </w:rPr>
              <w:fldChar w:fldCharType="separate"/>
            </w:r>
            <w:r>
              <w:rPr>
                <w:rFonts w:hint="eastAsia" w:ascii="Times New Roman" w:cs="宋体"/>
                <w:color w:val="auto"/>
                <w:kern w:val="2"/>
                <w:szCs w:val="21"/>
              </w:rPr>
              <w:t>③</w:t>
            </w:r>
            <w:r>
              <w:rPr>
                <w:rFonts w:hint="eastAsia" w:ascii="Times New Roman" w:cs="宋体"/>
                <w:snapToGrid w:val="0"/>
                <w:color w:val="auto"/>
                <w:spacing w:val="-6"/>
                <w:kern w:val="21"/>
                <w:szCs w:val="21"/>
              </w:rPr>
              <w:fldChar w:fldCharType="end"/>
            </w:r>
          </w:p>
        </w:tc>
        <w:tc>
          <w:tcPr>
            <w:tcW w:w="562" w:type="pct"/>
            <w:tcMar>
              <w:left w:w="28" w:type="dxa"/>
              <w:right w:w="28" w:type="dxa"/>
            </w:tcMar>
            <w:vAlign w:val="center"/>
          </w:tcPr>
          <w:p w14:paraId="21611956">
            <w:pPr>
              <w:pStyle w:val="54"/>
              <w:spacing w:beforeLines="0" w:afterLines="0" w:line="240" w:lineRule="auto"/>
              <w:rPr>
                <w:rFonts w:ascii="Times New Roman" w:cs="宋体"/>
                <w:snapToGrid w:val="0"/>
                <w:color w:val="auto"/>
                <w:spacing w:val="-6"/>
                <w:kern w:val="21"/>
                <w:szCs w:val="21"/>
              </w:rPr>
            </w:pPr>
            <w:r>
              <w:rPr>
                <w:rFonts w:hint="eastAsia" w:ascii="Times New Roman" w:cs="宋体"/>
                <w:snapToGrid w:val="0"/>
                <w:color w:val="auto"/>
                <w:spacing w:val="-6"/>
                <w:kern w:val="21"/>
                <w:szCs w:val="21"/>
              </w:rPr>
              <w:t>本项目</w:t>
            </w:r>
          </w:p>
          <w:p w14:paraId="193170F1">
            <w:pPr>
              <w:pStyle w:val="54"/>
              <w:spacing w:beforeLines="0" w:afterLines="0" w:line="240" w:lineRule="auto"/>
              <w:rPr>
                <w:rFonts w:ascii="Times New Roman" w:cs="宋体"/>
                <w:snapToGrid w:val="0"/>
                <w:color w:val="auto"/>
                <w:spacing w:val="-6"/>
                <w:kern w:val="21"/>
                <w:szCs w:val="21"/>
              </w:rPr>
            </w:pPr>
            <w:r>
              <w:rPr>
                <w:rFonts w:hint="eastAsia" w:ascii="Times New Roman" w:cs="宋体"/>
                <w:snapToGrid w:val="0"/>
                <w:color w:val="auto"/>
                <w:spacing w:val="-6"/>
                <w:kern w:val="21"/>
                <w:szCs w:val="21"/>
              </w:rPr>
              <w:t>排放量（固体废物产生量）</w:t>
            </w:r>
            <w:r>
              <w:rPr>
                <w:rFonts w:hint="eastAsia" w:ascii="Times New Roman" w:cs="宋体"/>
                <w:snapToGrid w:val="0"/>
                <w:color w:val="auto"/>
                <w:spacing w:val="-6"/>
                <w:kern w:val="21"/>
                <w:szCs w:val="21"/>
              </w:rPr>
              <w:fldChar w:fldCharType="begin"/>
            </w:r>
            <w:r>
              <w:rPr>
                <w:rFonts w:hint="eastAsia" w:ascii="Times New Roman" w:cs="宋体"/>
                <w:snapToGrid w:val="0"/>
                <w:color w:val="auto"/>
                <w:spacing w:val="-6"/>
                <w:kern w:val="21"/>
                <w:szCs w:val="21"/>
              </w:rPr>
              <w:instrText xml:space="preserve"> = 4 \* GB3 \* MERGEFORMAT </w:instrText>
            </w:r>
            <w:r>
              <w:rPr>
                <w:rFonts w:hint="eastAsia" w:ascii="Times New Roman" w:cs="宋体"/>
                <w:snapToGrid w:val="0"/>
                <w:color w:val="auto"/>
                <w:spacing w:val="-6"/>
                <w:kern w:val="21"/>
                <w:szCs w:val="21"/>
              </w:rPr>
              <w:fldChar w:fldCharType="separate"/>
            </w:r>
            <w:r>
              <w:rPr>
                <w:rFonts w:hint="eastAsia" w:ascii="Times New Roman" w:cs="宋体"/>
                <w:color w:val="auto"/>
                <w:kern w:val="2"/>
                <w:szCs w:val="21"/>
              </w:rPr>
              <w:t>④</w:t>
            </w:r>
            <w:r>
              <w:rPr>
                <w:rFonts w:hint="eastAsia" w:ascii="Times New Roman" w:cs="宋体"/>
                <w:snapToGrid w:val="0"/>
                <w:color w:val="auto"/>
                <w:spacing w:val="-6"/>
                <w:kern w:val="21"/>
                <w:szCs w:val="21"/>
              </w:rPr>
              <w:fldChar w:fldCharType="end"/>
            </w:r>
          </w:p>
        </w:tc>
        <w:tc>
          <w:tcPr>
            <w:tcW w:w="634" w:type="pct"/>
            <w:tcMar>
              <w:left w:w="28" w:type="dxa"/>
              <w:right w:w="28" w:type="dxa"/>
            </w:tcMar>
            <w:vAlign w:val="center"/>
          </w:tcPr>
          <w:p w14:paraId="4AFA224D">
            <w:pPr>
              <w:pStyle w:val="54"/>
              <w:spacing w:beforeLines="0" w:afterLines="0" w:line="240" w:lineRule="auto"/>
              <w:rPr>
                <w:rFonts w:ascii="Times New Roman" w:cs="宋体"/>
                <w:snapToGrid w:val="0"/>
                <w:color w:val="auto"/>
                <w:spacing w:val="-16"/>
                <w:kern w:val="21"/>
                <w:szCs w:val="21"/>
              </w:rPr>
            </w:pPr>
            <w:r>
              <w:rPr>
                <w:rFonts w:hint="eastAsia" w:ascii="Times New Roman" w:cs="宋体"/>
                <w:snapToGrid w:val="0"/>
                <w:color w:val="auto"/>
                <w:spacing w:val="-16"/>
                <w:kern w:val="21"/>
                <w:szCs w:val="21"/>
              </w:rPr>
              <w:t>以新带老削减量</w:t>
            </w:r>
          </w:p>
          <w:p w14:paraId="17C7CD16">
            <w:pPr>
              <w:pStyle w:val="54"/>
              <w:spacing w:beforeLines="0" w:afterLines="0" w:line="240" w:lineRule="auto"/>
              <w:rPr>
                <w:rFonts w:ascii="Times New Roman" w:cs="宋体"/>
                <w:snapToGrid w:val="0"/>
                <w:color w:val="auto"/>
                <w:spacing w:val="-16"/>
                <w:kern w:val="21"/>
                <w:szCs w:val="21"/>
              </w:rPr>
            </w:pPr>
            <w:r>
              <w:rPr>
                <w:rFonts w:hint="eastAsia" w:ascii="Times New Roman" w:cs="宋体"/>
                <w:snapToGrid w:val="0"/>
                <w:color w:val="auto"/>
                <w:spacing w:val="-16"/>
                <w:kern w:val="21"/>
                <w:szCs w:val="21"/>
              </w:rPr>
              <w:t>（新建项目不填）</w:t>
            </w:r>
            <w:r>
              <w:rPr>
                <w:rFonts w:hint="eastAsia" w:ascii="Times New Roman" w:cs="宋体"/>
                <w:snapToGrid w:val="0"/>
                <w:color w:val="auto"/>
                <w:spacing w:val="-16"/>
                <w:kern w:val="21"/>
                <w:szCs w:val="21"/>
              </w:rPr>
              <w:fldChar w:fldCharType="begin"/>
            </w:r>
            <w:r>
              <w:rPr>
                <w:rFonts w:hint="eastAsia" w:ascii="Times New Roman" w:cs="宋体"/>
                <w:snapToGrid w:val="0"/>
                <w:color w:val="auto"/>
                <w:spacing w:val="-16"/>
                <w:kern w:val="21"/>
                <w:szCs w:val="21"/>
              </w:rPr>
              <w:instrText xml:space="preserve"> = 5 \* GB3 \* MERGEFORMAT </w:instrText>
            </w:r>
            <w:r>
              <w:rPr>
                <w:rFonts w:hint="eastAsia" w:ascii="Times New Roman" w:cs="宋体"/>
                <w:snapToGrid w:val="0"/>
                <w:color w:val="auto"/>
                <w:spacing w:val="-16"/>
                <w:kern w:val="21"/>
                <w:szCs w:val="21"/>
              </w:rPr>
              <w:fldChar w:fldCharType="separate"/>
            </w:r>
            <w:r>
              <w:rPr>
                <w:rFonts w:hint="eastAsia" w:ascii="Times New Roman" w:cs="宋体"/>
                <w:color w:val="auto"/>
                <w:kern w:val="2"/>
                <w:szCs w:val="21"/>
              </w:rPr>
              <w:t>⑤</w:t>
            </w:r>
            <w:r>
              <w:rPr>
                <w:rFonts w:hint="eastAsia" w:ascii="Times New Roman" w:cs="宋体"/>
                <w:snapToGrid w:val="0"/>
                <w:color w:val="auto"/>
                <w:spacing w:val="-16"/>
                <w:kern w:val="21"/>
                <w:szCs w:val="21"/>
              </w:rPr>
              <w:fldChar w:fldCharType="end"/>
            </w:r>
          </w:p>
        </w:tc>
        <w:tc>
          <w:tcPr>
            <w:tcW w:w="643" w:type="pct"/>
            <w:tcMar>
              <w:left w:w="28" w:type="dxa"/>
              <w:right w:w="28" w:type="dxa"/>
            </w:tcMar>
            <w:vAlign w:val="center"/>
          </w:tcPr>
          <w:p w14:paraId="756A3508">
            <w:pPr>
              <w:pStyle w:val="54"/>
              <w:spacing w:beforeLines="0" w:afterLines="0" w:line="240" w:lineRule="auto"/>
              <w:rPr>
                <w:rFonts w:ascii="Times New Roman" w:cs="宋体"/>
                <w:snapToGrid w:val="0"/>
                <w:color w:val="auto"/>
                <w:spacing w:val="-16"/>
                <w:kern w:val="21"/>
                <w:szCs w:val="21"/>
              </w:rPr>
            </w:pPr>
            <w:r>
              <w:rPr>
                <w:rFonts w:hint="eastAsia" w:ascii="Times New Roman" w:cs="宋体"/>
                <w:snapToGrid w:val="0"/>
                <w:color w:val="auto"/>
                <w:spacing w:val="-16"/>
                <w:kern w:val="21"/>
                <w:szCs w:val="21"/>
              </w:rPr>
              <w:t>本项目建成后全厂排放量（固体废物产生量）⑥</w:t>
            </w:r>
          </w:p>
        </w:tc>
        <w:tc>
          <w:tcPr>
            <w:tcW w:w="390" w:type="pct"/>
            <w:tcMar>
              <w:left w:w="28" w:type="dxa"/>
              <w:right w:w="28" w:type="dxa"/>
            </w:tcMar>
            <w:vAlign w:val="center"/>
          </w:tcPr>
          <w:p w14:paraId="2DF47A60">
            <w:pPr>
              <w:pStyle w:val="54"/>
              <w:spacing w:beforeLines="0" w:afterLines="0" w:line="240" w:lineRule="auto"/>
              <w:rPr>
                <w:rFonts w:ascii="Times New Roman" w:cs="宋体"/>
                <w:snapToGrid w:val="0"/>
                <w:color w:val="auto"/>
                <w:spacing w:val="-6"/>
                <w:kern w:val="21"/>
                <w:szCs w:val="21"/>
              </w:rPr>
            </w:pPr>
            <w:r>
              <w:rPr>
                <w:rFonts w:hint="eastAsia" w:ascii="Times New Roman" w:cs="宋体"/>
                <w:snapToGrid w:val="0"/>
                <w:color w:val="auto"/>
                <w:spacing w:val="-6"/>
                <w:kern w:val="21"/>
                <w:szCs w:val="21"/>
              </w:rPr>
              <w:t>变化量</w:t>
            </w:r>
          </w:p>
          <w:p w14:paraId="7CC42A08">
            <w:pPr>
              <w:pStyle w:val="54"/>
              <w:spacing w:beforeLines="0" w:afterLines="0" w:line="240" w:lineRule="auto"/>
              <w:rPr>
                <w:rFonts w:ascii="Times New Roman" w:cs="宋体"/>
                <w:snapToGrid w:val="0"/>
                <w:color w:val="auto"/>
                <w:spacing w:val="-6"/>
                <w:kern w:val="21"/>
                <w:szCs w:val="21"/>
              </w:rPr>
            </w:pPr>
            <w:r>
              <w:rPr>
                <w:rFonts w:hint="eastAsia" w:ascii="Times New Roman" w:cs="宋体"/>
                <w:snapToGrid w:val="0"/>
                <w:color w:val="auto"/>
                <w:spacing w:val="-6"/>
                <w:kern w:val="21"/>
                <w:szCs w:val="21"/>
              </w:rPr>
              <w:fldChar w:fldCharType="begin"/>
            </w:r>
            <w:r>
              <w:rPr>
                <w:rFonts w:hint="eastAsia" w:ascii="Times New Roman" w:cs="宋体"/>
                <w:snapToGrid w:val="0"/>
                <w:color w:val="auto"/>
                <w:spacing w:val="-6"/>
                <w:kern w:val="21"/>
                <w:szCs w:val="21"/>
              </w:rPr>
              <w:instrText xml:space="preserve"> = 7 \* GB3 \* MERGEFORMAT </w:instrText>
            </w:r>
            <w:r>
              <w:rPr>
                <w:rFonts w:hint="eastAsia" w:ascii="Times New Roman" w:cs="宋体"/>
                <w:snapToGrid w:val="0"/>
                <w:color w:val="auto"/>
                <w:spacing w:val="-6"/>
                <w:kern w:val="21"/>
                <w:szCs w:val="21"/>
              </w:rPr>
              <w:fldChar w:fldCharType="separate"/>
            </w:r>
            <w:r>
              <w:rPr>
                <w:rFonts w:hint="eastAsia" w:ascii="Times New Roman" w:cs="宋体"/>
                <w:color w:val="auto"/>
                <w:kern w:val="2"/>
                <w:szCs w:val="21"/>
              </w:rPr>
              <w:t>⑦</w:t>
            </w:r>
            <w:r>
              <w:rPr>
                <w:rFonts w:hint="eastAsia" w:ascii="Times New Roman" w:cs="宋体"/>
                <w:snapToGrid w:val="0"/>
                <w:color w:val="auto"/>
                <w:spacing w:val="-6"/>
                <w:kern w:val="21"/>
                <w:szCs w:val="21"/>
              </w:rPr>
              <w:fldChar w:fldCharType="end"/>
            </w:r>
          </w:p>
        </w:tc>
      </w:tr>
      <w:tr w14:paraId="1A71C9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69" w:type="pct"/>
            <w:vMerge w:val="restart"/>
            <w:vAlign w:val="center"/>
          </w:tcPr>
          <w:p w14:paraId="098E1291">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废气</w:t>
            </w:r>
          </w:p>
        </w:tc>
        <w:tc>
          <w:tcPr>
            <w:tcW w:w="613" w:type="pct"/>
            <w:vAlign w:val="center"/>
          </w:tcPr>
          <w:p w14:paraId="18C39273">
            <w:pPr>
              <w:pStyle w:val="54"/>
              <w:spacing w:beforeLines="0" w:afterLines="0" w:line="240" w:lineRule="auto"/>
              <w:rPr>
                <w:rFonts w:hint="eastAsia" w:ascii="Times New Roman" w:eastAsia="宋体" w:cs="宋体"/>
                <w:snapToGrid w:val="0"/>
                <w:color w:val="auto"/>
                <w:kern w:val="21"/>
                <w:szCs w:val="21"/>
                <w:lang w:eastAsia="zh-CN"/>
              </w:rPr>
            </w:pPr>
            <w:r>
              <w:rPr>
                <w:rFonts w:hint="eastAsia" w:ascii="Times New Roman" w:cs="宋体"/>
                <w:snapToGrid w:val="0"/>
                <w:color w:val="auto"/>
                <w:kern w:val="21"/>
                <w:szCs w:val="21"/>
                <w:lang w:eastAsia="zh-CN"/>
              </w:rPr>
              <w:t>颗粒物</w:t>
            </w:r>
          </w:p>
        </w:tc>
        <w:tc>
          <w:tcPr>
            <w:tcW w:w="613" w:type="pct"/>
            <w:vAlign w:val="center"/>
          </w:tcPr>
          <w:p w14:paraId="267584E4">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458" w:type="pct"/>
            <w:vAlign w:val="center"/>
          </w:tcPr>
          <w:p w14:paraId="1DC8A74F">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613" w:type="pct"/>
            <w:vAlign w:val="center"/>
          </w:tcPr>
          <w:p w14:paraId="40AE1ED0">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1518" w:type="dxa"/>
            <w:vAlign w:val="center"/>
          </w:tcPr>
          <w:p w14:paraId="1B810377">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0.066t/a</w:t>
            </w:r>
          </w:p>
        </w:tc>
        <w:tc>
          <w:tcPr>
            <w:tcW w:w="634" w:type="pct"/>
            <w:vAlign w:val="center"/>
          </w:tcPr>
          <w:p w14:paraId="5E5BC7FC">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1737" w:type="dxa"/>
            <w:vAlign w:val="center"/>
          </w:tcPr>
          <w:p w14:paraId="3B1CC868">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宋体"/>
                <w:snapToGrid w:val="0"/>
                <w:color w:val="auto"/>
                <w:kern w:val="21"/>
                <w:sz w:val="21"/>
                <w:szCs w:val="21"/>
                <w:lang w:val="en-US" w:eastAsia="zh-CN" w:bidi="ar-SA"/>
              </w:rPr>
            </w:pPr>
            <w:r>
              <w:rPr>
                <w:rFonts w:hint="eastAsia" w:ascii="Times New Roman" w:hAnsi="Times New Roman" w:eastAsia="宋体" w:cs="Times New Roman"/>
                <w:b w:val="0"/>
                <w:bCs w:val="0"/>
                <w:color w:val="auto"/>
                <w:szCs w:val="21"/>
                <w:highlight w:val="none"/>
                <w:lang w:val="en-US" w:eastAsia="zh-CN"/>
              </w:rPr>
              <w:t>0.066t/a</w:t>
            </w:r>
          </w:p>
        </w:tc>
        <w:tc>
          <w:tcPr>
            <w:tcW w:w="1053" w:type="dxa"/>
            <w:vAlign w:val="center"/>
          </w:tcPr>
          <w:p w14:paraId="281456F4">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宋体"/>
                <w:snapToGrid w:val="0"/>
                <w:color w:val="auto"/>
                <w:kern w:val="21"/>
                <w:sz w:val="21"/>
                <w:szCs w:val="21"/>
                <w:lang w:val="en-US" w:eastAsia="zh-CN" w:bidi="ar-SA"/>
              </w:rPr>
            </w:pPr>
            <w:r>
              <w:rPr>
                <w:rFonts w:hint="eastAsia" w:ascii="Times New Roman" w:hAnsi="Times New Roman" w:eastAsia="宋体" w:cs="Times New Roman"/>
                <w:b w:val="0"/>
                <w:bCs w:val="0"/>
                <w:color w:val="auto"/>
                <w:szCs w:val="21"/>
                <w:highlight w:val="none"/>
                <w:lang w:val="en-US" w:eastAsia="zh-CN"/>
              </w:rPr>
              <w:t>0.066t/a</w:t>
            </w:r>
          </w:p>
        </w:tc>
      </w:tr>
      <w:tr w14:paraId="085B8D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69" w:type="pct"/>
            <w:vMerge w:val="continue"/>
            <w:vAlign w:val="center"/>
          </w:tcPr>
          <w:p w14:paraId="76F23A4C">
            <w:pPr>
              <w:pStyle w:val="54"/>
              <w:spacing w:beforeLines="0" w:afterLines="0" w:line="240" w:lineRule="auto"/>
              <w:rPr>
                <w:rFonts w:ascii="Times New Roman" w:cs="宋体"/>
                <w:snapToGrid w:val="0"/>
                <w:color w:val="auto"/>
                <w:kern w:val="21"/>
                <w:szCs w:val="21"/>
              </w:rPr>
            </w:pPr>
          </w:p>
        </w:tc>
        <w:tc>
          <w:tcPr>
            <w:tcW w:w="613" w:type="pct"/>
            <w:vAlign w:val="center"/>
          </w:tcPr>
          <w:p w14:paraId="1C65F601">
            <w:pPr>
              <w:pStyle w:val="54"/>
              <w:spacing w:beforeLines="0" w:afterLines="0" w:line="240" w:lineRule="auto"/>
              <w:rPr>
                <w:rFonts w:hint="default" w:ascii="Times New Roman" w:eastAsia="宋体" w:cs="宋体"/>
                <w:snapToGrid w:val="0"/>
                <w:color w:val="auto"/>
                <w:kern w:val="21"/>
                <w:szCs w:val="21"/>
                <w:lang w:val="en-US" w:eastAsia="zh-CN"/>
              </w:rPr>
            </w:pPr>
            <w:r>
              <w:rPr>
                <w:rFonts w:hint="eastAsia" w:ascii="Times New Roman" w:cs="宋体"/>
                <w:snapToGrid w:val="0"/>
                <w:color w:val="auto"/>
                <w:kern w:val="21"/>
                <w:szCs w:val="21"/>
                <w:lang w:val="en-US" w:eastAsia="zh-CN"/>
              </w:rPr>
              <w:t>SO</w:t>
            </w:r>
            <w:r>
              <w:rPr>
                <w:rFonts w:hint="eastAsia" w:ascii="Times New Roman" w:cs="宋体"/>
                <w:snapToGrid w:val="0"/>
                <w:color w:val="auto"/>
                <w:kern w:val="21"/>
                <w:szCs w:val="21"/>
                <w:vertAlign w:val="subscript"/>
                <w:lang w:val="en-US" w:eastAsia="zh-CN"/>
              </w:rPr>
              <w:t>2</w:t>
            </w:r>
          </w:p>
        </w:tc>
        <w:tc>
          <w:tcPr>
            <w:tcW w:w="613" w:type="pct"/>
            <w:vAlign w:val="center"/>
          </w:tcPr>
          <w:p w14:paraId="3D896AFA">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458" w:type="pct"/>
            <w:vAlign w:val="center"/>
          </w:tcPr>
          <w:p w14:paraId="522A9C2E">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613" w:type="pct"/>
            <w:vAlign w:val="center"/>
          </w:tcPr>
          <w:p w14:paraId="0AF26AD6">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1518" w:type="dxa"/>
            <w:vAlign w:val="center"/>
          </w:tcPr>
          <w:p w14:paraId="13BC811E">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0.126t/a</w:t>
            </w:r>
          </w:p>
        </w:tc>
        <w:tc>
          <w:tcPr>
            <w:tcW w:w="634" w:type="pct"/>
            <w:vAlign w:val="center"/>
          </w:tcPr>
          <w:p w14:paraId="69BDD0BC">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1737" w:type="dxa"/>
            <w:vAlign w:val="center"/>
          </w:tcPr>
          <w:p w14:paraId="4FAAACA6">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宋体"/>
                <w:snapToGrid w:val="0"/>
                <w:color w:val="auto"/>
                <w:kern w:val="21"/>
                <w:sz w:val="21"/>
                <w:szCs w:val="21"/>
                <w:lang w:val="en-US" w:eastAsia="zh-CN" w:bidi="ar-SA"/>
              </w:rPr>
            </w:pPr>
            <w:r>
              <w:rPr>
                <w:rFonts w:hint="eastAsia" w:ascii="Times New Roman" w:hAnsi="Times New Roman" w:eastAsia="宋体" w:cs="Times New Roman"/>
                <w:b w:val="0"/>
                <w:bCs w:val="0"/>
                <w:color w:val="auto"/>
                <w:szCs w:val="21"/>
                <w:highlight w:val="none"/>
                <w:lang w:val="en-US" w:eastAsia="zh-CN"/>
              </w:rPr>
              <w:t>0.126t/a</w:t>
            </w:r>
          </w:p>
        </w:tc>
        <w:tc>
          <w:tcPr>
            <w:tcW w:w="1053" w:type="dxa"/>
            <w:vAlign w:val="center"/>
          </w:tcPr>
          <w:p w14:paraId="3253E8B2">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宋体"/>
                <w:snapToGrid w:val="0"/>
                <w:color w:val="auto"/>
                <w:kern w:val="21"/>
                <w:sz w:val="21"/>
                <w:szCs w:val="21"/>
                <w:lang w:val="en-US" w:eastAsia="zh-CN" w:bidi="ar-SA"/>
              </w:rPr>
            </w:pPr>
            <w:r>
              <w:rPr>
                <w:rFonts w:hint="eastAsia" w:ascii="Times New Roman" w:hAnsi="Times New Roman" w:eastAsia="宋体" w:cs="Times New Roman"/>
                <w:b w:val="0"/>
                <w:bCs w:val="0"/>
                <w:color w:val="auto"/>
                <w:szCs w:val="21"/>
                <w:highlight w:val="none"/>
                <w:lang w:val="en-US" w:eastAsia="zh-CN"/>
              </w:rPr>
              <w:t>0.126t/a</w:t>
            </w:r>
          </w:p>
        </w:tc>
      </w:tr>
      <w:tr w14:paraId="4C4B85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69" w:type="pct"/>
            <w:vMerge w:val="continue"/>
            <w:vAlign w:val="center"/>
          </w:tcPr>
          <w:p w14:paraId="700DD19A">
            <w:pPr>
              <w:pStyle w:val="54"/>
              <w:spacing w:beforeLines="0" w:afterLines="0" w:line="240" w:lineRule="auto"/>
              <w:rPr>
                <w:rFonts w:ascii="Times New Roman" w:cs="宋体"/>
                <w:snapToGrid w:val="0"/>
                <w:color w:val="auto"/>
                <w:kern w:val="21"/>
                <w:szCs w:val="21"/>
              </w:rPr>
            </w:pPr>
          </w:p>
        </w:tc>
        <w:tc>
          <w:tcPr>
            <w:tcW w:w="613" w:type="pct"/>
            <w:vAlign w:val="center"/>
          </w:tcPr>
          <w:p w14:paraId="082C5961">
            <w:pPr>
              <w:pStyle w:val="54"/>
              <w:spacing w:beforeLines="0" w:afterLines="0" w:line="240" w:lineRule="auto"/>
              <w:rPr>
                <w:rFonts w:hint="default" w:ascii="Times New Roman" w:cs="宋体"/>
                <w:snapToGrid w:val="0"/>
                <w:color w:val="auto"/>
                <w:kern w:val="21"/>
                <w:szCs w:val="21"/>
                <w:lang w:val="en-US" w:eastAsia="zh-CN"/>
              </w:rPr>
            </w:pPr>
            <w:r>
              <w:rPr>
                <w:rFonts w:hint="eastAsia" w:ascii="Times New Roman" w:cs="宋体"/>
                <w:snapToGrid w:val="0"/>
                <w:color w:val="auto"/>
                <w:kern w:val="21"/>
                <w:szCs w:val="21"/>
                <w:lang w:val="en-US" w:eastAsia="zh-CN"/>
              </w:rPr>
              <w:t>NOx</w:t>
            </w:r>
          </w:p>
        </w:tc>
        <w:tc>
          <w:tcPr>
            <w:tcW w:w="613" w:type="pct"/>
            <w:vAlign w:val="center"/>
          </w:tcPr>
          <w:p w14:paraId="500468A9">
            <w:pPr>
              <w:pStyle w:val="54"/>
              <w:spacing w:beforeLines="0" w:afterLines="0" w:line="240" w:lineRule="auto"/>
              <w:rPr>
                <w:rFonts w:hint="eastAsia" w:ascii="Times New Roman" w:eastAsia="宋体" w:cs="宋体"/>
                <w:snapToGrid w:val="0"/>
                <w:color w:val="auto"/>
                <w:kern w:val="21"/>
                <w:szCs w:val="21"/>
                <w:lang w:val="en-US" w:eastAsia="zh-CN"/>
              </w:rPr>
            </w:pPr>
            <w:r>
              <w:rPr>
                <w:rFonts w:hint="eastAsia" w:ascii="Times New Roman" w:cs="宋体"/>
                <w:snapToGrid w:val="0"/>
                <w:color w:val="auto"/>
                <w:kern w:val="21"/>
                <w:szCs w:val="21"/>
                <w:lang w:val="en-US" w:eastAsia="zh-CN"/>
              </w:rPr>
              <w:t>/</w:t>
            </w:r>
          </w:p>
        </w:tc>
        <w:tc>
          <w:tcPr>
            <w:tcW w:w="458" w:type="pct"/>
            <w:vAlign w:val="center"/>
          </w:tcPr>
          <w:p w14:paraId="2A8C3A8A">
            <w:pPr>
              <w:pStyle w:val="54"/>
              <w:spacing w:beforeLines="0" w:afterLines="0" w:line="240" w:lineRule="auto"/>
              <w:rPr>
                <w:rFonts w:hint="eastAsia" w:ascii="Times New Roman" w:eastAsia="宋体" w:cs="宋体"/>
                <w:snapToGrid w:val="0"/>
                <w:color w:val="auto"/>
                <w:kern w:val="21"/>
                <w:szCs w:val="21"/>
                <w:lang w:val="en-US" w:eastAsia="zh-CN"/>
              </w:rPr>
            </w:pPr>
            <w:r>
              <w:rPr>
                <w:rFonts w:hint="eastAsia" w:ascii="Times New Roman" w:cs="宋体"/>
                <w:snapToGrid w:val="0"/>
                <w:color w:val="auto"/>
                <w:kern w:val="21"/>
                <w:szCs w:val="21"/>
                <w:lang w:val="en-US" w:eastAsia="zh-CN"/>
              </w:rPr>
              <w:t>/</w:t>
            </w:r>
          </w:p>
        </w:tc>
        <w:tc>
          <w:tcPr>
            <w:tcW w:w="613" w:type="pct"/>
            <w:vAlign w:val="center"/>
          </w:tcPr>
          <w:p w14:paraId="7B59FDCB">
            <w:pPr>
              <w:pStyle w:val="54"/>
              <w:spacing w:beforeLines="0" w:afterLines="0" w:line="240" w:lineRule="auto"/>
              <w:rPr>
                <w:rFonts w:hint="eastAsia" w:ascii="Times New Roman" w:eastAsia="宋体" w:cs="宋体"/>
                <w:snapToGrid w:val="0"/>
                <w:color w:val="auto"/>
                <w:kern w:val="21"/>
                <w:szCs w:val="21"/>
                <w:lang w:val="en-US" w:eastAsia="zh-CN"/>
              </w:rPr>
            </w:pPr>
            <w:r>
              <w:rPr>
                <w:rFonts w:hint="eastAsia" w:ascii="Times New Roman" w:cs="宋体"/>
                <w:snapToGrid w:val="0"/>
                <w:color w:val="auto"/>
                <w:kern w:val="21"/>
                <w:szCs w:val="21"/>
                <w:lang w:val="en-US" w:eastAsia="zh-CN"/>
              </w:rPr>
              <w:t>/</w:t>
            </w:r>
          </w:p>
        </w:tc>
        <w:tc>
          <w:tcPr>
            <w:tcW w:w="1518" w:type="dxa"/>
            <w:vAlign w:val="center"/>
          </w:tcPr>
          <w:p w14:paraId="4BE24350">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0.173t/a</w:t>
            </w:r>
          </w:p>
        </w:tc>
        <w:tc>
          <w:tcPr>
            <w:tcW w:w="634" w:type="pct"/>
            <w:vAlign w:val="center"/>
          </w:tcPr>
          <w:p w14:paraId="5C647A8B">
            <w:pPr>
              <w:pStyle w:val="54"/>
              <w:spacing w:beforeLines="0" w:afterLines="0" w:line="240" w:lineRule="auto"/>
              <w:rPr>
                <w:rFonts w:hint="eastAsia" w:ascii="Times New Roman" w:eastAsia="宋体" w:cs="宋体"/>
                <w:snapToGrid w:val="0"/>
                <w:color w:val="auto"/>
                <w:kern w:val="21"/>
                <w:szCs w:val="21"/>
                <w:lang w:val="en-US" w:eastAsia="zh-CN"/>
              </w:rPr>
            </w:pPr>
            <w:r>
              <w:rPr>
                <w:rFonts w:hint="eastAsia" w:ascii="Times New Roman" w:cs="宋体"/>
                <w:snapToGrid w:val="0"/>
                <w:color w:val="auto"/>
                <w:kern w:val="21"/>
                <w:szCs w:val="21"/>
                <w:lang w:val="en-US" w:eastAsia="zh-CN"/>
              </w:rPr>
              <w:t>/</w:t>
            </w:r>
          </w:p>
        </w:tc>
        <w:tc>
          <w:tcPr>
            <w:tcW w:w="1737" w:type="dxa"/>
            <w:vAlign w:val="center"/>
          </w:tcPr>
          <w:p w14:paraId="5FF8D4B0">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宋体"/>
                <w:snapToGrid w:val="0"/>
                <w:color w:val="auto"/>
                <w:kern w:val="21"/>
                <w:sz w:val="21"/>
                <w:szCs w:val="21"/>
                <w:lang w:val="en-US" w:eastAsia="zh-CN" w:bidi="ar-SA"/>
              </w:rPr>
            </w:pPr>
            <w:r>
              <w:rPr>
                <w:rFonts w:hint="eastAsia" w:ascii="Times New Roman" w:hAnsi="Times New Roman" w:eastAsia="宋体" w:cs="Times New Roman"/>
                <w:b w:val="0"/>
                <w:bCs w:val="0"/>
                <w:color w:val="auto"/>
                <w:szCs w:val="21"/>
                <w:highlight w:val="none"/>
                <w:lang w:val="en-US" w:eastAsia="zh-CN"/>
              </w:rPr>
              <w:t>0.</w:t>
            </w:r>
            <w:r>
              <w:rPr>
                <w:rFonts w:hint="eastAsia" w:cs="Times New Roman"/>
                <w:b w:val="0"/>
                <w:bCs w:val="0"/>
                <w:color w:val="auto"/>
                <w:szCs w:val="21"/>
                <w:highlight w:val="none"/>
                <w:lang w:val="en-US" w:eastAsia="zh-CN"/>
              </w:rPr>
              <w:t>173</w:t>
            </w:r>
            <w:r>
              <w:rPr>
                <w:rFonts w:hint="eastAsia" w:ascii="Times New Roman" w:hAnsi="Times New Roman" w:eastAsia="宋体" w:cs="Times New Roman"/>
                <w:b w:val="0"/>
                <w:bCs w:val="0"/>
                <w:color w:val="auto"/>
                <w:szCs w:val="21"/>
                <w:highlight w:val="none"/>
                <w:lang w:val="en-US" w:eastAsia="zh-CN"/>
              </w:rPr>
              <w:t>t/a</w:t>
            </w:r>
          </w:p>
        </w:tc>
        <w:tc>
          <w:tcPr>
            <w:tcW w:w="1053" w:type="dxa"/>
            <w:vAlign w:val="center"/>
          </w:tcPr>
          <w:p w14:paraId="519A2921">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宋体"/>
                <w:snapToGrid w:val="0"/>
                <w:color w:val="auto"/>
                <w:kern w:val="21"/>
                <w:sz w:val="21"/>
                <w:szCs w:val="21"/>
                <w:lang w:val="en-US" w:eastAsia="zh-CN" w:bidi="ar-SA"/>
              </w:rPr>
            </w:pPr>
            <w:r>
              <w:rPr>
                <w:rFonts w:hint="eastAsia" w:ascii="Times New Roman" w:hAnsi="Times New Roman" w:eastAsia="宋体" w:cs="Times New Roman"/>
                <w:b w:val="0"/>
                <w:bCs w:val="0"/>
                <w:color w:val="auto"/>
                <w:szCs w:val="21"/>
                <w:highlight w:val="none"/>
                <w:lang w:val="en-US" w:eastAsia="zh-CN"/>
              </w:rPr>
              <w:t>0.</w:t>
            </w:r>
            <w:r>
              <w:rPr>
                <w:rFonts w:hint="eastAsia" w:cs="Times New Roman"/>
                <w:b w:val="0"/>
                <w:bCs w:val="0"/>
                <w:color w:val="auto"/>
                <w:szCs w:val="21"/>
                <w:highlight w:val="none"/>
                <w:lang w:val="en-US" w:eastAsia="zh-CN"/>
              </w:rPr>
              <w:t>173</w:t>
            </w:r>
            <w:r>
              <w:rPr>
                <w:rFonts w:hint="eastAsia" w:ascii="Times New Roman" w:hAnsi="Times New Roman" w:eastAsia="宋体" w:cs="Times New Roman"/>
                <w:b w:val="0"/>
                <w:bCs w:val="0"/>
                <w:color w:val="auto"/>
                <w:szCs w:val="21"/>
                <w:highlight w:val="none"/>
                <w:lang w:val="en-US" w:eastAsia="zh-CN"/>
              </w:rPr>
              <w:t>t/a</w:t>
            </w:r>
          </w:p>
        </w:tc>
      </w:tr>
      <w:tr w14:paraId="544FB8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69" w:type="pct"/>
            <w:vMerge w:val="restart"/>
            <w:vAlign w:val="center"/>
          </w:tcPr>
          <w:p w14:paraId="1D75D746">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废水</w:t>
            </w:r>
          </w:p>
        </w:tc>
        <w:tc>
          <w:tcPr>
            <w:tcW w:w="613" w:type="pct"/>
            <w:shd w:val="clear" w:color="auto" w:fill="auto"/>
            <w:vAlign w:val="center"/>
          </w:tcPr>
          <w:p w14:paraId="6C4D8A53">
            <w:pPr>
              <w:jc w:val="center"/>
              <w:rPr>
                <w:rFonts w:ascii="Times New Roman" w:hAnsi="Times New Roman" w:eastAsia="宋体" w:cs="宋体"/>
                <w:color w:val="auto"/>
                <w:kern w:val="2"/>
                <w:sz w:val="21"/>
                <w:szCs w:val="21"/>
                <w:lang w:val="en-US" w:eastAsia="zh-CN" w:bidi="ar-SA"/>
              </w:rPr>
            </w:pPr>
            <w:r>
              <w:rPr>
                <w:rFonts w:hint="eastAsia"/>
                <w:color w:val="auto"/>
                <w:szCs w:val="21"/>
              </w:rPr>
              <w:t>COD</w:t>
            </w:r>
          </w:p>
        </w:tc>
        <w:tc>
          <w:tcPr>
            <w:tcW w:w="613" w:type="pct"/>
            <w:vAlign w:val="center"/>
          </w:tcPr>
          <w:p w14:paraId="59071B02">
            <w:pPr>
              <w:pStyle w:val="54"/>
              <w:spacing w:beforeLines="0" w:afterLines="0" w:line="240" w:lineRule="auto"/>
              <w:rPr>
                <w:rFonts w:ascii="Times New Roman" w:cs="宋体"/>
                <w:snapToGrid w:val="0"/>
                <w:color w:val="auto"/>
                <w:kern w:val="21"/>
                <w:szCs w:val="21"/>
              </w:rPr>
            </w:pPr>
            <w:r>
              <w:rPr>
                <w:rFonts w:ascii="Times New Roman" w:cs="宋体"/>
                <w:snapToGrid w:val="0"/>
                <w:color w:val="auto"/>
                <w:kern w:val="21"/>
                <w:szCs w:val="21"/>
              </w:rPr>
              <w:t>/</w:t>
            </w:r>
          </w:p>
        </w:tc>
        <w:tc>
          <w:tcPr>
            <w:tcW w:w="458" w:type="pct"/>
            <w:vAlign w:val="center"/>
          </w:tcPr>
          <w:p w14:paraId="04B06846">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613" w:type="pct"/>
            <w:vAlign w:val="center"/>
          </w:tcPr>
          <w:p w14:paraId="27E7B5AA">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1518" w:type="dxa"/>
            <w:vAlign w:val="center"/>
          </w:tcPr>
          <w:p w14:paraId="7440C383">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0.756t/a</w:t>
            </w:r>
          </w:p>
        </w:tc>
        <w:tc>
          <w:tcPr>
            <w:tcW w:w="634" w:type="pct"/>
            <w:vAlign w:val="center"/>
          </w:tcPr>
          <w:p w14:paraId="148B9171">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1737" w:type="dxa"/>
            <w:vAlign w:val="center"/>
          </w:tcPr>
          <w:p w14:paraId="14D24845">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b w:val="0"/>
                <w:bCs w:val="0"/>
                <w:color w:val="auto"/>
                <w:szCs w:val="21"/>
                <w:highlight w:val="none"/>
                <w:lang w:val="en-US" w:eastAsia="zh-CN"/>
              </w:rPr>
              <w:t>0.756t/a</w:t>
            </w:r>
          </w:p>
        </w:tc>
        <w:tc>
          <w:tcPr>
            <w:tcW w:w="1053" w:type="dxa"/>
            <w:vAlign w:val="center"/>
          </w:tcPr>
          <w:p w14:paraId="74F3622A">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b w:val="0"/>
                <w:bCs w:val="0"/>
                <w:color w:val="auto"/>
                <w:szCs w:val="21"/>
                <w:highlight w:val="none"/>
                <w:lang w:val="en-US" w:eastAsia="zh-CN"/>
              </w:rPr>
              <w:t>0.756t/a</w:t>
            </w:r>
          </w:p>
        </w:tc>
      </w:tr>
      <w:tr w14:paraId="245948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69" w:type="pct"/>
            <w:vMerge w:val="continue"/>
            <w:vAlign w:val="center"/>
          </w:tcPr>
          <w:p w14:paraId="51B7CBCC">
            <w:pPr>
              <w:pStyle w:val="54"/>
              <w:spacing w:beforeLines="0" w:afterLines="0" w:line="240" w:lineRule="auto"/>
              <w:rPr>
                <w:rFonts w:ascii="Times New Roman" w:cs="宋体"/>
                <w:snapToGrid w:val="0"/>
                <w:color w:val="auto"/>
                <w:kern w:val="21"/>
                <w:szCs w:val="21"/>
              </w:rPr>
            </w:pPr>
          </w:p>
        </w:tc>
        <w:tc>
          <w:tcPr>
            <w:tcW w:w="613" w:type="pct"/>
            <w:shd w:val="clear" w:color="auto" w:fill="auto"/>
            <w:vAlign w:val="center"/>
          </w:tcPr>
          <w:p w14:paraId="4D6E4CA7">
            <w:pPr>
              <w:jc w:val="center"/>
              <w:rPr>
                <w:rFonts w:ascii="Times New Roman" w:hAnsi="Times New Roman" w:eastAsia="宋体" w:cs="宋体"/>
                <w:color w:val="auto"/>
                <w:kern w:val="2"/>
                <w:sz w:val="21"/>
                <w:szCs w:val="21"/>
                <w:lang w:val="en-US" w:eastAsia="zh-CN" w:bidi="ar-SA"/>
              </w:rPr>
            </w:pPr>
            <w:r>
              <w:rPr>
                <w:rFonts w:hint="eastAsia"/>
                <w:color w:val="auto"/>
                <w:szCs w:val="21"/>
              </w:rPr>
              <w:t>氨氮</w:t>
            </w:r>
          </w:p>
        </w:tc>
        <w:tc>
          <w:tcPr>
            <w:tcW w:w="613" w:type="pct"/>
            <w:vAlign w:val="center"/>
          </w:tcPr>
          <w:p w14:paraId="2CD2BE8C">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458" w:type="pct"/>
            <w:vAlign w:val="center"/>
          </w:tcPr>
          <w:p w14:paraId="2796D1A4">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613" w:type="pct"/>
            <w:vAlign w:val="center"/>
          </w:tcPr>
          <w:p w14:paraId="1313A56C">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1518" w:type="dxa"/>
            <w:vAlign w:val="center"/>
          </w:tcPr>
          <w:p w14:paraId="0490D5D3">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0.065t/a</w:t>
            </w:r>
          </w:p>
        </w:tc>
        <w:tc>
          <w:tcPr>
            <w:tcW w:w="634" w:type="pct"/>
            <w:vAlign w:val="center"/>
          </w:tcPr>
          <w:p w14:paraId="2D139643">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1737" w:type="dxa"/>
            <w:vAlign w:val="center"/>
          </w:tcPr>
          <w:p w14:paraId="25B1E782">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b w:val="0"/>
                <w:bCs w:val="0"/>
                <w:color w:val="auto"/>
                <w:szCs w:val="21"/>
                <w:highlight w:val="none"/>
                <w:lang w:val="en-US" w:eastAsia="zh-CN"/>
              </w:rPr>
              <w:t>0.065t/a</w:t>
            </w:r>
          </w:p>
        </w:tc>
        <w:tc>
          <w:tcPr>
            <w:tcW w:w="1053" w:type="dxa"/>
            <w:vAlign w:val="center"/>
          </w:tcPr>
          <w:p w14:paraId="27FA2324">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b w:val="0"/>
                <w:bCs w:val="0"/>
                <w:color w:val="auto"/>
                <w:szCs w:val="21"/>
                <w:highlight w:val="none"/>
                <w:lang w:val="en-US" w:eastAsia="zh-CN"/>
              </w:rPr>
              <w:t>0.065t/a</w:t>
            </w:r>
          </w:p>
        </w:tc>
      </w:tr>
      <w:tr w14:paraId="1F5E3E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5" w:hRule="atLeast"/>
        </w:trPr>
        <w:tc>
          <w:tcPr>
            <w:tcW w:w="469" w:type="pct"/>
            <w:vMerge w:val="restart"/>
            <w:vAlign w:val="center"/>
          </w:tcPr>
          <w:p w14:paraId="31C8100D">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一般工业</w:t>
            </w:r>
          </w:p>
          <w:p w14:paraId="6E7B6877">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固体废物</w:t>
            </w:r>
          </w:p>
        </w:tc>
        <w:tc>
          <w:tcPr>
            <w:tcW w:w="613" w:type="pct"/>
            <w:vAlign w:val="center"/>
          </w:tcPr>
          <w:p w14:paraId="0E733172">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color w:val="auto"/>
                <w:szCs w:val="21"/>
                <w:lang w:eastAsia="zh-CN"/>
              </w:rPr>
            </w:pPr>
            <w:r>
              <w:rPr>
                <w:rFonts w:hint="eastAsia" w:cs="Times New Roman"/>
                <w:color w:val="auto"/>
                <w:kern w:val="0"/>
                <w:sz w:val="21"/>
                <w:szCs w:val="21"/>
                <w:highlight w:val="none"/>
                <w:lang w:val="en-US" w:eastAsia="zh-CN" w:bidi="ar-SA"/>
              </w:rPr>
              <w:t>工艺废料</w:t>
            </w:r>
          </w:p>
        </w:tc>
        <w:tc>
          <w:tcPr>
            <w:tcW w:w="613" w:type="pct"/>
            <w:vAlign w:val="center"/>
          </w:tcPr>
          <w:p w14:paraId="3B62678F">
            <w:pPr>
              <w:widowControl/>
              <w:adjustRightInd w:val="0"/>
              <w:snapToGrid w:val="0"/>
              <w:jc w:val="center"/>
              <w:rPr>
                <w:rFonts w:cs="宋体"/>
                <w:color w:val="auto"/>
                <w:kern w:val="0"/>
                <w:szCs w:val="21"/>
              </w:rPr>
            </w:pPr>
            <w:r>
              <w:rPr>
                <w:rFonts w:hint="eastAsia" w:cs="宋体"/>
                <w:color w:val="auto"/>
                <w:kern w:val="0"/>
                <w:szCs w:val="21"/>
              </w:rPr>
              <w:t>/</w:t>
            </w:r>
          </w:p>
        </w:tc>
        <w:tc>
          <w:tcPr>
            <w:tcW w:w="458" w:type="pct"/>
            <w:vAlign w:val="center"/>
          </w:tcPr>
          <w:p w14:paraId="769BCF9A">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613" w:type="pct"/>
            <w:vAlign w:val="center"/>
          </w:tcPr>
          <w:p w14:paraId="289E9071">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1518" w:type="dxa"/>
            <w:vAlign w:val="center"/>
          </w:tcPr>
          <w:p w14:paraId="4099CBDC">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eastAsia="宋体" w:cs="宋体"/>
                <w:color w:val="auto"/>
                <w:szCs w:val="21"/>
                <w:lang w:val="en-US" w:eastAsia="zh-CN"/>
              </w:rPr>
            </w:pPr>
            <w:r>
              <w:rPr>
                <w:rFonts w:hint="eastAsia"/>
                <w:b w:val="0"/>
                <w:bCs w:val="0"/>
                <w:color w:val="auto"/>
                <w:szCs w:val="21"/>
                <w:highlight w:val="none"/>
                <w:lang w:val="en-US" w:eastAsia="zh-CN"/>
              </w:rPr>
              <w:t>148.38</w:t>
            </w:r>
            <w:r>
              <w:rPr>
                <w:rFonts w:hint="eastAsia" w:eastAsia="仿宋" w:cs="Times New Roman"/>
                <w:color w:val="auto"/>
                <w:kern w:val="0"/>
                <w:szCs w:val="21"/>
                <w:lang w:val="en-US" w:eastAsia="zh-CN"/>
              </w:rPr>
              <w:t>t/a</w:t>
            </w:r>
          </w:p>
        </w:tc>
        <w:tc>
          <w:tcPr>
            <w:tcW w:w="634" w:type="pct"/>
            <w:vAlign w:val="center"/>
          </w:tcPr>
          <w:p w14:paraId="5A2AB76B">
            <w:pPr>
              <w:widowControl/>
              <w:adjustRightInd w:val="0"/>
              <w:snapToGrid w:val="0"/>
              <w:jc w:val="center"/>
              <w:rPr>
                <w:rFonts w:cs="宋体"/>
                <w:color w:val="auto"/>
                <w:kern w:val="0"/>
                <w:szCs w:val="21"/>
              </w:rPr>
            </w:pPr>
            <w:r>
              <w:rPr>
                <w:rFonts w:hint="eastAsia" w:cs="宋体"/>
                <w:color w:val="auto"/>
                <w:kern w:val="0"/>
                <w:szCs w:val="21"/>
              </w:rPr>
              <w:t>/</w:t>
            </w:r>
          </w:p>
        </w:tc>
        <w:tc>
          <w:tcPr>
            <w:tcW w:w="1737" w:type="dxa"/>
            <w:vAlign w:val="center"/>
          </w:tcPr>
          <w:p w14:paraId="73C26C33">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宋体"/>
                <w:color w:val="auto"/>
                <w:kern w:val="2"/>
                <w:sz w:val="21"/>
                <w:szCs w:val="21"/>
                <w:lang w:val="en-US" w:eastAsia="zh-CN" w:bidi="ar-SA"/>
              </w:rPr>
            </w:pPr>
            <w:r>
              <w:rPr>
                <w:rFonts w:hint="eastAsia"/>
                <w:b w:val="0"/>
                <w:bCs w:val="0"/>
                <w:color w:val="auto"/>
                <w:szCs w:val="21"/>
                <w:highlight w:val="none"/>
                <w:lang w:val="en-US" w:eastAsia="zh-CN"/>
              </w:rPr>
              <w:t>148.38</w:t>
            </w:r>
            <w:r>
              <w:rPr>
                <w:rFonts w:hint="eastAsia" w:eastAsia="仿宋" w:cs="Times New Roman"/>
                <w:color w:val="auto"/>
                <w:kern w:val="0"/>
                <w:szCs w:val="21"/>
                <w:lang w:val="en-US" w:eastAsia="zh-CN"/>
              </w:rPr>
              <w:t>t/a</w:t>
            </w:r>
          </w:p>
        </w:tc>
        <w:tc>
          <w:tcPr>
            <w:tcW w:w="1053" w:type="dxa"/>
            <w:vAlign w:val="center"/>
          </w:tcPr>
          <w:p w14:paraId="57CE6090">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宋体"/>
                <w:color w:val="auto"/>
                <w:kern w:val="2"/>
                <w:sz w:val="21"/>
                <w:szCs w:val="21"/>
                <w:lang w:val="en-US" w:eastAsia="zh-CN" w:bidi="ar-SA"/>
              </w:rPr>
            </w:pPr>
            <w:r>
              <w:rPr>
                <w:rFonts w:hint="eastAsia"/>
                <w:b w:val="0"/>
                <w:bCs w:val="0"/>
                <w:color w:val="auto"/>
                <w:szCs w:val="21"/>
                <w:highlight w:val="none"/>
                <w:lang w:val="en-US" w:eastAsia="zh-CN"/>
              </w:rPr>
              <w:t>148.38</w:t>
            </w:r>
            <w:r>
              <w:rPr>
                <w:rFonts w:hint="eastAsia" w:eastAsia="仿宋" w:cs="Times New Roman"/>
                <w:color w:val="auto"/>
                <w:kern w:val="0"/>
                <w:szCs w:val="21"/>
                <w:lang w:val="en-US" w:eastAsia="zh-CN"/>
              </w:rPr>
              <w:t>t/a</w:t>
            </w:r>
          </w:p>
        </w:tc>
      </w:tr>
      <w:tr w14:paraId="697961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69" w:type="pct"/>
            <w:vMerge w:val="continue"/>
            <w:vAlign w:val="center"/>
          </w:tcPr>
          <w:p w14:paraId="45D85354">
            <w:pPr>
              <w:pStyle w:val="54"/>
              <w:spacing w:beforeLines="0" w:afterLines="0" w:line="240" w:lineRule="auto"/>
              <w:rPr>
                <w:rFonts w:ascii="Times New Roman" w:cs="宋体"/>
                <w:snapToGrid w:val="0"/>
                <w:color w:val="auto"/>
                <w:kern w:val="21"/>
                <w:szCs w:val="21"/>
              </w:rPr>
            </w:pPr>
          </w:p>
        </w:tc>
        <w:tc>
          <w:tcPr>
            <w:tcW w:w="613" w:type="pct"/>
            <w:vAlign w:val="center"/>
          </w:tcPr>
          <w:p w14:paraId="7BA614E2">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color w:val="auto"/>
                <w:szCs w:val="21"/>
                <w:lang w:eastAsia="zh-CN"/>
              </w:rPr>
            </w:pPr>
            <w:r>
              <w:rPr>
                <w:rFonts w:hint="eastAsia" w:cs="Times New Roman"/>
                <w:color w:val="auto"/>
                <w:kern w:val="0"/>
                <w:sz w:val="21"/>
                <w:szCs w:val="21"/>
                <w:highlight w:val="none"/>
                <w:lang w:val="en-US" w:eastAsia="zh-CN" w:bidi="ar-SA"/>
              </w:rPr>
              <w:t>不合格产品</w:t>
            </w:r>
          </w:p>
        </w:tc>
        <w:tc>
          <w:tcPr>
            <w:tcW w:w="613" w:type="pct"/>
            <w:vAlign w:val="center"/>
          </w:tcPr>
          <w:p w14:paraId="21DED115">
            <w:pPr>
              <w:widowControl/>
              <w:adjustRightInd w:val="0"/>
              <w:snapToGrid w:val="0"/>
              <w:jc w:val="center"/>
              <w:rPr>
                <w:rFonts w:cs="宋体"/>
                <w:color w:val="auto"/>
                <w:kern w:val="0"/>
                <w:szCs w:val="21"/>
              </w:rPr>
            </w:pPr>
            <w:r>
              <w:rPr>
                <w:rFonts w:hint="eastAsia" w:cs="宋体"/>
                <w:color w:val="auto"/>
                <w:kern w:val="0"/>
                <w:szCs w:val="21"/>
              </w:rPr>
              <w:t>/</w:t>
            </w:r>
          </w:p>
        </w:tc>
        <w:tc>
          <w:tcPr>
            <w:tcW w:w="458" w:type="pct"/>
            <w:vAlign w:val="center"/>
          </w:tcPr>
          <w:p w14:paraId="58572EC7">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613" w:type="pct"/>
            <w:vAlign w:val="center"/>
          </w:tcPr>
          <w:p w14:paraId="12D247A1">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1518" w:type="dxa"/>
            <w:vAlign w:val="center"/>
          </w:tcPr>
          <w:p w14:paraId="206EF022">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12.5t/a</w:t>
            </w:r>
          </w:p>
        </w:tc>
        <w:tc>
          <w:tcPr>
            <w:tcW w:w="634" w:type="pct"/>
            <w:vAlign w:val="center"/>
          </w:tcPr>
          <w:p w14:paraId="3D0BB5E5">
            <w:pPr>
              <w:widowControl/>
              <w:adjustRightInd w:val="0"/>
              <w:snapToGrid w:val="0"/>
              <w:jc w:val="center"/>
              <w:rPr>
                <w:rFonts w:cs="宋体"/>
                <w:color w:val="auto"/>
                <w:kern w:val="0"/>
                <w:szCs w:val="21"/>
              </w:rPr>
            </w:pPr>
            <w:r>
              <w:rPr>
                <w:rFonts w:hint="eastAsia" w:cs="宋体"/>
                <w:color w:val="auto"/>
                <w:kern w:val="0"/>
                <w:szCs w:val="21"/>
              </w:rPr>
              <w:t>/</w:t>
            </w:r>
          </w:p>
        </w:tc>
        <w:tc>
          <w:tcPr>
            <w:tcW w:w="1737" w:type="dxa"/>
            <w:vAlign w:val="center"/>
          </w:tcPr>
          <w:p w14:paraId="244DB486">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Times New Roman"/>
                <w:b w:val="0"/>
                <w:bCs w:val="0"/>
                <w:color w:val="auto"/>
                <w:szCs w:val="21"/>
                <w:highlight w:val="none"/>
                <w:lang w:val="en-US" w:eastAsia="zh-CN"/>
              </w:rPr>
              <w:t>12.5t/a</w:t>
            </w:r>
          </w:p>
        </w:tc>
        <w:tc>
          <w:tcPr>
            <w:tcW w:w="1053" w:type="dxa"/>
            <w:vAlign w:val="center"/>
          </w:tcPr>
          <w:p w14:paraId="4CED82F9">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Times New Roman"/>
                <w:b w:val="0"/>
                <w:bCs w:val="0"/>
                <w:color w:val="auto"/>
                <w:szCs w:val="21"/>
                <w:highlight w:val="none"/>
                <w:lang w:val="en-US" w:eastAsia="zh-CN"/>
              </w:rPr>
              <w:t>12.5t/a</w:t>
            </w:r>
          </w:p>
        </w:tc>
      </w:tr>
      <w:tr w14:paraId="1D34AB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69" w:type="pct"/>
            <w:vMerge w:val="continue"/>
            <w:vAlign w:val="center"/>
          </w:tcPr>
          <w:p w14:paraId="09DEEDA3">
            <w:pPr>
              <w:pStyle w:val="54"/>
              <w:spacing w:before="31" w:after="31"/>
              <w:rPr>
                <w:rFonts w:ascii="Times New Roman" w:cs="宋体"/>
                <w:snapToGrid w:val="0"/>
                <w:color w:val="auto"/>
                <w:kern w:val="21"/>
                <w:szCs w:val="21"/>
              </w:rPr>
            </w:pPr>
          </w:p>
        </w:tc>
        <w:tc>
          <w:tcPr>
            <w:tcW w:w="613" w:type="pct"/>
            <w:vAlign w:val="center"/>
          </w:tcPr>
          <w:p w14:paraId="6E37A540">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color w:val="auto"/>
                <w:szCs w:val="21"/>
                <w:lang w:eastAsia="zh-CN"/>
              </w:rPr>
            </w:pPr>
            <w:r>
              <w:rPr>
                <w:rFonts w:hint="eastAsia" w:ascii="Times New Roman" w:hAnsi="Times New Roman" w:eastAsia="宋体" w:cs="Times New Roman"/>
                <w:color w:val="auto"/>
                <w:kern w:val="0"/>
                <w:sz w:val="21"/>
                <w:szCs w:val="21"/>
                <w:highlight w:val="none"/>
                <w:lang w:val="en-US" w:eastAsia="zh-CN" w:bidi="ar-SA"/>
              </w:rPr>
              <w:t>锅炉除尘灰和锅炉灰渣</w:t>
            </w:r>
          </w:p>
        </w:tc>
        <w:tc>
          <w:tcPr>
            <w:tcW w:w="613" w:type="pct"/>
            <w:vAlign w:val="center"/>
          </w:tcPr>
          <w:p w14:paraId="6975137D">
            <w:pPr>
              <w:widowControl/>
              <w:adjustRightInd w:val="0"/>
              <w:snapToGrid w:val="0"/>
              <w:jc w:val="center"/>
              <w:rPr>
                <w:rFonts w:cs="宋体"/>
                <w:color w:val="auto"/>
                <w:kern w:val="0"/>
                <w:szCs w:val="21"/>
              </w:rPr>
            </w:pPr>
            <w:r>
              <w:rPr>
                <w:rFonts w:hint="eastAsia" w:cs="宋体"/>
                <w:color w:val="auto"/>
                <w:kern w:val="0"/>
                <w:szCs w:val="21"/>
              </w:rPr>
              <w:t>/</w:t>
            </w:r>
          </w:p>
        </w:tc>
        <w:tc>
          <w:tcPr>
            <w:tcW w:w="458" w:type="pct"/>
            <w:vAlign w:val="center"/>
          </w:tcPr>
          <w:p w14:paraId="0EE4BC82">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613" w:type="pct"/>
            <w:vAlign w:val="center"/>
          </w:tcPr>
          <w:p w14:paraId="4BA7BDD6">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1518" w:type="dxa"/>
            <w:vAlign w:val="center"/>
          </w:tcPr>
          <w:p w14:paraId="268727A7">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15.004</w:t>
            </w:r>
            <w:r>
              <w:rPr>
                <w:rFonts w:hint="eastAsia" w:ascii="Times New Roman" w:hAnsi="Times New Roman" w:eastAsia="宋体" w:cs="Times New Roman"/>
                <w:b w:val="0"/>
                <w:bCs w:val="0"/>
                <w:color w:val="auto"/>
                <w:szCs w:val="21"/>
                <w:highlight w:val="none"/>
                <w:lang w:val="en-US" w:eastAsia="zh-CN"/>
              </w:rPr>
              <w:t>t/a</w:t>
            </w:r>
          </w:p>
        </w:tc>
        <w:tc>
          <w:tcPr>
            <w:tcW w:w="634" w:type="pct"/>
            <w:vAlign w:val="center"/>
          </w:tcPr>
          <w:p w14:paraId="236D1B07">
            <w:pPr>
              <w:widowControl/>
              <w:adjustRightInd w:val="0"/>
              <w:snapToGrid w:val="0"/>
              <w:jc w:val="center"/>
              <w:rPr>
                <w:rFonts w:cs="宋体"/>
                <w:color w:val="auto"/>
                <w:kern w:val="0"/>
                <w:szCs w:val="21"/>
              </w:rPr>
            </w:pPr>
            <w:r>
              <w:rPr>
                <w:rFonts w:hint="eastAsia" w:cs="宋体"/>
                <w:color w:val="auto"/>
                <w:kern w:val="0"/>
                <w:szCs w:val="21"/>
              </w:rPr>
              <w:t>/</w:t>
            </w:r>
          </w:p>
        </w:tc>
        <w:tc>
          <w:tcPr>
            <w:tcW w:w="1737" w:type="dxa"/>
            <w:vAlign w:val="center"/>
          </w:tcPr>
          <w:p w14:paraId="71CD5875">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宋体"/>
                <w:snapToGrid w:val="0"/>
                <w:color w:val="auto"/>
                <w:kern w:val="21"/>
                <w:sz w:val="21"/>
                <w:szCs w:val="21"/>
                <w:lang w:val="en-US" w:eastAsia="zh-CN" w:bidi="ar-SA"/>
              </w:rPr>
            </w:pPr>
            <w:r>
              <w:rPr>
                <w:rFonts w:hint="default" w:ascii="Times New Roman" w:hAnsi="Times New Roman" w:eastAsia="宋体" w:cs="Times New Roman"/>
                <w:b w:val="0"/>
                <w:bCs w:val="0"/>
                <w:color w:val="auto"/>
                <w:szCs w:val="21"/>
                <w:highlight w:val="none"/>
                <w:lang w:val="en-US" w:eastAsia="zh-CN"/>
              </w:rPr>
              <w:t>15.004</w:t>
            </w:r>
            <w:r>
              <w:rPr>
                <w:rFonts w:hint="eastAsia" w:ascii="Times New Roman" w:hAnsi="Times New Roman" w:eastAsia="宋体" w:cs="Times New Roman"/>
                <w:b w:val="0"/>
                <w:bCs w:val="0"/>
                <w:color w:val="auto"/>
                <w:szCs w:val="21"/>
                <w:highlight w:val="none"/>
                <w:lang w:val="en-US" w:eastAsia="zh-CN"/>
              </w:rPr>
              <w:t>t/a</w:t>
            </w:r>
          </w:p>
        </w:tc>
        <w:tc>
          <w:tcPr>
            <w:tcW w:w="1053" w:type="dxa"/>
            <w:vAlign w:val="center"/>
          </w:tcPr>
          <w:p w14:paraId="5060F77E">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宋体"/>
                <w:snapToGrid w:val="0"/>
                <w:color w:val="auto"/>
                <w:kern w:val="21"/>
                <w:sz w:val="21"/>
                <w:szCs w:val="21"/>
                <w:lang w:val="en-US" w:eastAsia="zh-CN" w:bidi="ar-SA"/>
              </w:rPr>
            </w:pPr>
            <w:r>
              <w:rPr>
                <w:rFonts w:hint="default" w:ascii="Times New Roman" w:hAnsi="Times New Roman" w:eastAsia="宋体" w:cs="Times New Roman"/>
                <w:b w:val="0"/>
                <w:bCs w:val="0"/>
                <w:color w:val="auto"/>
                <w:szCs w:val="21"/>
                <w:highlight w:val="none"/>
                <w:lang w:val="en-US" w:eastAsia="zh-CN"/>
              </w:rPr>
              <w:t>15.004</w:t>
            </w:r>
            <w:r>
              <w:rPr>
                <w:rFonts w:hint="eastAsia" w:ascii="Times New Roman" w:hAnsi="Times New Roman" w:eastAsia="宋体" w:cs="Times New Roman"/>
                <w:b w:val="0"/>
                <w:bCs w:val="0"/>
                <w:color w:val="auto"/>
                <w:szCs w:val="21"/>
                <w:highlight w:val="none"/>
                <w:lang w:val="en-US" w:eastAsia="zh-CN"/>
              </w:rPr>
              <w:t>t/a</w:t>
            </w:r>
          </w:p>
        </w:tc>
      </w:tr>
      <w:tr w14:paraId="32F6C3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69" w:type="pct"/>
            <w:vMerge w:val="continue"/>
            <w:vAlign w:val="center"/>
          </w:tcPr>
          <w:p w14:paraId="34103052">
            <w:pPr>
              <w:pStyle w:val="54"/>
              <w:spacing w:before="31" w:after="31"/>
              <w:rPr>
                <w:rFonts w:ascii="Times New Roman" w:cs="宋体"/>
                <w:snapToGrid w:val="0"/>
                <w:color w:val="auto"/>
                <w:kern w:val="21"/>
                <w:szCs w:val="21"/>
              </w:rPr>
            </w:pPr>
          </w:p>
        </w:tc>
        <w:tc>
          <w:tcPr>
            <w:tcW w:w="613" w:type="pct"/>
            <w:vAlign w:val="center"/>
          </w:tcPr>
          <w:p w14:paraId="4E6AA94D">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color w:val="auto"/>
                <w:szCs w:val="21"/>
                <w:lang w:eastAsia="zh-CN"/>
              </w:rPr>
            </w:pPr>
            <w:r>
              <w:rPr>
                <w:rFonts w:hint="eastAsia" w:ascii="Times New Roman" w:hAnsi="Times New Roman" w:eastAsia="宋体" w:cs="Times New Roman"/>
                <w:color w:val="auto"/>
                <w:kern w:val="0"/>
                <w:sz w:val="21"/>
                <w:szCs w:val="21"/>
                <w:highlight w:val="none"/>
                <w:lang w:val="en-US" w:eastAsia="zh-CN" w:bidi="ar-SA"/>
              </w:rPr>
              <w:t>废布袋</w:t>
            </w:r>
          </w:p>
        </w:tc>
        <w:tc>
          <w:tcPr>
            <w:tcW w:w="613" w:type="pct"/>
            <w:vAlign w:val="center"/>
          </w:tcPr>
          <w:p w14:paraId="5C5FA192">
            <w:pPr>
              <w:widowControl/>
              <w:adjustRightInd w:val="0"/>
              <w:snapToGrid w:val="0"/>
              <w:jc w:val="center"/>
              <w:rPr>
                <w:rFonts w:cs="宋体"/>
                <w:color w:val="auto"/>
                <w:kern w:val="0"/>
                <w:szCs w:val="21"/>
              </w:rPr>
            </w:pPr>
            <w:r>
              <w:rPr>
                <w:rFonts w:hint="eastAsia" w:cs="宋体"/>
                <w:color w:val="auto"/>
                <w:kern w:val="0"/>
                <w:szCs w:val="21"/>
              </w:rPr>
              <w:t>/</w:t>
            </w:r>
          </w:p>
        </w:tc>
        <w:tc>
          <w:tcPr>
            <w:tcW w:w="458" w:type="pct"/>
            <w:vAlign w:val="center"/>
          </w:tcPr>
          <w:p w14:paraId="43CC110E">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613" w:type="pct"/>
            <w:vAlign w:val="center"/>
          </w:tcPr>
          <w:p w14:paraId="544D95D1">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1518" w:type="dxa"/>
            <w:vAlign w:val="center"/>
          </w:tcPr>
          <w:p w14:paraId="09086D45">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宋体"/>
                <w:snapToGrid w:val="0"/>
                <w:color w:val="auto"/>
                <w:kern w:val="21"/>
                <w:sz w:val="21"/>
                <w:szCs w:val="21"/>
                <w:lang w:val="en-US" w:eastAsia="zh-CN" w:bidi="ar-SA"/>
              </w:rPr>
            </w:pPr>
            <w:r>
              <w:rPr>
                <w:rFonts w:hint="eastAsia"/>
                <w:b w:val="0"/>
                <w:bCs w:val="0"/>
                <w:color w:val="auto"/>
                <w:szCs w:val="21"/>
                <w:highlight w:val="none"/>
                <w:lang w:val="en-US" w:eastAsia="zh-CN"/>
              </w:rPr>
              <w:t>0.02t/2a</w:t>
            </w:r>
          </w:p>
        </w:tc>
        <w:tc>
          <w:tcPr>
            <w:tcW w:w="634" w:type="pct"/>
            <w:vAlign w:val="center"/>
          </w:tcPr>
          <w:p w14:paraId="5AA1C409">
            <w:pPr>
              <w:widowControl/>
              <w:adjustRightInd w:val="0"/>
              <w:snapToGrid w:val="0"/>
              <w:jc w:val="center"/>
              <w:rPr>
                <w:rFonts w:cs="宋体"/>
                <w:color w:val="auto"/>
                <w:kern w:val="0"/>
                <w:szCs w:val="21"/>
              </w:rPr>
            </w:pPr>
            <w:r>
              <w:rPr>
                <w:rFonts w:hint="eastAsia" w:cs="宋体"/>
                <w:color w:val="auto"/>
                <w:kern w:val="0"/>
                <w:szCs w:val="21"/>
              </w:rPr>
              <w:t>/</w:t>
            </w:r>
          </w:p>
        </w:tc>
        <w:tc>
          <w:tcPr>
            <w:tcW w:w="1737" w:type="dxa"/>
            <w:vAlign w:val="center"/>
          </w:tcPr>
          <w:p w14:paraId="09BC1276">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宋体"/>
                <w:snapToGrid w:val="0"/>
                <w:color w:val="auto"/>
                <w:kern w:val="21"/>
                <w:sz w:val="21"/>
                <w:szCs w:val="21"/>
                <w:lang w:val="en-US" w:eastAsia="zh-CN" w:bidi="ar-SA"/>
              </w:rPr>
            </w:pPr>
            <w:r>
              <w:rPr>
                <w:rFonts w:hint="eastAsia"/>
                <w:b w:val="0"/>
                <w:bCs w:val="0"/>
                <w:color w:val="auto"/>
                <w:szCs w:val="21"/>
                <w:highlight w:val="none"/>
                <w:lang w:val="en-US" w:eastAsia="zh-CN"/>
              </w:rPr>
              <w:t>0.02t/2a</w:t>
            </w:r>
          </w:p>
        </w:tc>
        <w:tc>
          <w:tcPr>
            <w:tcW w:w="1053" w:type="dxa"/>
            <w:vAlign w:val="center"/>
          </w:tcPr>
          <w:p w14:paraId="14CAEEB4">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宋体"/>
                <w:snapToGrid w:val="0"/>
                <w:color w:val="auto"/>
                <w:kern w:val="21"/>
                <w:sz w:val="21"/>
                <w:szCs w:val="21"/>
                <w:lang w:val="en-US" w:eastAsia="zh-CN" w:bidi="ar-SA"/>
              </w:rPr>
            </w:pPr>
            <w:r>
              <w:rPr>
                <w:rFonts w:hint="eastAsia"/>
                <w:b w:val="0"/>
                <w:bCs w:val="0"/>
                <w:color w:val="auto"/>
                <w:szCs w:val="21"/>
                <w:highlight w:val="none"/>
                <w:lang w:val="en-US" w:eastAsia="zh-CN"/>
              </w:rPr>
              <w:t>0.02t/2a</w:t>
            </w:r>
          </w:p>
        </w:tc>
      </w:tr>
      <w:tr w14:paraId="2C533D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69" w:type="pct"/>
            <w:vMerge w:val="continue"/>
            <w:vAlign w:val="center"/>
          </w:tcPr>
          <w:p w14:paraId="7CE58B8D">
            <w:pPr>
              <w:pStyle w:val="54"/>
              <w:spacing w:before="31" w:after="31"/>
              <w:rPr>
                <w:rFonts w:ascii="Times New Roman" w:cs="宋体"/>
                <w:snapToGrid w:val="0"/>
                <w:color w:val="auto"/>
                <w:kern w:val="21"/>
                <w:szCs w:val="21"/>
              </w:rPr>
            </w:pPr>
          </w:p>
        </w:tc>
        <w:tc>
          <w:tcPr>
            <w:tcW w:w="613" w:type="pct"/>
            <w:vAlign w:val="center"/>
          </w:tcPr>
          <w:p w14:paraId="421AC20D">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color w:val="auto"/>
                <w:szCs w:val="21"/>
                <w:lang w:eastAsia="zh-CN"/>
              </w:rPr>
            </w:pPr>
            <w:r>
              <w:rPr>
                <w:rFonts w:hint="default" w:ascii="Times New Roman" w:hAnsi="Times New Roman" w:eastAsia="宋体" w:cs="Times New Roman"/>
                <w:color w:val="auto"/>
                <w:highlight w:val="none"/>
                <w:lang w:val="en-US" w:eastAsia="zh-CN"/>
              </w:rPr>
              <w:t>废离子交换树脂</w:t>
            </w:r>
          </w:p>
        </w:tc>
        <w:tc>
          <w:tcPr>
            <w:tcW w:w="613" w:type="pct"/>
            <w:vAlign w:val="center"/>
          </w:tcPr>
          <w:p w14:paraId="47819051">
            <w:pPr>
              <w:widowControl/>
              <w:adjustRightInd w:val="0"/>
              <w:snapToGrid w:val="0"/>
              <w:jc w:val="center"/>
              <w:rPr>
                <w:rFonts w:cs="宋体"/>
                <w:color w:val="auto"/>
                <w:kern w:val="0"/>
                <w:szCs w:val="21"/>
              </w:rPr>
            </w:pPr>
            <w:r>
              <w:rPr>
                <w:rFonts w:cs="宋体"/>
                <w:color w:val="auto"/>
                <w:kern w:val="0"/>
                <w:szCs w:val="21"/>
              </w:rPr>
              <w:t>/</w:t>
            </w:r>
          </w:p>
        </w:tc>
        <w:tc>
          <w:tcPr>
            <w:tcW w:w="458" w:type="pct"/>
            <w:vAlign w:val="center"/>
          </w:tcPr>
          <w:p w14:paraId="41C112B4">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613" w:type="pct"/>
            <w:vAlign w:val="center"/>
          </w:tcPr>
          <w:p w14:paraId="2EDD0C59">
            <w:pPr>
              <w:pStyle w:val="54"/>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1518" w:type="dxa"/>
            <w:vAlign w:val="center"/>
          </w:tcPr>
          <w:p w14:paraId="3E087443">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宋体"/>
                <w:snapToGrid w:val="0"/>
                <w:color w:val="auto"/>
                <w:kern w:val="21"/>
                <w:sz w:val="21"/>
                <w:szCs w:val="21"/>
                <w:lang w:val="en-US" w:eastAsia="zh-CN" w:bidi="ar-SA"/>
              </w:rPr>
            </w:pPr>
            <w:r>
              <w:rPr>
                <w:rFonts w:hint="default"/>
                <w:b w:val="0"/>
                <w:bCs w:val="0"/>
                <w:color w:val="auto"/>
                <w:szCs w:val="21"/>
                <w:highlight w:val="none"/>
                <w:lang w:val="en-US" w:eastAsia="zh-CN"/>
              </w:rPr>
              <w:t>0.</w:t>
            </w:r>
            <w:r>
              <w:rPr>
                <w:rFonts w:hint="eastAsia"/>
                <w:b w:val="0"/>
                <w:bCs w:val="0"/>
                <w:color w:val="auto"/>
                <w:szCs w:val="21"/>
                <w:highlight w:val="none"/>
                <w:lang w:val="en-US" w:eastAsia="zh-CN"/>
              </w:rPr>
              <w:t>5</w:t>
            </w:r>
            <w:r>
              <w:rPr>
                <w:rFonts w:hint="default"/>
                <w:b w:val="0"/>
                <w:bCs w:val="0"/>
                <w:color w:val="auto"/>
                <w:szCs w:val="21"/>
                <w:highlight w:val="none"/>
                <w:lang w:val="en-US" w:eastAsia="zh-CN"/>
              </w:rPr>
              <w:t>t/a</w:t>
            </w:r>
          </w:p>
        </w:tc>
        <w:tc>
          <w:tcPr>
            <w:tcW w:w="634" w:type="pct"/>
            <w:vAlign w:val="center"/>
          </w:tcPr>
          <w:p w14:paraId="2D5583FD">
            <w:pPr>
              <w:widowControl/>
              <w:adjustRightInd w:val="0"/>
              <w:snapToGrid w:val="0"/>
              <w:jc w:val="center"/>
              <w:rPr>
                <w:rFonts w:cs="宋体"/>
                <w:color w:val="auto"/>
                <w:kern w:val="0"/>
                <w:szCs w:val="21"/>
              </w:rPr>
            </w:pPr>
            <w:r>
              <w:rPr>
                <w:rFonts w:hint="eastAsia" w:cs="宋体"/>
                <w:color w:val="auto"/>
                <w:kern w:val="0"/>
                <w:szCs w:val="21"/>
              </w:rPr>
              <w:t>/</w:t>
            </w:r>
          </w:p>
        </w:tc>
        <w:tc>
          <w:tcPr>
            <w:tcW w:w="1737" w:type="dxa"/>
            <w:vAlign w:val="center"/>
          </w:tcPr>
          <w:p w14:paraId="46F73B2E">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宋体"/>
                <w:snapToGrid w:val="0"/>
                <w:color w:val="auto"/>
                <w:kern w:val="21"/>
                <w:sz w:val="21"/>
                <w:szCs w:val="21"/>
                <w:lang w:val="en-US" w:eastAsia="zh-CN" w:bidi="ar-SA"/>
              </w:rPr>
            </w:pPr>
            <w:r>
              <w:rPr>
                <w:rFonts w:hint="default"/>
                <w:b w:val="0"/>
                <w:bCs w:val="0"/>
                <w:color w:val="auto"/>
                <w:szCs w:val="21"/>
                <w:highlight w:val="none"/>
                <w:lang w:val="en-US" w:eastAsia="zh-CN"/>
              </w:rPr>
              <w:t>0.</w:t>
            </w:r>
            <w:r>
              <w:rPr>
                <w:rFonts w:hint="eastAsia"/>
                <w:b w:val="0"/>
                <w:bCs w:val="0"/>
                <w:color w:val="auto"/>
                <w:szCs w:val="21"/>
                <w:highlight w:val="none"/>
                <w:lang w:val="en-US" w:eastAsia="zh-CN"/>
              </w:rPr>
              <w:t>5</w:t>
            </w:r>
            <w:r>
              <w:rPr>
                <w:rFonts w:hint="default"/>
                <w:b w:val="0"/>
                <w:bCs w:val="0"/>
                <w:color w:val="auto"/>
                <w:szCs w:val="21"/>
                <w:highlight w:val="none"/>
                <w:lang w:val="en-US" w:eastAsia="zh-CN"/>
              </w:rPr>
              <w:t>t/a</w:t>
            </w:r>
          </w:p>
        </w:tc>
        <w:tc>
          <w:tcPr>
            <w:tcW w:w="1053" w:type="dxa"/>
            <w:vAlign w:val="center"/>
          </w:tcPr>
          <w:p w14:paraId="75908054">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宋体"/>
                <w:snapToGrid w:val="0"/>
                <w:color w:val="auto"/>
                <w:kern w:val="21"/>
                <w:sz w:val="21"/>
                <w:szCs w:val="21"/>
                <w:lang w:val="en-US" w:eastAsia="zh-CN" w:bidi="ar-SA"/>
              </w:rPr>
            </w:pPr>
            <w:r>
              <w:rPr>
                <w:rFonts w:hint="default"/>
                <w:b w:val="0"/>
                <w:bCs w:val="0"/>
                <w:color w:val="auto"/>
                <w:szCs w:val="21"/>
                <w:highlight w:val="none"/>
                <w:lang w:val="en-US" w:eastAsia="zh-CN"/>
              </w:rPr>
              <w:t>0.</w:t>
            </w:r>
            <w:r>
              <w:rPr>
                <w:rFonts w:hint="eastAsia"/>
                <w:b w:val="0"/>
                <w:bCs w:val="0"/>
                <w:color w:val="auto"/>
                <w:szCs w:val="21"/>
                <w:highlight w:val="none"/>
                <w:lang w:val="en-US" w:eastAsia="zh-CN"/>
              </w:rPr>
              <w:t>5</w:t>
            </w:r>
            <w:r>
              <w:rPr>
                <w:rFonts w:hint="default"/>
                <w:b w:val="0"/>
                <w:bCs w:val="0"/>
                <w:color w:val="auto"/>
                <w:szCs w:val="21"/>
                <w:highlight w:val="none"/>
                <w:lang w:val="en-US" w:eastAsia="zh-CN"/>
              </w:rPr>
              <w:t>t/a</w:t>
            </w:r>
          </w:p>
        </w:tc>
      </w:tr>
      <w:tr w14:paraId="0A2B8D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69" w:type="pct"/>
            <w:vMerge w:val="continue"/>
            <w:vAlign w:val="center"/>
          </w:tcPr>
          <w:p w14:paraId="18AE5287">
            <w:pPr>
              <w:pStyle w:val="54"/>
              <w:spacing w:before="31" w:after="31"/>
              <w:rPr>
                <w:rFonts w:ascii="Times New Roman" w:cs="宋体"/>
                <w:snapToGrid w:val="0"/>
                <w:color w:val="auto"/>
                <w:kern w:val="21"/>
                <w:szCs w:val="21"/>
              </w:rPr>
            </w:pPr>
          </w:p>
        </w:tc>
        <w:tc>
          <w:tcPr>
            <w:tcW w:w="613" w:type="pct"/>
            <w:vAlign w:val="center"/>
          </w:tcPr>
          <w:p w14:paraId="56F36C4D">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包装废料</w:t>
            </w:r>
          </w:p>
        </w:tc>
        <w:tc>
          <w:tcPr>
            <w:tcW w:w="1656" w:type="dxa"/>
            <w:vAlign w:val="center"/>
          </w:tcPr>
          <w:p w14:paraId="5CA160FD">
            <w:pPr>
              <w:widowControl/>
              <w:adjustRightInd w:val="0"/>
              <w:snapToGrid w:val="0"/>
              <w:jc w:val="center"/>
              <w:rPr>
                <w:rFonts w:cs="宋体"/>
                <w:color w:val="auto"/>
                <w:kern w:val="0"/>
                <w:szCs w:val="21"/>
              </w:rPr>
            </w:pPr>
            <w:r>
              <w:rPr>
                <w:rFonts w:cs="宋体"/>
                <w:color w:val="auto"/>
                <w:kern w:val="0"/>
                <w:szCs w:val="21"/>
              </w:rPr>
              <w:t>/</w:t>
            </w:r>
          </w:p>
        </w:tc>
        <w:tc>
          <w:tcPr>
            <w:tcW w:w="1237" w:type="dxa"/>
            <w:vAlign w:val="center"/>
          </w:tcPr>
          <w:p w14:paraId="6236D686">
            <w:pPr>
              <w:pStyle w:val="54"/>
              <w:spacing w:beforeLines="0" w:afterLines="0" w:line="240" w:lineRule="auto"/>
              <w:rPr>
                <w:rFonts w:hint="eastAsia" w:ascii="Times New Roman" w:cs="宋体"/>
                <w:snapToGrid w:val="0"/>
                <w:color w:val="auto"/>
                <w:kern w:val="21"/>
                <w:szCs w:val="21"/>
              </w:rPr>
            </w:pPr>
            <w:r>
              <w:rPr>
                <w:rFonts w:hint="eastAsia" w:ascii="Times New Roman" w:cs="宋体"/>
                <w:snapToGrid w:val="0"/>
                <w:color w:val="auto"/>
                <w:kern w:val="21"/>
                <w:szCs w:val="21"/>
              </w:rPr>
              <w:t>/</w:t>
            </w:r>
          </w:p>
        </w:tc>
        <w:tc>
          <w:tcPr>
            <w:tcW w:w="1656" w:type="dxa"/>
            <w:vAlign w:val="center"/>
          </w:tcPr>
          <w:p w14:paraId="77C84E7D">
            <w:pPr>
              <w:pStyle w:val="54"/>
              <w:spacing w:beforeLines="0" w:afterLines="0" w:line="240" w:lineRule="auto"/>
              <w:rPr>
                <w:rFonts w:hint="eastAsia" w:ascii="Times New Roman" w:cs="宋体"/>
                <w:snapToGrid w:val="0"/>
                <w:color w:val="auto"/>
                <w:kern w:val="21"/>
                <w:szCs w:val="21"/>
              </w:rPr>
            </w:pPr>
            <w:r>
              <w:rPr>
                <w:rFonts w:hint="eastAsia" w:ascii="Times New Roman" w:cs="宋体"/>
                <w:snapToGrid w:val="0"/>
                <w:color w:val="auto"/>
                <w:kern w:val="21"/>
                <w:szCs w:val="21"/>
              </w:rPr>
              <w:t>/</w:t>
            </w:r>
          </w:p>
        </w:tc>
        <w:tc>
          <w:tcPr>
            <w:tcW w:w="1518" w:type="dxa"/>
            <w:vAlign w:val="center"/>
          </w:tcPr>
          <w:p w14:paraId="17671913">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1.12t/a</w:t>
            </w:r>
          </w:p>
        </w:tc>
        <w:tc>
          <w:tcPr>
            <w:tcW w:w="634" w:type="pct"/>
            <w:vAlign w:val="center"/>
          </w:tcPr>
          <w:p w14:paraId="2ACECC16">
            <w:pPr>
              <w:widowControl/>
              <w:adjustRightInd w:val="0"/>
              <w:snapToGrid w:val="0"/>
              <w:jc w:val="center"/>
              <w:rPr>
                <w:rFonts w:hint="eastAsia" w:cs="宋体"/>
                <w:color w:val="auto"/>
                <w:kern w:val="0"/>
                <w:szCs w:val="21"/>
              </w:rPr>
            </w:pPr>
            <w:r>
              <w:rPr>
                <w:rFonts w:hint="eastAsia" w:cs="宋体"/>
                <w:color w:val="auto"/>
                <w:kern w:val="0"/>
                <w:szCs w:val="21"/>
              </w:rPr>
              <w:t>/</w:t>
            </w:r>
          </w:p>
        </w:tc>
        <w:tc>
          <w:tcPr>
            <w:tcW w:w="1737" w:type="dxa"/>
            <w:vAlign w:val="center"/>
          </w:tcPr>
          <w:p w14:paraId="556D72AA">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1.12t/a</w:t>
            </w:r>
          </w:p>
        </w:tc>
        <w:tc>
          <w:tcPr>
            <w:tcW w:w="1053" w:type="dxa"/>
            <w:vAlign w:val="center"/>
          </w:tcPr>
          <w:p w14:paraId="1A579EA6">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1.12t/a</w:t>
            </w:r>
          </w:p>
        </w:tc>
      </w:tr>
      <w:tr w14:paraId="6A54A1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69" w:type="pct"/>
            <w:vAlign w:val="center"/>
          </w:tcPr>
          <w:p w14:paraId="580DB6E4">
            <w:pPr>
              <w:pStyle w:val="54"/>
              <w:spacing w:before="31" w:after="31"/>
              <w:rPr>
                <w:rFonts w:hint="default" w:ascii="Times New Roman" w:eastAsia="宋体" w:cs="宋体"/>
                <w:snapToGrid w:val="0"/>
                <w:color w:val="auto"/>
                <w:kern w:val="21"/>
                <w:szCs w:val="21"/>
                <w:lang w:val="en-US" w:eastAsia="zh-CN"/>
              </w:rPr>
            </w:pPr>
            <w:r>
              <w:rPr>
                <w:rFonts w:hint="eastAsia" w:ascii="Times New Roman" w:cs="宋体"/>
                <w:snapToGrid w:val="0"/>
                <w:color w:val="auto"/>
                <w:kern w:val="21"/>
                <w:szCs w:val="21"/>
                <w:lang w:val="en-US" w:eastAsia="zh-CN"/>
              </w:rPr>
              <w:t>危险废物</w:t>
            </w:r>
          </w:p>
        </w:tc>
        <w:tc>
          <w:tcPr>
            <w:tcW w:w="613" w:type="pct"/>
            <w:vAlign w:val="center"/>
          </w:tcPr>
          <w:p w14:paraId="7E8DF35E">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color w:val="auto"/>
                <w:szCs w:val="21"/>
                <w:lang w:val="en-US" w:eastAsia="zh-CN"/>
              </w:rPr>
            </w:pPr>
            <w:r>
              <w:rPr>
                <w:rFonts w:hint="eastAsia" w:cs="Times New Roman"/>
                <w:color w:val="auto"/>
                <w:highlight w:val="none"/>
                <w:lang w:val="en-US" w:eastAsia="zh-CN"/>
              </w:rPr>
              <w:t>废机油</w:t>
            </w:r>
          </w:p>
        </w:tc>
        <w:tc>
          <w:tcPr>
            <w:tcW w:w="613" w:type="pct"/>
            <w:vAlign w:val="center"/>
          </w:tcPr>
          <w:p w14:paraId="1DF45E92">
            <w:pPr>
              <w:widowControl/>
              <w:adjustRightInd w:val="0"/>
              <w:snapToGrid w:val="0"/>
              <w:jc w:val="center"/>
              <w:rPr>
                <w:rFonts w:ascii="Times New Roman" w:hAnsi="Times New Roman" w:eastAsia="宋体" w:cs="宋体"/>
                <w:color w:val="auto"/>
                <w:kern w:val="0"/>
                <w:sz w:val="21"/>
                <w:szCs w:val="21"/>
                <w:lang w:val="en-US" w:eastAsia="zh-CN" w:bidi="ar-SA"/>
              </w:rPr>
            </w:pPr>
            <w:r>
              <w:rPr>
                <w:rFonts w:cs="宋体"/>
                <w:color w:val="auto"/>
                <w:kern w:val="0"/>
                <w:szCs w:val="21"/>
              </w:rPr>
              <w:t>/</w:t>
            </w:r>
          </w:p>
        </w:tc>
        <w:tc>
          <w:tcPr>
            <w:tcW w:w="458" w:type="pct"/>
            <w:vAlign w:val="center"/>
          </w:tcPr>
          <w:p w14:paraId="06FE52C7">
            <w:pPr>
              <w:pStyle w:val="54"/>
              <w:spacing w:beforeLines="0" w:afterLines="0" w:line="240" w:lineRule="auto"/>
              <w:rPr>
                <w:rFonts w:hint="eastAsia" w:ascii="Times New Roman" w:hAnsi="Times New Roman" w:eastAsia="宋体" w:cs="宋体"/>
                <w:snapToGrid w:val="0"/>
                <w:color w:val="auto"/>
                <w:kern w:val="21"/>
                <w:sz w:val="21"/>
                <w:szCs w:val="21"/>
                <w:lang w:val="en-US" w:eastAsia="zh-CN" w:bidi="ar-SA"/>
              </w:rPr>
            </w:pPr>
            <w:r>
              <w:rPr>
                <w:rFonts w:hint="eastAsia" w:ascii="Times New Roman" w:cs="宋体"/>
                <w:snapToGrid w:val="0"/>
                <w:color w:val="auto"/>
                <w:kern w:val="21"/>
                <w:szCs w:val="21"/>
              </w:rPr>
              <w:t>/</w:t>
            </w:r>
          </w:p>
        </w:tc>
        <w:tc>
          <w:tcPr>
            <w:tcW w:w="613" w:type="pct"/>
            <w:vAlign w:val="center"/>
          </w:tcPr>
          <w:p w14:paraId="2A24E77E">
            <w:pPr>
              <w:pStyle w:val="54"/>
              <w:spacing w:beforeLines="0" w:afterLines="0" w:line="240" w:lineRule="auto"/>
              <w:rPr>
                <w:rFonts w:hint="eastAsia" w:ascii="Times New Roman" w:hAnsi="Times New Roman" w:eastAsia="宋体" w:cs="宋体"/>
                <w:snapToGrid w:val="0"/>
                <w:color w:val="auto"/>
                <w:kern w:val="21"/>
                <w:sz w:val="21"/>
                <w:szCs w:val="21"/>
                <w:lang w:val="en-US" w:eastAsia="zh-CN" w:bidi="ar-SA"/>
              </w:rPr>
            </w:pPr>
            <w:r>
              <w:rPr>
                <w:rFonts w:hint="eastAsia" w:ascii="Times New Roman" w:cs="宋体"/>
                <w:snapToGrid w:val="0"/>
                <w:color w:val="auto"/>
                <w:kern w:val="21"/>
                <w:szCs w:val="21"/>
              </w:rPr>
              <w:t>/</w:t>
            </w:r>
          </w:p>
        </w:tc>
        <w:tc>
          <w:tcPr>
            <w:tcW w:w="1518" w:type="dxa"/>
            <w:vAlign w:val="center"/>
          </w:tcPr>
          <w:p w14:paraId="33812C0E">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eastAsia="宋体"/>
                <w:color w:val="auto"/>
                <w:lang w:val="en-US" w:eastAsia="zh-CN"/>
              </w:rPr>
            </w:pPr>
            <w:r>
              <w:rPr>
                <w:rFonts w:hint="eastAsia"/>
                <w:b w:val="0"/>
                <w:bCs w:val="0"/>
                <w:color w:val="auto"/>
                <w:szCs w:val="21"/>
                <w:highlight w:val="none"/>
                <w:lang w:val="en-US" w:eastAsia="zh-CN"/>
              </w:rPr>
              <w:t>0.5</w:t>
            </w:r>
            <w:r>
              <w:rPr>
                <w:rFonts w:hint="eastAsia" w:eastAsia="仿宋" w:cs="Times New Roman"/>
                <w:color w:val="auto"/>
                <w:kern w:val="0"/>
                <w:szCs w:val="21"/>
                <w:lang w:val="en-US" w:eastAsia="zh-CN"/>
              </w:rPr>
              <w:t>t/a</w:t>
            </w:r>
          </w:p>
        </w:tc>
        <w:tc>
          <w:tcPr>
            <w:tcW w:w="634" w:type="pct"/>
            <w:vAlign w:val="center"/>
          </w:tcPr>
          <w:p w14:paraId="36A039D3">
            <w:pPr>
              <w:widowControl/>
              <w:adjustRightInd w:val="0"/>
              <w:snapToGrid w:val="0"/>
              <w:jc w:val="center"/>
              <w:rPr>
                <w:rFonts w:hint="eastAsia" w:cs="宋体"/>
                <w:color w:val="auto"/>
                <w:kern w:val="0"/>
                <w:szCs w:val="21"/>
              </w:rPr>
            </w:pPr>
            <w:r>
              <w:rPr>
                <w:rFonts w:hint="eastAsia" w:cs="宋体"/>
                <w:color w:val="auto"/>
                <w:kern w:val="0"/>
                <w:szCs w:val="21"/>
              </w:rPr>
              <w:t>/</w:t>
            </w:r>
          </w:p>
        </w:tc>
        <w:tc>
          <w:tcPr>
            <w:tcW w:w="1737" w:type="dxa"/>
            <w:vAlign w:val="center"/>
          </w:tcPr>
          <w:p w14:paraId="7C58D0D7">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color w:val="auto"/>
              </w:rPr>
            </w:pPr>
            <w:r>
              <w:rPr>
                <w:rFonts w:hint="eastAsia"/>
                <w:b w:val="0"/>
                <w:bCs w:val="0"/>
                <w:color w:val="auto"/>
                <w:szCs w:val="21"/>
                <w:highlight w:val="none"/>
                <w:lang w:val="en-US" w:eastAsia="zh-CN"/>
              </w:rPr>
              <w:t>0.5</w:t>
            </w:r>
            <w:r>
              <w:rPr>
                <w:rFonts w:hint="eastAsia" w:eastAsia="仿宋" w:cs="Times New Roman"/>
                <w:color w:val="auto"/>
                <w:kern w:val="0"/>
                <w:szCs w:val="21"/>
                <w:lang w:val="en-US" w:eastAsia="zh-CN"/>
              </w:rPr>
              <w:t>t/a</w:t>
            </w:r>
          </w:p>
        </w:tc>
        <w:tc>
          <w:tcPr>
            <w:tcW w:w="1053" w:type="dxa"/>
            <w:vAlign w:val="center"/>
          </w:tcPr>
          <w:p w14:paraId="3A700E49">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color w:val="auto"/>
              </w:rPr>
            </w:pPr>
            <w:r>
              <w:rPr>
                <w:rFonts w:hint="eastAsia"/>
                <w:b w:val="0"/>
                <w:bCs w:val="0"/>
                <w:color w:val="auto"/>
                <w:szCs w:val="21"/>
                <w:highlight w:val="none"/>
                <w:lang w:val="en-US" w:eastAsia="zh-CN"/>
              </w:rPr>
              <w:t>0.5</w:t>
            </w:r>
            <w:r>
              <w:rPr>
                <w:rFonts w:hint="eastAsia" w:eastAsia="仿宋" w:cs="Times New Roman"/>
                <w:color w:val="auto"/>
                <w:kern w:val="0"/>
                <w:szCs w:val="21"/>
                <w:lang w:val="en-US" w:eastAsia="zh-CN"/>
              </w:rPr>
              <w:t>t/a</w:t>
            </w:r>
          </w:p>
        </w:tc>
      </w:tr>
      <w:tr w14:paraId="1284A4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1082" w:type="pct"/>
            <w:gridSpan w:val="2"/>
            <w:vAlign w:val="center"/>
          </w:tcPr>
          <w:p w14:paraId="5FCEEECD">
            <w:pPr>
              <w:pStyle w:val="109"/>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生活垃圾</w:t>
            </w:r>
          </w:p>
        </w:tc>
        <w:tc>
          <w:tcPr>
            <w:tcW w:w="613" w:type="pct"/>
            <w:vAlign w:val="center"/>
          </w:tcPr>
          <w:p w14:paraId="515481ED">
            <w:pPr>
              <w:widowControl/>
              <w:adjustRightInd w:val="0"/>
              <w:snapToGrid w:val="0"/>
              <w:jc w:val="center"/>
              <w:rPr>
                <w:rFonts w:cs="宋体"/>
                <w:color w:val="auto"/>
                <w:kern w:val="0"/>
                <w:szCs w:val="21"/>
              </w:rPr>
            </w:pPr>
            <w:r>
              <w:rPr>
                <w:rFonts w:hint="eastAsia" w:cs="宋体"/>
                <w:color w:val="auto"/>
                <w:kern w:val="0"/>
                <w:szCs w:val="21"/>
              </w:rPr>
              <w:t>/</w:t>
            </w:r>
          </w:p>
        </w:tc>
        <w:tc>
          <w:tcPr>
            <w:tcW w:w="458" w:type="pct"/>
            <w:vAlign w:val="center"/>
          </w:tcPr>
          <w:p w14:paraId="1A5A2222">
            <w:pPr>
              <w:spacing w:beforeLines="0" w:afterLines="0" w:line="240" w:lineRule="auto"/>
              <w:jc w:val="center"/>
              <w:rPr>
                <w:rFonts w:hint="eastAsia" w:ascii="Times New Roman" w:cs="宋体"/>
                <w:snapToGrid w:val="0"/>
                <w:color w:val="auto"/>
                <w:kern w:val="21"/>
                <w:szCs w:val="21"/>
              </w:rPr>
            </w:pPr>
            <w:r>
              <w:rPr>
                <w:rFonts w:hint="eastAsia" w:cs="宋体"/>
                <w:color w:val="auto"/>
                <w:kern w:val="0"/>
                <w:szCs w:val="21"/>
              </w:rPr>
              <w:t>/</w:t>
            </w:r>
          </w:p>
        </w:tc>
        <w:tc>
          <w:tcPr>
            <w:tcW w:w="613" w:type="pct"/>
            <w:vAlign w:val="center"/>
          </w:tcPr>
          <w:p w14:paraId="1B8F980A">
            <w:pPr>
              <w:spacing w:beforeLines="0" w:afterLines="0" w:line="240" w:lineRule="auto"/>
              <w:jc w:val="center"/>
              <w:rPr>
                <w:rFonts w:hint="eastAsia" w:ascii="Times New Roman" w:cs="宋体"/>
                <w:snapToGrid w:val="0"/>
                <w:color w:val="auto"/>
                <w:kern w:val="21"/>
                <w:szCs w:val="21"/>
              </w:rPr>
            </w:pPr>
            <w:r>
              <w:rPr>
                <w:rFonts w:hint="eastAsia" w:cs="宋体"/>
                <w:color w:val="auto"/>
                <w:kern w:val="0"/>
                <w:szCs w:val="21"/>
              </w:rPr>
              <w:t>/</w:t>
            </w:r>
          </w:p>
        </w:tc>
        <w:tc>
          <w:tcPr>
            <w:tcW w:w="1518" w:type="dxa"/>
            <w:vAlign w:val="center"/>
          </w:tcPr>
          <w:p w14:paraId="57095C95">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宋体"/>
                <w:snapToGrid w:val="0"/>
                <w:color w:val="auto"/>
                <w:kern w:val="21"/>
                <w:sz w:val="21"/>
                <w:szCs w:val="21"/>
                <w:lang w:val="en-US" w:eastAsia="zh-CN" w:bidi="ar-SA"/>
              </w:rPr>
            </w:pPr>
            <w:r>
              <w:rPr>
                <w:rFonts w:hint="eastAsia" w:ascii="Times New Roman" w:hAnsi="Times New Roman" w:eastAsia="宋体" w:cs="Times New Roman"/>
                <w:b w:val="0"/>
                <w:bCs w:val="0"/>
                <w:color w:val="auto"/>
                <w:szCs w:val="21"/>
                <w:highlight w:val="none"/>
                <w:lang w:val="en-US" w:eastAsia="zh-CN"/>
              </w:rPr>
              <w:t>0.8t/a</w:t>
            </w:r>
          </w:p>
        </w:tc>
        <w:tc>
          <w:tcPr>
            <w:tcW w:w="634" w:type="pct"/>
            <w:vAlign w:val="center"/>
          </w:tcPr>
          <w:p w14:paraId="416844B4">
            <w:pPr>
              <w:widowControl/>
              <w:adjustRightInd w:val="0"/>
              <w:snapToGrid w:val="0"/>
              <w:jc w:val="center"/>
              <w:rPr>
                <w:rFonts w:hint="eastAsia" w:cs="宋体"/>
                <w:color w:val="auto"/>
                <w:kern w:val="0"/>
                <w:szCs w:val="21"/>
              </w:rPr>
            </w:pPr>
            <w:r>
              <w:rPr>
                <w:rFonts w:hint="eastAsia" w:cs="宋体"/>
                <w:color w:val="auto"/>
                <w:kern w:val="0"/>
                <w:szCs w:val="21"/>
              </w:rPr>
              <w:t>/</w:t>
            </w:r>
          </w:p>
        </w:tc>
        <w:tc>
          <w:tcPr>
            <w:tcW w:w="1737" w:type="dxa"/>
            <w:vAlign w:val="center"/>
          </w:tcPr>
          <w:p w14:paraId="76747A7D">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宋体"/>
                <w:snapToGrid w:val="0"/>
                <w:color w:val="auto"/>
                <w:kern w:val="21"/>
                <w:sz w:val="21"/>
                <w:szCs w:val="21"/>
                <w:lang w:val="en-US" w:eastAsia="zh-CN" w:bidi="ar-SA"/>
              </w:rPr>
            </w:pPr>
            <w:r>
              <w:rPr>
                <w:rFonts w:hint="eastAsia" w:ascii="Times New Roman" w:hAnsi="Times New Roman" w:eastAsia="宋体" w:cs="Times New Roman"/>
                <w:b w:val="0"/>
                <w:bCs w:val="0"/>
                <w:color w:val="auto"/>
                <w:szCs w:val="21"/>
                <w:highlight w:val="none"/>
                <w:lang w:val="en-US" w:eastAsia="zh-CN"/>
              </w:rPr>
              <w:t>0.8t/a</w:t>
            </w:r>
          </w:p>
        </w:tc>
        <w:tc>
          <w:tcPr>
            <w:tcW w:w="1053" w:type="dxa"/>
            <w:vAlign w:val="center"/>
          </w:tcPr>
          <w:p w14:paraId="7DBB4284">
            <w:pPr>
              <w:pStyle w:val="109"/>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宋体"/>
                <w:snapToGrid w:val="0"/>
                <w:color w:val="auto"/>
                <w:kern w:val="21"/>
                <w:sz w:val="21"/>
                <w:szCs w:val="21"/>
                <w:lang w:val="en-US" w:eastAsia="zh-CN" w:bidi="ar-SA"/>
              </w:rPr>
            </w:pPr>
            <w:r>
              <w:rPr>
                <w:rFonts w:hint="eastAsia" w:ascii="Times New Roman" w:hAnsi="Times New Roman" w:eastAsia="宋体" w:cs="Times New Roman"/>
                <w:b w:val="0"/>
                <w:bCs w:val="0"/>
                <w:color w:val="auto"/>
                <w:szCs w:val="21"/>
                <w:highlight w:val="none"/>
                <w:lang w:val="en-US" w:eastAsia="zh-CN"/>
              </w:rPr>
              <w:t>0.8t/a</w:t>
            </w:r>
          </w:p>
        </w:tc>
      </w:tr>
    </w:tbl>
    <w:p w14:paraId="0DCFA537">
      <w:pPr>
        <w:pStyle w:val="54"/>
        <w:spacing w:beforeLines="0" w:afterLines="0" w:line="240" w:lineRule="auto"/>
        <w:jc w:val="left"/>
        <w:rPr>
          <w:rFonts w:hint="eastAsia" w:ascii="Times New Roman"/>
          <w:color w:val="auto"/>
          <w:szCs w:val="21"/>
        </w:rPr>
        <w:sectPr>
          <w:pgSz w:w="16838" w:h="11906" w:orient="landscape"/>
          <w:pgMar w:top="1531" w:right="1701" w:bottom="1531" w:left="1701" w:header="851" w:footer="907" w:gutter="0"/>
          <w:pgBorders>
            <w:top w:val="none" w:sz="0" w:space="0"/>
            <w:left w:val="none" w:sz="0" w:space="0"/>
            <w:bottom w:val="none" w:sz="0" w:space="0"/>
            <w:right w:val="none" w:sz="0" w:space="0"/>
          </w:pgBorders>
          <w:pgNumType w:fmt="decimal"/>
          <w:cols w:space="720" w:num="1"/>
          <w:docGrid w:type="lines" w:linePitch="312" w:charSpace="0"/>
        </w:sectPr>
      </w:pPr>
      <w:r>
        <w:rPr>
          <w:rFonts w:ascii="Times New Roman"/>
          <w:snapToGrid w:val="0"/>
          <w:color w:val="auto"/>
          <w:kern w:val="21"/>
          <w:szCs w:val="21"/>
        </w:rPr>
        <w:t>注：</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hint="eastAsia" w:ascii="Times New Roman" w:cs="宋体"/>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hint="eastAsia" w:ascii="Times New Roman" w:cs="宋体"/>
          <w:color w:val="auto"/>
          <w:szCs w:val="21"/>
        </w:rPr>
        <w:t>①</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hint="eastAsia" w:ascii="Times New Roman" w:cs="宋体"/>
          <w:color w:val="auto"/>
          <w:szCs w:val="21"/>
        </w:rPr>
        <w:t>③</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hint="eastAsia" w:ascii="Times New Roman" w:cs="宋体"/>
          <w:color w:val="auto"/>
          <w:szCs w:val="21"/>
        </w:rPr>
        <w:t>④</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hint="eastAsia" w:ascii="Times New Roman" w:cs="宋体"/>
          <w:color w:val="auto"/>
          <w:szCs w:val="21"/>
        </w:rPr>
        <w:t>⑤</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hint="eastAsia" w:ascii="Times New Roman" w:cs="宋体"/>
          <w:color w:val="auto"/>
          <w:szCs w:val="21"/>
        </w:rPr>
        <w:t>⑦</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hint="eastAsia" w:ascii="Times New Roman" w:cs="宋体"/>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hint="eastAsia" w:ascii="Times New Roman" w:cs="宋体"/>
          <w:color w:val="auto"/>
          <w:szCs w:val="21"/>
        </w:rPr>
        <w:t>①</w:t>
      </w:r>
      <w:r>
        <w:rPr>
          <w:rFonts w:ascii="Times New Roman"/>
          <w:snapToGrid w:val="0"/>
          <w:color w:val="auto"/>
          <w:spacing w:val="-6"/>
          <w:kern w:val="21"/>
          <w:szCs w:val="21"/>
        </w:rPr>
        <w:fldChar w:fldCharType="end"/>
      </w:r>
      <w:r>
        <w:rPr>
          <w:rFonts w:hint="eastAsia" w:ascii="Times New Roman"/>
          <w:color w:val="auto"/>
          <w:szCs w:val="21"/>
        </w:rPr>
        <w:t>。</w:t>
      </w:r>
    </w:p>
    <w:p w14:paraId="07ED8827">
      <w:pPr>
        <w:pStyle w:val="27"/>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textAlignment w:val="auto"/>
        <w:outlineLvl w:val="0"/>
        <w:rPr>
          <w:rFonts w:hint="eastAsia" w:asciiTheme="minorEastAsia" w:hAnsiTheme="minorEastAsia" w:eastAsiaTheme="minorEastAsia" w:cstheme="minorEastAsia"/>
          <w:snapToGrid w:val="0"/>
          <w:color w:val="auto"/>
          <w:sz w:val="32"/>
          <w:szCs w:val="32"/>
        </w:rPr>
      </w:pPr>
      <w:bookmarkStart w:id="25" w:name="_Toc4132"/>
      <w:r>
        <w:rPr>
          <w:rFonts w:hint="eastAsia" w:asciiTheme="minorEastAsia" w:hAnsiTheme="minorEastAsia" w:eastAsiaTheme="minorEastAsia" w:cstheme="minorEastAsia"/>
          <w:snapToGrid w:val="0"/>
          <w:color w:val="auto"/>
          <w:sz w:val="32"/>
          <w:szCs w:val="32"/>
        </w:rPr>
        <w:t>附图1</w:t>
      </w:r>
      <w:r>
        <w:rPr>
          <w:rFonts w:hint="eastAsia" w:asciiTheme="minorEastAsia" w:hAnsiTheme="minorEastAsia" w:eastAsiaTheme="minorEastAsia" w:cstheme="minorEastAsia"/>
          <w:snapToGrid w:val="0"/>
          <w:color w:val="auto"/>
          <w:sz w:val="32"/>
          <w:szCs w:val="32"/>
          <w:lang w:eastAsia="zh-CN"/>
        </w:rPr>
        <w:t>：</w:t>
      </w:r>
      <w:r>
        <w:rPr>
          <w:rFonts w:hint="eastAsia" w:asciiTheme="minorEastAsia" w:hAnsiTheme="minorEastAsia" w:eastAsiaTheme="minorEastAsia" w:cstheme="minorEastAsia"/>
          <w:snapToGrid w:val="0"/>
          <w:color w:val="auto"/>
          <w:sz w:val="32"/>
          <w:szCs w:val="32"/>
        </w:rPr>
        <w:t>地理位置图</w:t>
      </w:r>
      <w:bookmarkEnd w:id="25"/>
    </w:p>
    <w:p w14:paraId="761C8914">
      <w:pPr>
        <w:pStyle w:val="127"/>
        <w:keepLines w:val="0"/>
        <w:pageBreakBefore w:val="0"/>
        <w:topLinePunct w:val="0"/>
        <w:bidi w:val="0"/>
        <w:spacing w:beforeAutospacing="0" w:afterAutospacing="0" w:line="360" w:lineRule="auto"/>
        <w:ind w:left="0" w:leftChars="0" w:right="0" w:rightChars="0" w:firstLine="0" w:firstLineChars="0"/>
        <w:jc w:val="center"/>
        <w:rPr>
          <w:rFonts w:hint="eastAsia" w:eastAsia="宋体"/>
          <w:color w:val="auto"/>
          <w:lang w:eastAsia="zh-CN"/>
        </w:rPr>
      </w:pPr>
      <w:r>
        <w:rPr>
          <w:rFonts w:hint="eastAsia" w:eastAsia="宋体"/>
          <w:color w:val="auto"/>
          <w:lang w:eastAsia="zh-CN"/>
        </w:rPr>
        <w:drawing>
          <wp:anchor distT="0" distB="0" distL="114300" distR="114300" simplePos="0" relativeHeight="251671552" behindDoc="0" locked="0" layoutInCell="1" allowOverlap="1">
            <wp:simplePos x="0" y="0"/>
            <wp:positionH relativeFrom="column">
              <wp:posOffset>7705090</wp:posOffset>
            </wp:positionH>
            <wp:positionV relativeFrom="paragraph">
              <wp:posOffset>27305</wp:posOffset>
            </wp:positionV>
            <wp:extent cx="1028700" cy="923925"/>
            <wp:effectExtent l="0" t="0" r="0" b="9525"/>
            <wp:wrapNone/>
            <wp:docPr id="12" name="图片 1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片1"/>
                    <pic:cNvPicPr>
                      <a:picLocks noChangeAspect="1"/>
                    </pic:cNvPicPr>
                  </pic:nvPicPr>
                  <pic:blipFill>
                    <a:blip r:embed="rId36"/>
                    <a:stretch>
                      <a:fillRect/>
                    </a:stretch>
                  </pic:blipFill>
                  <pic:spPr>
                    <a:xfrm>
                      <a:off x="0" y="0"/>
                      <a:ext cx="1028700" cy="923925"/>
                    </a:xfrm>
                    <a:prstGeom prst="rect">
                      <a:avLst/>
                    </a:prstGeom>
                  </pic:spPr>
                </pic:pic>
              </a:graphicData>
            </a:graphic>
          </wp:anchor>
        </w:drawing>
      </w:r>
      <w:r>
        <w:rPr>
          <w:rFonts w:cs="Times New Roman"/>
          <w:color w:val="auto"/>
        </w:rPr>
        <mc:AlternateContent>
          <mc:Choice Requires="wps">
            <w:drawing>
              <wp:anchor distT="0" distB="0" distL="114300" distR="114300" simplePos="0" relativeHeight="251670528" behindDoc="0" locked="0" layoutInCell="1" allowOverlap="1">
                <wp:simplePos x="0" y="0"/>
                <wp:positionH relativeFrom="column">
                  <wp:posOffset>7824470</wp:posOffset>
                </wp:positionH>
                <wp:positionV relativeFrom="paragraph">
                  <wp:posOffset>4095115</wp:posOffset>
                </wp:positionV>
                <wp:extent cx="58420" cy="50800"/>
                <wp:effectExtent l="12700" t="12700" r="24130" b="12700"/>
                <wp:wrapNone/>
                <wp:docPr id="43" name="星形: 五角 14"/>
                <wp:cNvGraphicFramePr/>
                <a:graphic xmlns:a="http://schemas.openxmlformats.org/drawingml/2006/main">
                  <a:graphicData uri="http://schemas.microsoft.com/office/word/2010/wordprocessingShape">
                    <wps:wsp>
                      <wps:cNvSpPr/>
                      <wps:spPr>
                        <a:xfrm>
                          <a:off x="0" y="0"/>
                          <a:ext cx="58420" cy="50800"/>
                        </a:xfrm>
                        <a:prstGeom prst="star5">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五角 14" o:spid="_x0000_s1026" style="position:absolute;left:0pt;margin-left:616.1pt;margin-top:322.45pt;height:4pt;width:4.6pt;z-index:251670528;v-text-anchor:middle;mso-width-relative:page;mso-height-relative:page;" fillcolor="#FF0000" filled="t" stroked="t" coordsize="58420,50800" o:gfxdata="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hNMv0d0AAAANAQAADwAAAAAAAAABACAAAAAiAAAA&#10;ZHJzL2Rvd25yZXYueG1sUEsBAhQAFAAAAAgAh07iQCjZPBB0AgAA8wQAAA4AAAAAAAAAAQAgAAAA&#10;LAEAAGRycy9lMm9Eb2MueG1sUEsFBgAAAAAGAAYAWQEAABIGAAAAAA==&#10;" path="m0,19403l22314,19403,29210,0,36105,19403,58419,19403,40367,31395,47262,50799,29210,38807,11157,50799,18052,31395xe">
                <v:path o:connectlocs="29210,0;0,19403;11157,50799;47262,50799;58419,19403" o:connectangles="247,164,82,82,0"/>
                <v:fill on="t" focussize="0,0"/>
                <v:stroke weight="2pt" color="#FF0000" joinstyle="round"/>
                <v:imagedata o:title=""/>
                <o:lock v:ext="edit" aspectratio="f"/>
              </v:shape>
            </w:pict>
          </mc:Fallback>
        </mc:AlternateContent>
      </w:r>
      <w:r>
        <w:rPr>
          <w:color w:val="auto"/>
          <w:sz w:val="21"/>
        </w:rPr>
        <mc:AlternateContent>
          <mc:Choice Requires="wps">
            <w:drawing>
              <wp:anchor distT="0" distB="0" distL="114300" distR="114300" simplePos="0" relativeHeight="251664384" behindDoc="0" locked="0" layoutInCell="1" allowOverlap="1">
                <wp:simplePos x="0" y="0"/>
                <wp:positionH relativeFrom="column">
                  <wp:posOffset>7555230</wp:posOffset>
                </wp:positionH>
                <wp:positionV relativeFrom="paragraph">
                  <wp:posOffset>3643630</wp:posOffset>
                </wp:positionV>
                <wp:extent cx="1143000" cy="657225"/>
                <wp:effectExtent l="4445" t="4445" r="14605" b="5080"/>
                <wp:wrapNone/>
                <wp:docPr id="58" name="自选图形 109"/>
                <wp:cNvGraphicFramePr/>
                <a:graphic xmlns:a="http://schemas.openxmlformats.org/drawingml/2006/main">
                  <a:graphicData uri="http://schemas.microsoft.com/office/word/2010/wordprocessingShape">
                    <wps:wsp>
                      <wps:cNvSpPr/>
                      <wps:spPr>
                        <a:xfrm>
                          <a:off x="0" y="0"/>
                          <a:ext cx="1143000" cy="657225"/>
                        </a:xfrm>
                        <a:prstGeom prst="flowChartProcess">
                          <a:avLst/>
                        </a:prstGeom>
                        <a:solidFill>
                          <a:srgbClr val="FFFFFF"/>
                        </a:solidFill>
                        <a:ln w="9525" cap="flat" cmpd="sng">
                          <a:solidFill>
                            <a:srgbClr val="000000"/>
                          </a:solidFill>
                          <a:prstDash val="solid"/>
                          <a:miter/>
                          <a:headEnd type="none" w="med" len="med"/>
                          <a:tailEnd type="none" w="med" len="med"/>
                        </a:ln>
                        <a:effectLst/>
                      </wps:spPr>
                      <wps:txbx>
                        <w:txbxContent>
                          <w:p w14:paraId="1FB1A147">
                            <w:pPr>
                              <w:spacing w:line="360" w:lineRule="auto"/>
                              <w:jc w:val="center"/>
                              <w:rPr>
                                <w:rFonts w:hint="eastAsia"/>
                                <w:b/>
                                <w:bCs/>
                                <w:sz w:val="28"/>
                                <w:szCs w:val="36"/>
                                <w:lang w:eastAsia="zh-CN"/>
                              </w:rPr>
                            </w:pPr>
                            <w:r>
                              <w:rPr>
                                <w:rFonts w:hint="eastAsia"/>
                                <w:b/>
                                <w:bCs/>
                                <w:sz w:val="28"/>
                                <w:szCs w:val="36"/>
                                <w:lang w:eastAsia="zh-CN"/>
                              </w:rPr>
                              <w:t>图例</w:t>
                            </w:r>
                          </w:p>
                          <w:p w14:paraId="1775FC4A">
                            <w:pPr>
                              <w:spacing w:line="360" w:lineRule="auto"/>
                              <w:ind w:firstLine="632" w:firstLineChars="300"/>
                              <w:jc w:val="right"/>
                              <w:rPr>
                                <w:rFonts w:hint="eastAsia"/>
                                <w:lang w:eastAsia="zh-CN"/>
                              </w:rPr>
                            </w:pPr>
                            <w:r>
                              <w:rPr>
                                <w:rFonts w:hint="eastAsia"/>
                                <w:b/>
                                <w:bCs/>
                                <w:lang w:eastAsia="zh-CN"/>
                              </w:rPr>
                              <w:t>项目位置</w:t>
                            </w:r>
                          </w:p>
                        </w:txbxContent>
                      </wps:txbx>
                      <wps:bodyPr upright="1"/>
                    </wps:wsp>
                  </a:graphicData>
                </a:graphic>
              </wp:anchor>
            </w:drawing>
          </mc:Choice>
          <mc:Fallback>
            <w:pict>
              <v:shape id="自选图形 109" o:spid="_x0000_s1026" o:spt="109" type="#_x0000_t109" style="position:absolute;left:0pt;margin-left:594.9pt;margin-top:286.9pt;height:51.75pt;width:90pt;z-index:251664384;mso-width-relative:page;mso-height-relative:page;" fillcolor="#FFFFFF" filled="t" stroked="t" coordsize="21600,21600" o:gfxdata="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KXc9SXb&#10;AAAADQEAAA8AAAAAAAAAAQAgAAAAIgAAAGRycy9kb3ducmV2LnhtbFBLAQIUABQAAAAIAIdO4kDk&#10;bdg7HQIAAEwEAAAOAAAAAAAAAAEAIAAAACoBAABkcnMvZTJvRG9jLnhtbFBLBQYAAAAABgAGAFkB&#10;AAC5BQAAAAA=&#10;">
                <v:fill on="t" focussize="0,0"/>
                <v:stroke color="#000000" joinstyle="miter"/>
                <v:imagedata o:title=""/>
                <o:lock v:ext="edit" aspectratio="f"/>
                <v:textbox>
                  <w:txbxContent>
                    <w:p w14:paraId="1FB1A147">
                      <w:pPr>
                        <w:spacing w:line="360" w:lineRule="auto"/>
                        <w:jc w:val="center"/>
                        <w:rPr>
                          <w:rFonts w:hint="eastAsia"/>
                          <w:b/>
                          <w:bCs/>
                          <w:sz w:val="28"/>
                          <w:szCs w:val="36"/>
                          <w:lang w:eastAsia="zh-CN"/>
                        </w:rPr>
                      </w:pPr>
                      <w:r>
                        <w:rPr>
                          <w:rFonts w:hint="eastAsia"/>
                          <w:b/>
                          <w:bCs/>
                          <w:sz w:val="28"/>
                          <w:szCs w:val="36"/>
                          <w:lang w:eastAsia="zh-CN"/>
                        </w:rPr>
                        <w:t>图例</w:t>
                      </w:r>
                    </w:p>
                    <w:p w14:paraId="1775FC4A">
                      <w:pPr>
                        <w:spacing w:line="360" w:lineRule="auto"/>
                        <w:ind w:firstLine="632" w:firstLineChars="300"/>
                        <w:jc w:val="right"/>
                        <w:rPr>
                          <w:rFonts w:hint="eastAsia"/>
                          <w:lang w:eastAsia="zh-CN"/>
                        </w:rPr>
                      </w:pPr>
                      <w:r>
                        <w:rPr>
                          <w:rFonts w:hint="eastAsia"/>
                          <w:b/>
                          <w:bCs/>
                          <w:lang w:eastAsia="zh-CN"/>
                        </w:rPr>
                        <w:t>项目位置</w:t>
                      </w:r>
                    </w:p>
                  </w:txbxContent>
                </v:textbox>
              </v:shape>
            </w:pict>
          </mc:Fallback>
        </mc:AlternateContent>
      </w:r>
      <w:r>
        <w:rPr>
          <w:rFonts w:cs="Times New Roman"/>
          <w:color w:val="auto"/>
        </w:rPr>
        <mc:AlternateContent>
          <mc:Choice Requires="wps">
            <w:drawing>
              <wp:anchor distT="0" distB="0" distL="114300" distR="114300" simplePos="0" relativeHeight="251663360" behindDoc="0" locked="0" layoutInCell="1" allowOverlap="1">
                <wp:simplePos x="0" y="0"/>
                <wp:positionH relativeFrom="column">
                  <wp:posOffset>4689475</wp:posOffset>
                </wp:positionH>
                <wp:positionV relativeFrom="paragraph">
                  <wp:posOffset>1780540</wp:posOffset>
                </wp:positionV>
                <wp:extent cx="1113155" cy="413385"/>
                <wp:effectExtent l="4445" t="5080" r="6350" b="629285"/>
                <wp:wrapNone/>
                <wp:docPr id="55" name="对话气泡: 椭圆形 12"/>
                <wp:cNvGraphicFramePr/>
                <a:graphic xmlns:a="http://schemas.openxmlformats.org/drawingml/2006/main">
                  <a:graphicData uri="http://schemas.microsoft.com/office/word/2010/wordprocessingShape">
                    <wps:wsp>
                      <wps:cNvSpPr/>
                      <wps:spPr>
                        <a:xfrm>
                          <a:off x="0" y="0"/>
                          <a:ext cx="1113155" cy="413385"/>
                        </a:xfrm>
                        <a:prstGeom prst="wedgeEllipseCallout">
                          <a:avLst>
                            <a:gd name="adj1" fmla="val -33287"/>
                            <a:gd name="adj2" fmla="val 200384"/>
                          </a:avLst>
                        </a:prstGeom>
                        <a:solidFill>
                          <a:srgbClr val="FFFFFF"/>
                        </a:solidFill>
                        <a:ln w="6350" cap="flat" cmpd="sng">
                          <a:solidFill>
                            <a:srgbClr val="000000"/>
                          </a:solidFill>
                          <a:prstDash val="solid"/>
                          <a:round/>
                          <a:headEnd type="none" w="med" len="med"/>
                          <a:tailEnd type="none" w="med" len="med"/>
                        </a:ln>
                      </wps:spPr>
                      <wps:txbx>
                        <w:txbxContent>
                          <w:p w14:paraId="575B8760">
                            <w:pPr>
                              <w:jc w:val="center"/>
                              <w:rPr>
                                <w:rFonts w:ascii="仿宋" w:hAnsi="仿宋" w:eastAsia="仿宋"/>
                                <w:bCs/>
                                <w:color w:val="000000" w:themeColor="text1"/>
                                <w:sz w:val="15"/>
                                <w:szCs w:val="15"/>
                                <w14:textFill>
                                  <w14:solidFill>
                                    <w14:schemeClr w14:val="tx1"/>
                                  </w14:solidFill>
                                </w14:textFill>
                              </w:rPr>
                            </w:pPr>
                            <w:r>
                              <w:rPr>
                                <w:rFonts w:hint="eastAsia" w:ascii="仿宋" w:hAnsi="仿宋" w:eastAsia="仿宋"/>
                                <w:bCs/>
                                <w:color w:val="000000" w:themeColor="text1"/>
                                <w:sz w:val="15"/>
                                <w:szCs w:val="15"/>
                                <w14:textFill>
                                  <w14:solidFill>
                                    <w14:schemeClr w14:val="tx1"/>
                                  </w14:solidFill>
                                </w14:textFill>
                              </w:rPr>
                              <w:t>本项目位置</w:t>
                            </w:r>
                          </w:p>
                        </w:txbxContent>
                      </wps:txbx>
                      <wps:bodyPr anchor="ctr" anchorCtr="0" upright="1"/>
                    </wps:wsp>
                  </a:graphicData>
                </a:graphic>
              </wp:anchor>
            </w:drawing>
          </mc:Choice>
          <mc:Fallback>
            <w:pict>
              <v:shape id="对话气泡: 椭圆形 12" o:spid="_x0000_s1026" o:spt="63" type="#_x0000_t63" style="position:absolute;left:0pt;margin-left:369.25pt;margin-top:140.2pt;height:32.55pt;width:87.65pt;z-index:251663360;v-text-anchor:middle;mso-width-relative:page;mso-height-relative:page;" fillcolor="#FFFFFF" filled="t" stroked="t" coordsize="21600,21600" o:gfxdata="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6bF1&#10;S9gAAAALAQAADwAAAAAAAAABACAAAAAiAAAAZHJzL2Rvd25yZXYueG1sUEsBAhQAFAAAAAgAh07i&#10;QFmTepxbAgAAuQQAAA4AAAAAAAAAAQAgAAAAJwEAAGRycy9lMm9Eb2MueG1sUEsFBgAAAAAGAAYA&#10;WQEAAPQFAAAAAA==&#10;" adj="3610,54083">
                <v:fill on="t" focussize="0,0"/>
                <v:stroke weight="0.5pt" color="#000000" joinstyle="round"/>
                <v:imagedata o:title=""/>
                <o:lock v:ext="edit" aspectratio="f"/>
                <v:textbox>
                  <w:txbxContent>
                    <w:p w14:paraId="575B8760">
                      <w:pPr>
                        <w:jc w:val="center"/>
                        <w:rPr>
                          <w:rFonts w:ascii="仿宋" w:hAnsi="仿宋" w:eastAsia="仿宋"/>
                          <w:bCs/>
                          <w:color w:val="000000" w:themeColor="text1"/>
                          <w:sz w:val="15"/>
                          <w:szCs w:val="15"/>
                          <w14:textFill>
                            <w14:solidFill>
                              <w14:schemeClr w14:val="tx1"/>
                            </w14:solidFill>
                          </w14:textFill>
                        </w:rPr>
                      </w:pPr>
                      <w:r>
                        <w:rPr>
                          <w:rFonts w:hint="eastAsia" w:ascii="仿宋" w:hAnsi="仿宋" w:eastAsia="仿宋"/>
                          <w:bCs/>
                          <w:color w:val="000000" w:themeColor="text1"/>
                          <w:sz w:val="15"/>
                          <w:szCs w:val="15"/>
                          <w14:textFill>
                            <w14:solidFill>
                              <w14:schemeClr w14:val="tx1"/>
                            </w14:solidFill>
                          </w14:textFill>
                        </w:rPr>
                        <w:t>本项目位置</w:t>
                      </w:r>
                    </w:p>
                  </w:txbxContent>
                </v:textbox>
              </v:shape>
            </w:pict>
          </mc:Fallback>
        </mc:AlternateContent>
      </w:r>
      <w:r>
        <w:rPr>
          <w:rFonts w:cs="Times New Roman"/>
          <w:color w:val="auto"/>
        </w:rPr>
        <mc:AlternateContent>
          <mc:Choice Requires="wps">
            <w:drawing>
              <wp:anchor distT="0" distB="0" distL="114300" distR="114300" simplePos="0" relativeHeight="251662336" behindDoc="0" locked="0" layoutInCell="1" allowOverlap="1">
                <wp:simplePos x="0" y="0"/>
                <wp:positionH relativeFrom="column">
                  <wp:posOffset>4829810</wp:posOffset>
                </wp:positionH>
                <wp:positionV relativeFrom="paragraph">
                  <wp:posOffset>2804795</wp:posOffset>
                </wp:positionV>
                <wp:extent cx="58420" cy="50800"/>
                <wp:effectExtent l="12700" t="12700" r="24130" b="12700"/>
                <wp:wrapNone/>
                <wp:docPr id="54" name="星形: 五角 14"/>
                <wp:cNvGraphicFramePr/>
                <a:graphic xmlns:a="http://schemas.openxmlformats.org/drawingml/2006/main">
                  <a:graphicData uri="http://schemas.microsoft.com/office/word/2010/wordprocessingShape">
                    <wps:wsp>
                      <wps:cNvSpPr/>
                      <wps:spPr>
                        <a:xfrm>
                          <a:off x="4041775" y="3388995"/>
                          <a:ext cx="58420" cy="50800"/>
                        </a:xfrm>
                        <a:prstGeom prst="star5">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五角 14" o:spid="_x0000_s1026" style="position:absolute;left:0pt;margin-left:380.3pt;margin-top:220.85pt;height:4pt;width:4.6pt;z-index:251662336;v-text-anchor:middle;mso-width-relative:page;mso-height-relative:page;" fillcolor="#FF0000" filled="t" stroked="t" coordsize="58420,50800" o:gfxdata="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D4iJNt3AAAAAsBAAAPAAAA&#10;AAAAAAEAIAAAACIAAABkcnMvZG93bnJldi54bWxQSwECFAAUAAAACACHTuJAylLFIYMCAAD/BAAA&#10;DgAAAAAAAAABACAAAAArAQAAZHJzL2Uyb0RvYy54bWxQSwUGAAAAAAYABgBZAQAAIAYAAAAA&#10;" path="m0,19403l22314,19403,29210,0,36105,19403,58419,19403,40367,31395,47262,50799,29210,38807,11157,50799,18052,31395xe">
                <v:path o:connectlocs="29210,0;0,19403;11157,50799;47262,50799;58419,19403" o:connectangles="247,164,82,82,0"/>
                <v:fill on="t" focussize="0,0"/>
                <v:stroke weight="2pt" color="#FF0000" joinstyle="round"/>
                <v:imagedata o:title=""/>
                <o:lock v:ext="edit" aspectratio="f"/>
              </v:shape>
            </w:pict>
          </mc:Fallback>
        </mc:AlternateContent>
      </w:r>
      <w:r>
        <w:rPr>
          <w:color w:val="auto"/>
        </w:rPr>
        <w:drawing>
          <wp:inline distT="0" distB="0" distL="114300" distR="114300">
            <wp:extent cx="8741410" cy="4316095"/>
            <wp:effectExtent l="0" t="0" r="2540" b="8255"/>
            <wp:docPr id="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2"/>
                    <pic:cNvPicPr>
                      <a:picLocks noChangeAspect="1"/>
                    </pic:cNvPicPr>
                  </pic:nvPicPr>
                  <pic:blipFill>
                    <a:blip r:embed="rId37"/>
                    <a:stretch>
                      <a:fillRect/>
                    </a:stretch>
                  </pic:blipFill>
                  <pic:spPr>
                    <a:xfrm>
                      <a:off x="0" y="0"/>
                      <a:ext cx="8741410" cy="4316095"/>
                    </a:xfrm>
                    <a:prstGeom prst="rect">
                      <a:avLst/>
                    </a:prstGeom>
                    <a:noFill/>
                    <a:ln>
                      <a:noFill/>
                    </a:ln>
                  </pic:spPr>
                </pic:pic>
              </a:graphicData>
            </a:graphic>
          </wp:inline>
        </w:drawing>
      </w:r>
    </w:p>
    <w:p w14:paraId="090716E6">
      <w:pPr>
        <w:pStyle w:val="62"/>
        <w:keepLines w:val="0"/>
        <w:pageBreakBefore w:val="0"/>
        <w:topLinePunct w:val="0"/>
        <w:bidi w:val="0"/>
        <w:spacing w:beforeAutospacing="0" w:afterAutospacing="0" w:line="360" w:lineRule="auto"/>
        <w:ind w:right="0" w:rightChars="0"/>
        <w:jc w:val="center"/>
        <w:rPr>
          <w:rFonts w:hint="eastAsia" w:ascii="宋体" w:hAnsi="Times New Roman" w:eastAsia="宋体" w:cs="宋体"/>
          <w:b/>
          <w:color w:val="auto"/>
          <w:kern w:val="0"/>
          <w:sz w:val="21"/>
          <w:szCs w:val="21"/>
          <w:lang w:val="en-US" w:eastAsia="zh-CN" w:bidi="ar-SA"/>
        </w:rPr>
        <w:sectPr>
          <w:pgSz w:w="16838" w:h="11906" w:orient="landscape"/>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6D12BBB2">
      <w:pPr>
        <w:pStyle w:val="30"/>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0"/>
        <w:rPr>
          <w:color w:val="auto"/>
        </w:rPr>
      </w:pPr>
      <w:r>
        <w:rPr>
          <w:rFonts w:hint="eastAsia" w:asciiTheme="minorEastAsia" w:hAnsiTheme="minorEastAsia" w:eastAsiaTheme="minorEastAsia" w:cstheme="minorEastAsia"/>
          <w:snapToGrid w:val="0"/>
          <w:color w:val="auto"/>
          <w:kern w:val="0"/>
          <w:sz w:val="32"/>
          <w:szCs w:val="32"/>
          <w:highlight w:val="none"/>
          <w:lang w:val="en-US" w:eastAsia="zh-CN" w:bidi="ar-SA"/>
        </w:rPr>
        <w:t>附图2：厂区总平面布置图</w:t>
      </w:r>
    </w:p>
    <w:p w14:paraId="5FE4E5D2">
      <w:pPr>
        <w:jc w:val="center"/>
        <w:rPr>
          <w:rFonts w:hint="eastAsia" w:eastAsia="宋体"/>
          <w:color w:val="auto"/>
          <w:sz w:val="21"/>
          <w:lang w:eastAsia="zh-CN"/>
        </w:rPr>
      </w:pPr>
      <w:r>
        <w:rPr>
          <w:color w:val="auto"/>
          <w:sz w:val="21"/>
        </w:rPr>
        <mc:AlternateContent>
          <mc:Choice Requires="wps">
            <w:drawing>
              <wp:anchor distT="0" distB="0" distL="114300" distR="114300" simplePos="0" relativeHeight="251678720" behindDoc="0" locked="0" layoutInCell="1" allowOverlap="1">
                <wp:simplePos x="0" y="0"/>
                <wp:positionH relativeFrom="column">
                  <wp:posOffset>2124710</wp:posOffset>
                </wp:positionH>
                <wp:positionV relativeFrom="paragraph">
                  <wp:posOffset>2226945</wp:posOffset>
                </wp:positionV>
                <wp:extent cx="678815" cy="318770"/>
                <wp:effectExtent l="12700" t="224790" r="13335" b="27940"/>
                <wp:wrapNone/>
                <wp:docPr id="65" name="矩形标注 65"/>
                <wp:cNvGraphicFramePr/>
                <a:graphic xmlns:a="http://schemas.openxmlformats.org/drawingml/2006/main">
                  <a:graphicData uri="http://schemas.microsoft.com/office/word/2010/wordprocessingShape">
                    <wps:wsp>
                      <wps:cNvSpPr/>
                      <wps:spPr>
                        <a:xfrm>
                          <a:off x="0" y="0"/>
                          <a:ext cx="678815" cy="318770"/>
                        </a:xfrm>
                        <a:prstGeom prst="wedgeRectCallout">
                          <a:avLst>
                            <a:gd name="adj1" fmla="val 40926"/>
                            <a:gd name="adj2" fmla="val -116533"/>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32EEF267">
                            <w:pPr>
                              <w:jc w:val="center"/>
                              <w:rPr>
                                <w:rFonts w:hint="default" w:eastAsia="宋体"/>
                                <w:lang w:val="en-US" w:eastAsia="zh-CN"/>
                              </w:rPr>
                            </w:pPr>
                            <w:r>
                              <w:rPr>
                                <w:rFonts w:hint="eastAsia"/>
                                <w:lang w:val="en-US" w:eastAsia="zh-CN"/>
                              </w:rPr>
                              <w:t>DW001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67.3pt;margin-top:175.35pt;height:25.1pt;width:53.45pt;z-index:251678720;v-text-anchor:middle;mso-width-relative:page;mso-height-relative:page;" fillcolor="#FFFFFF [3212]" filled="t" stroked="t" coordsize="21600,21600" o:gfxdata="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KTXyfTZAAAACwEAAA8AAAAAAAAAAQAgAAAAIgAAAGRycy9kb3ducmV2Lnht&#10;bFBLAQIUABQAAAAIAIdO4kCN1GZMowIAAE4FAAAOAAAAAAAAAAEAIAAAACgBAABkcnMvZTJvRG9j&#10;LnhtbFBLBQYAAAAABgAGAFkBAAA9BgAAAAA=&#10;" adj="19640,-14371">
                <v:fill on="t" focussize="0,0"/>
                <v:stroke weight="2pt" color="#000000 [3213]" joinstyle="round"/>
                <v:imagedata o:title=""/>
                <o:lock v:ext="edit" aspectratio="f"/>
                <v:textbox>
                  <w:txbxContent>
                    <w:p w14:paraId="32EEF267">
                      <w:pPr>
                        <w:jc w:val="center"/>
                        <w:rPr>
                          <w:rFonts w:hint="default" w:eastAsia="宋体"/>
                          <w:lang w:val="en-US" w:eastAsia="zh-CN"/>
                        </w:rPr>
                      </w:pPr>
                      <w:r>
                        <w:rPr>
                          <w:rFonts w:hint="eastAsia"/>
                          <w:lang w:val="en-US" w:eastAsia="zh-CN"/>
                        </w:rPr>
                        <w:t>DW001</w:t>
                      </w:r>
                    </w:p>
                  </w:txbxContent>
                </v:textbox>
              </v:shape>
            </w:pict>
          </mc:Fallback>
        </mc:AlternateContent>
      </w:r>
      <w:r>
        <w:rPr>
          <w:color w:val="auto"/>
          <w:sz w:val="21"/>
        </w:rPr>
        <mc:AlternateContent>
          <mc:Choice Requires="wps">
            <w:drawing>
              <wp:anchor distT="0" distB="0" distL="114300" distR="114300" simplePos="0" relativeHeight="251669504" behindDoc="0" locked="0" layoutInCell="1" allowOverlap="1">
                <wp:simplePos x="0" y="0"/>
                <wp:positionH relativeFrom="column">
                  <wp:posOffset>448310</wp:posOffset>
                </wp:positionH>
                <wp:positionV relativeFrom="paragraph">
                  <wp:posOffset>1781175</wp:posOffset>
                </wp:positionV>
                <wp:extent cx="678815" cy="318770"/>
                <wp:effectExtent l="12700" t="12700" r="337185" b="30480"/>
                <wp:wrapNone/>
                <wp:docPr id="39" name="矩形标注 39"/>
                <wp:cNvGraphicFramePr/>
                <a:graphic xmlns:a="http://schemas.openxmlformats.org/drawingml/2006/main">
                  <a:graphicData uri="http://schemas.microsoft.com/office/word/2010/wordprocessingShape">
                    <wps:wsp>
                      <wps:cNvSpPr/>
                      <wps:spPr>
                        <a:xfrm>
                          <a:off x="4553585" y="4048125"/>
                          <a:ext cx="678815" cy="318770"/>
                        </a:xfrm>
                        <a:prstGeom prst="wedgeRectCallout">
                          <a:avLst>
                            <a:gd name="adj1" fmla="val 97053"/>
                            <a:gd name="adj2" fmla="val -6175"/>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28153BF4">
                            <w:pPr>
                              <w:jc w:val="center"/>
                              <w:rPr>
                                <w:rFonts w:hint="default" w:eastAsia="宋体"/>
                                <w:lang w:val="en-US" w:eastAsia="zh-CN"/>
                              </w:rPr>
                            </w:pPr>
                            <w:r>
                              <w:rPr>
                                <w:rFonts w:hint="eastAsia"/>
                                <w:lang w:val="en-US" w:eastAsia="zh-CN"/>
                              </w:rPr>
                              <w:t>DA001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5.3pt;margin-top:140.25pt;height:25.1pt;width:53.45pt;z-index:251669504;v-text-anchor:middle;mso-width-relative:page;mso-height-relative:page;" fillcolor="#FFFFFF [3212]" filled="t" stroked="t" coordsize="21600,21600" o:gfxdata="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Dfd0MP2QAAAAoBAAAPAAAAAAAAAAEAIAAAACIAAABk&#10;cnMvZG93bnJldi54bWxQSwECFAAUAAAACACHTuJAH1cAHLACAABYBQAADgAAAAAAAAABACAAAAAo&#10;AQAAZHJzL2Uyb0RvYy54bWxQSwUGAAAAAAYABgBZAQAASgYAAAAA&#10;" adj="31763,9466">
                <v:fill on="t" focussize="0,0"/>
                <v:stroke weight="2pt" color="#000000 [3213]" joinstyle="round"/>
                <v:imagedata o:title=""/>
                <o:lock v:ext="edit" aspectratio="f"/>
                <v:textbox>
                  <w:txbxContent>
                    <w:p w14:paraId="28153BF4">
                      <w:pPr>
                        <w:jc w:val="center"/>
                        <w:rPr>
                          <w:rFonts w:hint="default" w:eastAsia="宋体"/>
                          <w:lang w:val="en-US" w:eastAsia="zh-CN"/>
                        </w:rPr>
                      </w:pPr>
                      <w:r>
                        <w:rPr>
                          <w:rFonts w:hint="eastAsia"/>
                          <w:lang w:val="en-US" w:eastAsia="zh-CN"/>
                        </w:rPr>
                        <w:t>DA001</w:t>
                      </w:r>
                    </w:p>
                  </w:txbxContent>
                </v:textbox>
              </v:shape>
            </w:pict>
          </mc:Fallback>
        </mc:AlternateContent>
      </w:r>
      <w:r>
        <w:rPr>
          <w:rFonts w:hint="eastAsia" w:eastAsia="宋体"/>
          <w:color w:val="auto"/>
          <w:sz w:val="21"/>
          <w:lang w:eastAsia="zh-CN"/>
        </w:rPr>
        <w:drawing>
          <wp:inline distT="0" distB="0" distL="114300" distR="114300">
            <wp:extent cx="6807200" cy="4810125"/>
            <wp:effectExtent l="0" t="0" r="12700" b="9525"/>
            <wp:docPr id="64" name="图片 64" descr="平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平面图"/>
                    <pic:cNvPicPr>
                      <a:picLocks noChangeAspect="1"/>
                    </pic:cNvPicPr>
                  </pic:nvPicPr>
                  <pic:blipFill>
                    <a:blip r:embed="rId38"/>
                    <a:stretch>
                      <a:fillRect/>
                    </a:stretch>
                  </pic:blipFill>
                  <pic:spPr>
                    <a:xfrm>
                      <a:off x="0" y="0"/>
                      <a:ext cx="6807200" cy="4810125"/>
                    </a:xfrm>
                    <a:prstGeom prst="rect">
                      <a:avLst/>
                    </a:prstGeom>
                  </pic:spPr>
                </pic:pic>
              </a:graphicData>
            </a:graphic>
          </wp:inline>
        </w:drawing>
      </w:r>
    </w:p>
    <w:p w14:paraId="596C78A5">
      <w:pPr>
        <w:pStyle w:val="4"/>
        <w:rPr>
          <w:color w:val="auto"/>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p>
    <w:p w14:paraId="78715DDA">
      <w:pPr>
        <w:pStyle w:val="27"/>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textAlignment w:val="auto"/>
        <w:outlineLvl w:val="0"/>
        <w:rPr>
          <w:rFonts w:hint="default" w:asciiTheme="minorEastAsia" w:hAnsiTheme="minorEastAsia" w:eastAsiaTheme="minorEastAsia" w:cstheme="minorEastAsia"/>
          <w:snapToGrid w:val="0"/>
          <w:color w:val="auto"/>
          <w:sz w:val="32"/>
          <w:szCs w:val="32"/>
          <w:highlight w:val="none"/>
          <w:lang w:val="en-US" w:eastAsia="zh-CN"/>
        </w:rPr>
      </w:pPr>
      <w:bookmarkStart w:id="26" w:name="_Toc14664"/>
      <w:r>
        <w:rPr>
          <w:rFonts w:hint="eastAsia" w:asciiTheme="minorEastAsia" w:hAnsiTheme="minorEastAsia" w:eastAsiaTheme="minorEastAsia" w:cstheme="minorEastAsia"/>
          <w:snapToGrid w:val="0"/>
          <w:color w:val="auto"/>
          <w:sz w:val="32"/>
          <w:szCs w:val="32"/>
          <w:highlight w:val="none"/>
          <w:lang w:val="en-US" w:eastAsia="zh-CN"/>
        </w:rPr>
        <w:t>附图3：分区防渗图</w:t>
      </w:r>
    </w:p>
    <w:p w14:paraId="19245350">
      <w:pPr>
        <w:pStyle w:val="27"/>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jc w:val="center"/>
        <w:textAlignment w:val="auto"/>
        <w:outlineLvl w:val="9"/>
        <w:rPr>
          <w:rFonts w:hint="eastAsia" w:asciiTheme="minorEastAsia" w:hAnsiTheme="minorEastAsia" w:eastAsiaTheme="minorEastAsia" w:cstheme="minorEastAsia"/>
          <w:snapToGrid w:val="0"/>
          <w:color w:val="auto"/>
          <w:sz w:val="32"/>
          <w:szCs w:val="32"/>
          <w:highlight w:val="none"/>
          <w:lang w:val="en-US" w:eastAsia="zh-CN"/>
        </w:rPr>
      </w:pPr>
      <w:r>
        <w:rPr>
          <w:rFonts w:hint="eastAsia" w:asciiTheme="minorEastAsia" w:hAnsiTheme="minorEastAsia" w:eastAsiaTheme="minorEastAsia" w:cstheme="minorEastAsia"/>
          <w:snapToGrid w:val="0"/>
          <w:color w:val="auto"/>
          <w:sz w:val="32"/>
          <w:szCs w:val="32"/>
          <w:highlight w:val="none"/>
          <w:lang w:val="en-US" w:eastAsia="zh-CN"/>
        </w:rPr>
        <w:drawing>
          <wp:inline distT="0" distB="0" distL="114300" distR="114300">
            <wp:extent cx="7640320" cy="4745990"/>
            <wp:effectExtent l="0" t="0" r="17780" b="16510"/>
            <wp:docPr id="9" name="图片 9" descr="平面图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平面图 - 副本"/>
                    <pic:cNvPicPr>
                      <a:picLocks noChangeAspect="1"/>
                    </pic:cNvPicPr>
                  </pic:nvPicPr>
                  <pic:blipFill>
                    <a:blip r:embed="rId39"/>
                    <a:stretch>
                      <a:fillRect/>
                    </a:stretch>
                  </pic:blipFill>
                  <pic:spPr>
                    <a:xfrm>
                      <a:off x="0" y="0"/>
                      <a:ext cx="7640320" cy="4745990"/>
                    </a:xfrm>
                    <a:prstGeom prst="rect">
                      <a:avLst/>
                    </a:prstGeom>
                  </pic:spPr>
                </pic:pic>
              </a:graphicData>
            </a:graphic>
          </wp:inline>
        </w:drawing>
      </w:r>
    </w:p>
    <w:p w14:paraId="048B0280">
      <w:pPr>
        <w:pStyle w:val="27"/>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textAlignment w:val="auto"/>
        <w:outlineLvl w:val="0"/>
        <w:rPr>
          <w:rFonts w:hint="eastAsia" w:asciiTheme="minorEastAsia" w:hAnsiTheme="minorEastAsia" w:eastAsiaTheme="minorEastAsia" w:cstheme="minorEastAsia"/>
          <w:snapToGrid w:val="0"/>
          <w:color w:val="auto"/>
          <w:sz w:val="32"/>
          <w:szCs w:val="32"/>
          <w:highlight w:val="none"/>
          <w:lang w:eastAsia="zh-CN"/>
        </w:rPr>
      </w:pPr>
      <w:r>
        <w:rPr>
          <w:rFonts w:hint="eastAsia" w:asciiTheme="minorEastAsia" w:hAnsiTheme="minorEastAsia" w:eastAsiaTheme="minorEastAsia" w:cstheme="minorEastAsia"/>
          <w:snapToGrid w:val="0"/>
          <w:color w:val="auto"/>
          <w:sz w:val="32"/>
          <w:szCs w:val="32"/>
          <w:highlight w:val="none"/>
          <w:lang w:val="en-US" w:eastAsia="zh-CN"/>
        </w:rPr>
        <w:t>附图4：</w:t>
      </w:r>
      <w:r>
        <w:rPr>
          <w:rFonts w:hint="eastAsia" w:asciiTheme="minorEastAsia" w:hAnsiTheme="minorEastAsia" w:eastAsiaTheme="minorEastAsia" w:cstheme="minorEastAsia"/>
          <w:snapToGrid w:val="0"/>
          <w:color w:val="auto"/>
          <w:sz w:val="32"/>
          <w:szCs w:val="32"/>
          <w:highlight w:val="none"/>
          <w:lang w:eastAsia="zh-CN"/>
        </w:rPr>
        <w:t>项目周围敏感目标</w:t>
      </w:r>
      <w:r>
        <w:rPr>
          <w:rFonts w:hint="eastAsia" w:asciiTheme="minorEastAsia" w:hAnsiTheme="minorEastAsia" w:eastAsiaTheme="minorEastAsia" w:cstheme="minorEastAsia"/>
          <w:snapToGrid w:val="0"/>
          <w:color w:val="auto"/>
          <w:sz w:val="32"/>
          <w:szCs w:val="32"/>
          <w:highlight w:val="none"/>
        </w:rPr>
        <w:t>图</w:t>
      </w:r>
    </w:p>
    <w:p w14:paraId="1A1500E9">
      <w:pPr>
        <w:pStyle w:val="27"/>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jc w:val="center"/>
        <w:textAlignment w:val="auto"/>
        <w:outlineLvl w:val="9"/>
        <w:rPr>
          <w:rFonts w:hint="eastAsia" w:eastAsia="宋体" w:asciiTheme="minorEastAsia" w:hAnsiTheme="minorEastAsia" w:cstheme="minorEastAsia"/>
          <w:snapToGrid w:val="0"/>
          <w:color w:val="auto"/>
          <w:sz w:val="32"/>
          <w:szCs w:val="32"/>
          <w:highlight w:val="none"/>
          <w:lang w:eastAsia="zh-CN"/>
        </w:rPr>
      </w:pPr>
      <w:r>
        <w:rPr>
          <w:color w:val="auto"/>
          <w:sz w:val="24"/>
        </w:rPr>
        <mc:AlternateContent>
          <mc:Choice Requires="wps">
            <w:drawing>
              <wp:anchor distT="0" distB="0" distL="114300" distR="114300" simplePos="0" relativeHeight="251677696" behindDoc="0" locked="0" layoutInCell="1" allowOverlap="1">
                <wp:simplePos x="0" y="0"/>
                <wp:positionH relativeFrom="column">
                  <wp:posOffset>2715260</wp:posOffset>
                </wp:positionH>
                <wp:positionV relativeFrom="paragraph">
                  <wp:posOffset>2772410</wp:posOffset>
                </wp:positionV>
                <wp:extent cx="914400" cy="450215"/>
                <wp:effectExtent l="193675" t="496570" r="15875" b="24765"/>
                <wp:wrapNone/>
                <wp:docPr id="11" name="矩形标注 11"/>
                <wp:cNvGraphicFramePr/>
                <a:graphic xmlns:a="http://schemas.openxmlformats.org/drawingml/2006/main">
                  <a:graphicData uri="http://schemas.microsoft.com/office/word/2010/wordprocessingShape">
                    <wps:wsp>
                      <wps:cNvSpPr/>
                      <wps:spPr>
                        <a:xfrm>
                          <a:off x="3658235" y="4319905"/>
                          <a:ext cx="914400" cy="450215"/>
                        </a:xfrm>
                        <a:prstGeom prst="wedgeRectCallout">
                          <a:avLst>
                            <a:gd name="adj1" fmla="val -69791"/>
                            <a:gd name="adj2" fmla="val -157475"/>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06C0C177">
                            <w:pPr>
                              <w:rPr>
                                <w:color w:val="auto"/>
                              </w:rPr>
                            </w:pPr>
                            <w:r>
                              <w:rPr>
                                <w:rFonts w:hint="eastAsia" w:ascii="Times New Roman" w:cs="Times New Roman"/>
                                <w:color w:val="auto"/>
                                <w:kern w:val="0"/>
                                <w:sz w:val="21"/>
                                <w:szCs w:val="21"/>
                                <w:lang w:val="en-US" w:eastAsia="zh-CN" w:bidi="ar-SA"/>
                              </w:rPr>
                              <w:t>黑龙江能源职业学院</w:t>
                            </w:r>
                          </w:p>
                          <w:p w14:paraId="42747936">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13.8pt;margin-top:218.3pt;height:35.45pt;width:72pt;z-index:251677696;v-text-anchor:middle;mso-width-relative:page;mso-height-relative:page;" fillcolor="#FFFFFF [3212]" filled="t" stroked="t" coordsize="21600,21600" o:gfxdata="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bCO4n2AAAAAsBAAAPAAAAAAAAAAEAIAAAACIAAABkcnMv&#10;ZG93bnJldi54bWxQSwECFAAUAAAACACHTuJArz/XIa4CAABbBQAADgAAAAAAAAABACAAAAAnAQAA&#10;ZHJzL2Uyb0RvYy54bWxQSwUGAAAAAAYABgBZAQAARwYAAAAA&#10;" adj="-4275,-23215">
                <v:fill on="t" focussize="0,0"/>
                <v:stroke weight="2pt" color="#000000 [3213]" joinstyle="round"/>
                <v:imagedata o:title=""/>
                <o:lock v:ext="edit" aspectratio="f"/>
                <v:textbox>
                  <w:txbxContent>
                    <w:p w14:paraId="06C0C177">
                      <w:pPr>
                        <w:rPr>
                          <w:color w:val="auto"/>
                        </w:rPr>
                      </w:pPr>
                      <w:r>
                        <w:rPr>
                          <w:rFonts w:hint="eastAsia" w:ascii="Times New Roman" w:cs="Times New Roman"/>
                          <w:color w:val="auto"/>
                          <w:kern w:val="0"/>
                          <w:sz w:val="21"/>
                          <w:szCs w:val="21"/>
                          <w:lang w:val="en-US" w:eastAsia="zh-CN" w:bidi="ar-SA"/>
                        </w:rPr>
                        <w:t>黑龙江能源职业学院</w:t>
                      </w:r>
                    </w:p>
                    <w:p w14:paraId="42747936">
                      <w:pPr>
                        <w:jc w:val="center"/>
                      </w:pPr>
                    </w:p>
                  </w:txbxContent>
                </v:textbox>
              </v:shape>
            </w:pict>
          </mc:Fallback>
        </mc:AlternateContent>
      </w:r>
      <w:r>
        <w:rPr>
          <w:color w:val="auto"/>
          <w:sz w:val="24"/>
        </w:rPr>
        <mc:AlternateContent>
          <mc:Choice Requires="wps">
            <w:drawing>
              <wp:anchor distT="0" distB="0" distL="114300" distR="114300" simplePos="0" relativeHeight="251676672" behindDoc="0" locked="0" layoutInCell="1" allowOverlap="1">
                <wp:simplePos x="0" y="0"/>
                <wp:positionH relativeFrom="column">
                  <wp:posOffset>3425190</wp:posOffset>
                </wp:positionH>
                <wp:positionV relativeFrom="paragraph">
                  <wp:posOffset>1181735</wp:posOffset>
                </wp:positionV>
                <wp:extent cx="1104900" cy="312420"/>
                <wp:effectExtent l="4445" t="4445" r="14605" b="6985"/>
                <wp:wrapNone/>
                <wp:docPr id="8" name="文本框 8"/>
                <wp:cNvGraphicFramePr/>
                <a:graphic xmlns:a="http://schemas.openxmlformats.org/drawingml/2006/main">
                  <a:graphicData uri="http://schemas.microsoft.com/office/word/2010/wordprocessingShape">
                    <wps:wsp>
                      <wps:cNvSpPr txBox="1"/>
                      <wps:spPr>
                        <a:xfrm>
                          <a:off x="3406140" y="3215005"/>
                          <a:ext cx="1104900" cy="3124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E257FA3">
                            <w:pPr>
                              <w:rPr>
                                <w:rFonts w:hint="default"/>
                                <w:lang w:val="en-US"/>
                              </w:rPr>
                            </w:pPr>
                            <w:r>
                              <w:rPr>
                                <w:rFonts w:hint="eastAsia" w:cs="Times New Roman"/>
                                <w:color w:val="auto"/>
                                <w:kern w:val="0"/>
                                <w:sz w:val="21"/>
                                <w:szCs w:val="21"/>
                                <w:lang w:val="en-US" w:eastAsia="zh-CN" w:bidi="ar-SA"/>
                              </w:rPr>
                              <w:t>安邦乡公立村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9.7pt;margin-top:93.05pt;height:24.6pt;width:87pt;z-index:251676672;mso-width-relative:page;mso-height-relative:page;" fillcolor="#FFFFFF [3201]" filled="t" stroked="t" coordsize="21600,21600" o:gfxdata="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mBiCe1wAAAAsBAAAPAAAAAAAAAAEAIAAAACIAAABkcnMvZG93bnJldi54bWxQSwECFAAU&#10;AAAACACHTuJAs2tEQ2QCAADDBAAADgAAAAAAAAABACAAAAAmAQAAZHJzL2Uyb0RvYy54bWxQSwUG&#10;AAAAAAYABgBZAQAA/AUAAAAA&#10;">
                <v:fill on="t" focussize="0,0"/>
                <v:stroke weight="0.5pt" color="#000000 [3204]" joinstyle="round"/>
                <v:imagedata o:title=""/>
                <o:lock v:ext="edit" aspectratio="f"/>
                <v:textbox>
                  <w:txbxContent>
                    <w:p w14:paraId="4E257FA3">
                      <w:pPr>
                        <w:rPr>
                          <w:rFonts w:hint="default"/>
                          <w:lang w:val="en-US"/>
                        </w:rPr>
                      </w:pPr>
                      <w:r>
                        <w:rPr>
                          <w:rFonts w:hint="eastAsia" w:cs="Times New Roman"/>
                          <w:color w:val="auto"/>
                          <w:kern w:val="0"/>
                          <w:sz w:val="21"/>
                          <w:szCs w:val="21"/>
                          <w:lang w:val="en-US" w:eastAsia="zh-CN" w:bidi="ar-SA"/>
                        </w:rPr>
                        <w:t>安邦乡公立村</w:t>
                      </w:r>
                    </w:p>
                  </w:txbxContent>
                </v:textbox>
              </v:shape>
            </w:pict>
          </mc:Fallback>
        </mc:AlternateContent>
      </w:r>
      <w:r>
        <w:rPr>
          <w:color w:val="auto"/>
          <w:sz w:val="24"/>
        </w:rPr>
        <mc:AlternateContent>
          <mc:Choice Requires="wps">
            <w:drawing>
              <wp:anchor distT="0" distB="0" distL="114300" distR="114300" simplePos="0" relativeHeight="251673600" behindDoc="0" locked="0" layoutInCell="1" allowOverlap="1">
                <wp:simplePos x="0" y="0"/>
                <wp:positionH relativeFrom="column">
                  <wp:posOffset>7624445</wp:posOffset>
                </wp:positionH>
                <wp:positionV relativeFrom="paragraph">
                  <wp:posOffset>3740150</wp:posOffset>
                </wp:positionV>
                <wp:extent cx="285750" cy="114300"/>
                <wp:effectExtent l="13970" t="13970" r="24130" b="24130"/>
                <wp:wrapNone/>
                <wp:docPr id="46" name="矩形 104"/>
                <wp:cNvGraphicFramePr/>
                <a:graphic xmlns:a="http://schemas.openxmlformats.org/drawingml/2006/main">
                  <a:graphicData uri="http://schemas.microsoft.com/office/word/2010/wordprocessingShape">
                    <wps:wsp>
                      <wps:cNvSpPr/>
                      <wps:spPr>
                        <a:xfrm>
                          <a:off x="0" y="0"/>
                          <a:ext cx="285750" cy="114300"/>
                        </a:xfrm>
                        <a:prstGeom prst="rect">
                          <a:avLst/>
                        </a:prstGeom>
                        <a:noFill/>
                        <a:ln w="28575" cap="flat" cmpd="sng">
                          <a:solidFill>
                            <a:srgbClr val="FF0000"/>
                          </a:solidFill>
                          <a:prstDash val="solid"/>
                          <a:miter/>
                          <a:headEnd type="none" w="med" len="med"/>
                          <a:tailEnd type="none" w="med" len="med"/>
                        </a:ln>
                      </wps:spPr>
                      <wps:bodyPr upright="1"/>
                    </wps:wsp>
                  </a:graphicData>
                </a:graphic>
              </wp:anchor>
            </w:drawing>
          </mc:Choice>
          <mc:Fallback>
            <w:pict>
              <v:rect id="矩形 104" o:spid="_x0000_s1026" o:spt="1" style="position:absolute;left:0pt;margin-left:600.35pt;margin-top:294.5pt;height:9pt;width:22.5pt;z-index:251673600;mso-width-relative:page;mso-height-relative:page;" filled="f" stroked="t" coordsize="21600,21600" o:gfxdata="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OCyVoHYAAAADQEAAA8AAAAAAAAAAQAgAAAAIgAAAGRycy9kb3ducmV2Lnht&#10;bFBLAQIUABQAAAAIAIdO4kBvyUIl+QEAAPgDAAAOAAAAAAAAAAEAIAAAACcBAABkcnMvZTJvRG9j&#10;LnhtbFBLBQYAAAAABgAGAFkBAACSBQAAAAA=&#10;">
                <v:fill on="f" focussize="0,0"/>
                <v:stroke weight="2.25pt" color="#FF0000" joinstyle="miter"/>
                <v:imagedata o:title=""/>
                <o:lock v:ext="edit" aspectratio="f"/>
              </v:rect>
            </w:pict>
          </mc:Fallback>
        </mc:AlternateContent>
      </w:r>
      <w:r>
        <w:rPr>
          <w:color w:val="auto"/>
          <w:sz w:val="24"/>
        </w:rPr>
        <mc:AlternateContent>
          <mc:Choice Requires="wps">
            <w:drawing>
              <wp:anchor distT="0" distB="0" distL="114300" distR="114300" simplePos="0" relativeHeight="251674624" behindDoc="0" locked="0" layoutInCell="1" allowOverlap="1">
                <wp:simplePos x="0" y="0"/>
                <wp:positionH relativeFrom="column">
                  <wp:posOffset>7626350</wp:posOffset>
                </wp:positionH>
                <wp:positionV relativeFrom="paragraph">
                  <wp:posOffset>4009390</wp:posOffset>
                </wp:positionV>
                <wp:extent cx="285750" cy="114300"/>
                <wp:effectExtent l="13970" t="13970" r="24130" b="24130"/>
                <wp:wrapNone/>
                <wp:docPr id="52" name="矩形 104"/>
                <wp:cNvGraphicFramePr/>
                <a:graphic xmlns:a="http://schemas.openxmlformats.org/drawingml/2006/main">
                  <a:graphicData uri="http://schemas.microsoft.com/office/word/2010/wordprocessingShape">
                    <wps:wsp>
                      <wps:cNvSpPr/>
                      <wps:spPr>
                        <a:xfrm>
                          <a:off x="0" y="0"/>
                          <a:ext cx="285750" cy="114300"/>
                        </a:xfrm>
                        <a:prstGeom prst="rect">
                          <a:avLst/>
                        </a:prstGeom>
                        <a:solidFill>
                          <a:srgbClr val="FFFFFF"/>
                        </a:solidFill>
                        <a:ln w="28575" cap="flat" cmpd="sng">
                          <a:solidFill>
                            <a:srgbClr val="0000FE"/>
                          </a:solidFill>
                          <a:prstDash val="solid"/>
                          <a:miter/>
                          <a:headEnd type="none" w="med" len="med"/>
                          <a:tailEnd type="none" w="med" len="med"/>
                        </a:ln>
                      </wps:spPr>
                      <wps:bodyPr upright="1"/>
                    </wps:wsp>
                  </a:graphicData>
                </a:graphic>
              </wp:anchor>
            </w:drawing>
          </mc:Choice>
          <mc:Fallback>
            <w:pict>
              <v:rect id="矩形 104" o:spid="_x0000_s1026" o:spt="1" style="position:absolute;left:0pt;margin-left:600.5pt;margin-top:315.7pt;height:9pt;width:22.5pt;z-index:251674624;mso-width-relative:page;mso-height-relative:page;" fillcolor="#FFFFFF" filled="t" stroked="t" coordsize="21600,21600" o:gfxdata="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wPz/rcAAAADQEAAA8AAAAAAAAAAQAgAAAAIgAAAGRycy9k&#10;b3ducmV2LnhtbFBLAQIUABQAAAAIAIdO4kAg13yS/gEAACEEAAAOAAAAAAAAAAEAIAAAACsBAABk&#10;cnMvZTJvRG9jLnhtbFBLBQYAAAAABgAGAFkBAACbBQAAAAA=&#10;">
                <v:fill on="t" focussize="0,0"/>
                <v:stroke weight="2.25pt" color="#0000FE" joinstyle="miter"/>
                <v:imagedata o:title=""/>
                <o:lock v:ext="edit" aspectratio="f"/>
              </v:rect>
            </w:pict>
          </mc:Fallback>
        </mc:AlternateContent>
      </w:r>
      <w:r>
        <w:rPr>
          <w:color w:val="auto"/>
          <w:sz w:val="24"/>
        </w:rPr>
        <mc:AlternateContent>
          <mc:Choice Requires="wps">
            <w:drawing>
              <wp:anchor distT="0" distB="0" distL="114300" distR="114300" simplePos="0" relativeHeight="251666432" behindDoc="0" locked="0" layoutInCell="1" allowOverlap="1">
                <wp:simplePos x="0" y="0"/>
                <wp:positionH relativeFrom="column">
                  <wp:posOffset>7632700</wp:posOffset>
                </wp:positionH>
                <wp:positionV relativeFrom="paragraph">
                  <wp:posOffset>4570095</wp:posOffset>
                </wp:positionV>
                <wp:extent cx="285750" cy="114300"/>
                <wp:effectExtent l="13970" t="13970" r="24130" b="24130"/>
                <wp:wrapNone/>
                <wp:docPr id="19" name="矩形 104"/>
                <wp:cNvGraphicFramePr/>
                <a:graphic xmlns:a="http://schemas.openxmlformats.org/drawingml/2006/main">
                  <a:graphicData uri="http://schemas.microsoft.com/office/word/2010/wordprocessingShape">
                    <wps:wsp>
                      <wps:cNvSpPr/>
                      <wps:spPr>
                        <a:xfrm>
                          <a:off x="0" y="0"/>
                          <a:ext cx="285750" cy="114300"/>
                        </a:xfrm>
                        <a:prstGeom prst="rect">
                          <a:avLst/>
                        </a:prstGeom>
                        <a:solidFill>
                          <a:srgbClr val="FFFFFF"/>
                        </a:solidFill>
                        <a:ln w="28575" cap="flat" cmpd="sng">
                          <a:solidFill>
                            <a:srgbClr val="FFFF00"/>
                          </a:solidFill>
                          <a:prstDash val="solid"/>
                          <a:miter/>
                          <a:headEnd type="none" w="med" len="med"/>
                          <a:tailEnd type="none" w="med" len="med"/>
                        </a:ln>
                      </wps:spPr>
                      <wps:bodyPr upright="1"/>
                    </wps:wsp>
                  </a:graphicData>
                </a:graphic>
              </wp:anchor>
            </w:drawing>
          </mc:Choice>
          <mc:Fallback>
            <w:pict>
              <v:rect id="矩形 104" o:spid="_x0000_s1026" o:spt="1" style="position:absolute;left:0pt;margin-left:601pt;margin-top:359.85pt;height:9pt;width:22.5pt;z-index:251666432;mso-width-relative:page;mso-height-relative:page;" fillcolor="#FFFFFF" filled="t" stroked="t" coordsize="21600,21600" o:gfxdata="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z9qYudYAAAANAQAADwAAAAAAAAABACAAAAAiAAAAZHJzL2Rvd25yZXYueG1s&#10;UEsBAhQAFAAAAAgAh07iQDimSzf6AQAAIQQAAA4AAAAAAAAAAQAgAAAAJQEAAGRycy9lMm9Eb2Mu&#10;eG1sUEsFBgAAAAAGAAYAWQEAAJEFAAAAAA==&#10;">
                <v:fill on="t" focussize="0,0"/>
                <v:stroke weight="2.25pt" color="#FFFF00" joinstyle="miter"/>
                <v:imagedata o:title=""/>
                <o:lock v:ext="edit" aspectratio="f"/>
              </v:rect>
            </w:pict>
          </mc:Fallback>
        </mc:AlternateContent>
      </w:r>
      <w:r>
        <w:rPr>
          <w:color w:val="auto"/>
          <w:sz w:val="21"/>
        </w:rPr>
        <mc:AlternateContent>
          <mc:Choice Requires="wps">
            <w:drawing>
              <wp:anchor distT="0" distB="0" distL="114300" distR="114300" simplePos="0" relativeHeight="251665408" behindDoc="0" locked="0" layoutInCell="1" allowOverlap="1">
                <wp:simplePos x="0" y="0"/>
                <wp:positionH relativeFrom="column">
                  <wp:posOffset>7343140</wp:posOffset>
                </wp:positionH>
                <wp:positionV relativeFrom="paragraph">
                  <wp:posOffset>3300730</wp:posOffset>
                </wp:positionV>
                <wp:extent cx="1285875" cy="1537970"/>
                <wp:effectExtent l="5080" t="4445" r="4445" b="19685"/>
                <wp:wrapNone/>
                <wp:docPr id="66" name="自选图形 109"/>
                <wp:cNvGraphicFramePr/>
                <a:graphic xmlns:a="http://schemas.openxmlformats.org/drawingml/2006/main">
                  <a:graphicData uri="http://schemas.microsoft.com/office/word/2010/wordprocessingShape">
                    <wps:wsp>
                      <wps:cNvSpPr/>
                      <wps:spPr>
                        <a:xfrm>
                          <a:off x="0" y="0"/>
                          <a:ext cx="1143000" cy="1537970"/>
                        </a:xfrm>
                        <a:prstGeom prst="flowChartProcess">
                          <a:avLst/>
                        </a:prstGeom>
                        <a:solidFill>
                          <a:srgbClr val="FFFFFF"/>
                        </a:solidFill>
                        <a:ln w="9525" cap="flat" cmpd="sng">
                          <a:solidFill>
                            <a:srgbClr val="000000"/>
                          </a:solidFill>
                          <a:prstDash val="solid"/>
                          <a:miter/>
                          <a:headEnd type="none" w="med" len="med"/>
                          <a:tailEnd type="none" w="med" len="med"/>
                        </a:ln>
                        <a:effectLst/>
                      </wps:spPr>
                      <wps:txbx>
                        <w:txbxContent>
                          <w:p w14:paraId="36491F7D">
                            <w:pPr>
                              <w:spacing w:line="360" w:lineRule="auto"/>
                              <w:jc w:val="center"/>
                              <w:rPr>
                                <w:rFonts w:hint="eastAsia"/>
                                <w:b/>
                                <w:bCs/>
                                <w:sz w:val="28"/>
                                <w:szCs w:val="36"/>
                                <w:lang w:eastAsia="zh-CN"/>
                              </w:rPr>
                            </w:pPr>
                            <w:r>
                              <w:rPr>
                                <w:rFonts w:hint="eastAsia"/>
                                <w:b/>
                                <w:bCs/>
                                <w:sz w:val="28"/>
                                <w:szCs w:val="36"/>
                                <w:lang w:eastAsia="zh-CN"/>
                              </w:rPr>
                              <w:t>图例</w:t>
                            </w:r>
                          </w:p>
                          <w:p w14:paraId="11394E5F">
                            <w:pPr>
                              <w:spacing w:line="240" w:lineRule="auto"/>
                              <w:ind w:firstLine="632" w:firstLineChars="300"/>
                              <w:jc w:val="right"/>
                              <w:rPr>
                                <w:rFonts w:hint="eastAsia"/>
                                <w:lang w:eastAsia="zh-CN"/>
                              </w:rPr>
                            </w:pPr>
                            <w:r>
                              <w:rPr>
                                <w:rFonts w:hint="eastAsia"/>
                                <w:b/>
                                <w:bCs/>
                                <w:lang w:eastAsia="zh-CN"/>
                              </w:rPr>
                              <w:t>厂界</w:t>
                            </w:r>
                          </w:p>
                          <w:p w14:paraId="5E40FB52">
                            <w:pPr>
                              <w:spacing w:line="240" w:lineRule="auto"/>
                              <w:ind w:firstLine="632" w:firstLineChars="300"/>
                              <w:jc w:val="right"/>
                              <w:rPr>
                                <w:rFonts w:hint="eastAsia"/>
                                <w:b/>
                                <w:bCs/>
                                <w:lang w:val="en-US" w:eastAsia="zh-CN"/>
                              </w:rPr>
                            </w:pPr>
                            <w:r>
                              <w:rPr>
                                <w:rFonts w:hint="eastAsia"/>
                                <w:b/>
                                <w:bCs/>
                                <w:lang w:val="en-US" w:eastAsia="zh-CN"/>
                              </w:rPr>
                              <w:t>大气环境</w:t>
                            </w:r>
                          </w:p>
                          <w:p w14:paraId="1870D0D7">
                            <w:pPr>
                              <w:spacing w:line="240" w:lineRule="auto"/>
                              <w:ind w:firstLine="632" w:firstLineChars="300"/>
                              <w:jc w:val="right"/>
                              <w:rPr>
                                <w:rFonts w:hint="default"/>
                                <w:lang w:val="en-US" w:eastAsia="zh-CN"/>
                              </w:rPr>
                            </w:pPr>
                            <w:r>
                              <w:rPr>
                                <w:rFonts w:hint="eastAsia"/>
                                <w:b/>
                                <w:bCs/>
                                <w:lang w:val="en-US" w:eastAsia="zh-CN"/>
                              </w:rPr>
                              <w:t>保护范围</w:t>
                            </w:r>
                          </w:p>
                          <w:p w14:paraId="5DB45440">
                            <w:pPr>
                              <w:spacing w:line="240" w:lineRule="auto"/>
                              <w:ind w:firstLine="632" w:firstLineChars="300"/>
                              <w:jc w:val="right"/>
                              <w:rPr>
                                <w:rFonts w:hint="eastAsia"/>
                                <w:b/>
                                <w:bCs/>
                                <w:lang w:val="en-US" w:eastAsia="zh-CN"/>
                              </w:rPr>
                            </w:pPr>
                            <w:r>
                              <w:rPr>
                                <w:rFonts w:hint="eastAsia"/>
                                <w:b/>
                                <w:bCs/>
                                <w:lang w:val="en-US" w:eastAsia="zh-CN"/>
                              </w:rPr>
                              <w:t>声环境</w:t>
                            </w:r>
                          </w:p>
                          <w:p w14:paraId="3EBFE077">
                            <w:pPr>
                              <w:spacing w:line="240" w:lineRule="auto"/>
                              <w:ind w:firstLine="632" w:firstLineChars="300"/>
                              <w:jc w:val="right"/>
                              <w:rPr>
                                <w:rFonts w:hint="eastAsia"/>
                                <w:lang w:eastAsia="zh-CN"/>
                              </w:rPr>
                            </w:pPr>
                            <w:r>
                              <w:rPr>
                                <w:rFonts w:hint="eastAsia"/>
                                <w:b/>
                                <w:bCs/>
                                <w:lang w:val="en-US" w:eastAsia="zh-CN"/>
                              </w:rPr>
                              <w:t>保护范围</w:t>
                            </w:r>
                          </w:p>
                          <w:p w14:paraId="05F8436F">
                            <w:pPr>
                              <w:spacing w:line="240" w:lineRule="auto"/>
                              <w:ind w:firstLine="632" w:firstLineChars="300"/>
                              <w:jc w:val="right"/>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敏感目标</w:t>
                            </w:r>
                          </w:p>
                        </w:txbxContent>
                      </wps:txbx>
                      <wps:bodyPr upright="1"/>
                    </wps:wsp>
                  </a:graphicData>
                </a:graphic>
              </wp:anchor>
            </w:drawing>
          </mc:Choice>
          <mc:Fallback>
            <w:pict>
              <v:shape id="自选图形 109" o:spid="_x0000_s1026" o:spt="109" type="#_x0000_t109" style="position:absolute;left:0pt;margin-left:578.2pt;margin-top:259.9pt;height:121.1pt;width:101.25pt;z-index:251665408;mso-width-relative:page;mso-height-relative:page;" fillcolor="#FFFFFF" filled="t" stroked="t" coordsize="21600,21600" o:gfxdata="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7SNgqdwAAAANAQAADwAAAAAAAAABACAAAAAiAAAAZHJzL2Rvd25yZXYueG1sUEsBAhQAFAAAAAgA&#10;h07iQMmLi7YhAgAATQQAAA4AAAAAAAAAAQAgAAAAKwEAAGRycy9lMm9Eb2MueG1sUEsFBgAAAAAG&#10;AAYAWQEAAL4FAAAAAA==&#10;">
                <v:fill on="t" focussize="0,0"/>
                <v:stroke color="#000000" joinstyle="miter"/>
                <v:imagedata o:title=""/>
                <o:lock v:ext="edit" aspectratio="f"/>
                <v:textbox>
                  <w:txbxContent>
                    <w:p w14:paraId="36491F7D">
                      <w:pPr>
                        <w:spacing w:line="360" w:lineRule="auto"/>
                        <w:jc w:val="center"/>
                        <w:rPr>
                          <w:rFonts w:hint="eastAsia"/>
                          <w:b/>
                          <w:bCs/>
                          <w:sz w:val="28"/>
                          <w:szCs w:val="36"/>
                          <w:lang w:eastAsia="zh-CN"/>
                        </w:rPr>
                      </w:pPr>
                      <w:r>
                        <w:rPr>
                          <w:rFonts w:hint="eastAsia"/>
                          <w:b/>
                          <w:bCs/>
                          <w:sz w:val="28"/>
                          <w:szCs w:val="36"/>
                          <w:lang w:eastAsia="zh-CN"/>
                        </w:rPr>
                        <w:t>图例</w:t>
                      </w:r>
                    </w:p>
                    <w:p w14:paraId="11394E5F">
                      <w:pPr>
                        <w:spacing w:line="240" w:lineRule="auto"/>
                        <w:ind w:firstLine="632" w:firstLineChars="300"/>
                        <w:jc w:val="right"/>
                        <w:rPr>
                          <w:rFonts w:hint="eastAsia"/>
                          <w:lang w:eastAsia="zh-CN"/>
                        </w:rPr>
                      </w:pPr>
                      <w:r>
                        <w:rPr>
                          <w:rFonts w:hint="eastAsia"/>
                          <w:b/>
                          <w:bCs/>
                          <w:lang w:eastAsia="zh-CN"/>
                        </w:rPr>
                        <w:t>厂界</w:t>
                      </w:r>
                    </w:p>
                    <w:p w14:paraId="5E40FB52">
                      <w:pPr>
                        <w:spacing w:line="240" w:lineRule="auto"/>
                        <w:ind w:firstLine="632" w:firstLineChars="300"/>
                        <w:jc w:val="right"/>
                        <w:rPr>
                          <w:rFonts w:hint="eastAsia"/>
                          <w:b/>
                          <w:bCs/>
                          <w:lang w:val="en-US" w:eastAsia="zh-CN"/>
                        </w:rPr>
                      </w:pPr>
                      <w:r>
                        <w:rPr>
                          <w:rFonts w:hint="eastAsia"/>
                          <w:b/>
                          <w:bCs/>
                          <w:lang w:val="en-US" w:eastAsia="zh-CN"/>
                        </w:rPr>
                        <w:t>大气环境</w:t>
                      </w:r>
                    </w:p>
                    <w:p w14:paraId="1870D0D7">
                      <w:pPr>
                        <w:spacing w:line="240" w:lineRule="auto"/>
                        <w:ind w:firstLine="632" w:firstLineChars="300"/>
                        <w:jc w:val="right"/>
                        <w:rPr>
                          <w:rFonts w:hint="default"/>
                          <w:lang w:val="en-US" w:eastAsia="zh-CN"/>
                        </w:rPr>
                      </w:pPr>
                      <w:r>
                        <w:rPr>
                          <w:rFonts w:hint="eastAsia"/>
                          <w:b/>
                          <w:bCs/>
                          <w:lang w:val="en-US" w:eastAsia="zh-CN"/>
                        </w:rPr>
                        <w:t>保护范围</w:t>
                      </w:r>
                    </w:p>
                    <w:p w14:paraId="5DB45440">
                      <w:pPr>
                        <w:spacing w:line="240" w:lineRule="auto"/>
                        <w:ind w:firstLine="632" w:firstLineChars="300"/>
                        <w:jc w:val="right"/>
                        <w:rPr>
                          <w:rFonts w:hint="eastAsia"/>
                          <w:b/>
                          <w:bCs/>
                          <w:lang w:val="en-US" w:eastAsia="zh-CN"/>
                        </w:rPr>
                      </w:pPr>
                      <w:r>
                        <w:rPr>
                          <w:rFonts w:hint="eastAsia"/>
                          <w:b/>
                          <w:bCs/>
                          <w:lang w:val="en-US" w:eastAsia="zh-CN"/>
                        </w:rPr>
                        <w:t>声环境</w:t>
                      </w:r>
                    </w:p>
                    <w:p w14:paraId="3EBFE077">
                      <w:pPr>
                        <w:spacing w:line="240" w:lineRule="auto"/>
                        <w:ind w:firstLine="632" w:firstLineChars="300"/>
                        <w:jc w:val="right"/>
                        <w:rPr>
                          <w:rFonts w:hint="eastAsia"/>
                          <w:lang w:eastAsia="zh-CN"/>
                        </w:rPr>
                      </w:pPr>
                      <w:r>
                        <w:rPr>
                          <w:rFonts w:hint="eastAsia"/>
                          <w:b/>
                          <w:bCs/>
                          <w:lang w:val="en-US" w:eastAsia="zh-CN"/>
                        </w:rPr>
                        <w:t>保护范围</w:t>
                      </w:r>
                    </w:p>
                    <w:p w14:paraId="05F8436F">
                      <w:pPr>
                        <w:spacing w:line="240" w:lineRule="auto"/>
                        <w:ind w:firstLine="632" w:firstLineChars="300"/>
                        <w:jc w:val="right"/>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敏感目标</w:t>
                      </w:r>
                    </w:p>
                  </w:txbxContent>
                </v:textbox>
              </v:shape>
            </w:pict>
          </mc:Fallback>
        </mc:AlternateContent>
      </w:r>
      <w:r>
        <w:rPr>
          <w:rFonts w:hint="eastAsia" w:eastAsia="宋体"/>
          <w:color w:val="auto"/>
          <w:lang w:eastAsia="zh-CN"/>
        </w:rPr>
        <w:drawing>
          <wp:anchor distT="0" distB="0" distL="114300" distR="114300" simplePos="0" relativeHeight="251672576" behindDoc="0" locked="0" layoutInCell="1" allowOverlap="1">
            <wp:simplePos x="0" y="0"/>
            <wp:positionH relativeFrom="column">
              <wp:posOffset>7373620</wp:posOffset>
            </wp:positionH>
            <wp:positionV relativeFrom="paragraph">
              <wp:posOffset>17145</wp:posOffset>
            </wp:positionV>
            <wp:extent cx="1028700" cy="923925"/>
            <wp:effectExtent l="0" t="0" r="0" b="9525"/>
            <wp:wrapNone/>
            <wp:docPr id="45" name="图片 4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图片1"/>
                    <pic:cNvPicPr>
                      <a:picLocks noChangeAspect="1"/>
                    </pic:cNvPicPr>
                  </pic:nvPicPr>
                  <pic:blipFill>
                    <a:blip r:embed="rId36"/>
                    <a:stretch>
                      <a:fillRect/>
                    </a:stretch>
                  </pic:blipFill>
                  <pic:spPr>
                    <a:xfrm>
                      <a:off x="0" y="0"/>
                      <a:ext cx="1028700" cy="923925"/>
                    </a:xfrm>
                    <a:prstGeom prst="rect">
                      <a:avLst/>
                    </a:prstGeom>
                  </pic:spPr>
                </pic:pic>
              </a:graphicData>
            </a:graphic>
          </wp:anchor>
        </w:drawing>
      </w:r>
      <w:r>
        <w:rPr>
          <w:color w:val="auto"/>
        </w:rPr>
        <w:drawing>
          <wp:inline distT="0" distB="0" distL="114300" distR="114300">
            <wp:extent cx="5830570" cy="4850765"/>
            <wp:effectExtent l="0" t="0" r="17780" b="6985"/>
            <wp:docPr id="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pic:cNvPicPr>
                      <a:picLocks noChangeAspect="1"/>
                    </pic:cNvPicPr>
                  </pic:nvPicPr>
                  <pic:blipFill>
                    <a:blip r:embed="rId40"/>
                    <a:stretch>
                      <a:fillRect/>
                    </a:stretch>
                  </pic:blipFill>
                  <pic:spPr>
                    <a:xfrm>
                      <a:off x="0" y="0"/>
                      <a:ext cx="5830570" cy="4850765"/>
                    </a:xfrm>
                    <a:prstGeom prst="rect">
                      <a:avLst/>
                    </a:prstGeom>
                    <a:noFill/>
                    <a:ln>
                      <a:noFill/>
                    </a:ln>
                  </pic:spPr>
                </pic:pic>
              </a:graphicData>
            </a:graphic>
          </wp:inline>
        </w:drawing>
      </w:r>
    </w:p>
    <w:p w14:paraId="69E241E2">
      <w:pPr>
        <w:pStyle w:val="27"/>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textAlignment w:val="auto"/>
        <w:outlineLvl w:val="0"/>
        <w:rPr>
          <w:rFonts w:hint="eastAsia" w:asciiTheme="minorEastAsia" w:hAnsiTheme="minorEastAsia" w:eastAsiaTheme="minorEastAsia" w:cstheme="minorEastAsia"/>
          <w:snapToGrid w:val="0"/>
          <w:color w:val="auto"/>
          <w:sz w:val="32"/>
          <w:szCs w:val="32"/>
          <w:highlight w:val="none"/>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r>
        <w:rPr>
          <w:color w:val="auto"/>
          <w:sz w:val="24"/>
        </w:rPr>
        <mc:AlternateContent>
          <mc:Choice Requires="wps">
            <w:drawing>
              <wp:anchor distT="0" distB="0" distL="114300" distR="114300" simplePos="0" relativeHeight="251675648" behindDoc="0" locked="0" layoutInCell="1" allowOverlap="1">
                <wp:simplePos x="0" y="0"/>
                <wp:positionH relativeFrom="column">
                  <wp:posOffset>7634605</wp:posOffset>
                </wp:positionH>
                <wp:positionV relativeFrom="paragraph">
                  <wp:posOffset>-569595</wp:posOffset>
                </wp:positionV>
                <wp:extent cx="285750" cy="114300"/>
                <wp:effectExtent l="13970" t="13970" r="24130" b="24130"/>
                <wp:wrapNone/>
                <wp:docPr id="59" name="矩形 104"/>
                <wp:cNvGraphicFramePr/>
                <a:graphic xmlns:a="http://schemas.openxmlformats.org/drawingml/2006/main">
                  <a:graphicData uri="http://schemas.microsoft.com/office/word/2010/wordprocessingShape">
                    <wps:wsp>
                      <wps:cNvSpPr/>
                      <wps:spPr>
                        <a:xfrm>
                          <a:off x="0" y="0"/>
                          <a:ext cx="285750" cy="114300"/>
                        </a:xfrm>
                        <a:prstGeom prst="rect">
                          <a:avLst/>
                        </a:prstGeom>
                        <a:solidFill>
                          <a:srgbClr val="FFFFFF"/>
                        </a:solidFill>
                        <a:ln w="28575" cap="flat" cmpd="sng">
                          <a:solidFill>
                            <a:srgbClr val="00FE00"/>
                          </a:solidFill>
                          <a:prstDash val="solid"/>
                          <a:miter/>
                          <a:headEnd type="none" w="med" len="med"/>
                          <a:tailEnd type="none" w="med" len="med"/>
                        </a:ln>
                      </wps:spPr>
                      <wps:bodyPr upright="1"/>
                    </wps:wsp>
                  </a:graphicData>
                </a:graphic>
              </wp:anchor>
            </w:drawing>
          </mc:Choice>
          <mc:Fallback>
            <w:pict>
              <v:rect id="矩形 104" o:spid="_x0000_s1026" o:spt="1" style="position:absolute;left:0pt;margin-left:601.15pt;margin-top:-44.85pt;height:9pt;width:22.5pt;z-index:251675648;mso-width-relative:page;mso-height-relative:page;" fillcolor="#FFFFFF" filled="t" stroked="t" coordsize="21600,21600" o:gfxdata="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NPO4ArbAAAADQEAAA8AAAAAAAAAAQAgAAAAIgAAAGRycy9k&#10;b3ducmV2LnhtbFBLAQIUABQAAAAIAIdO4kCFa4GU/wEAACEEAAAOAAAAAAAAAAEAIAAAACoBAABk&#10;cnMvZTJvRG9jLnhtbFBLBQYAAAAABgAGAFkBAACbBQAAAAA=&#10;">
                <v:fill on="t" focussize="0,0"/>
                <v:stroke weight="2.25pt" color="#00FE00" joinstyle="miter"/>
                <v:imagedata o:title=""/>
                <o:lock v:ext="edit" aspectratio="f"/>
              </v:rect>
            </w:pict>
          </mc:Fallback>
        </mc:AlternateContent>
      </w:r>
    </w:p>
    <w:bookmarkEnd w:id="26"/>
    <w:p w14:paraId="1E1AC4CF">
      <w:pPr>
        <w:pStyle w:val="27"/>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textAlignment w:val="auto"/>
        <w:outlineLvl w:val="0"/>
        <w:rPr>
          <w:rFonts w:hint="eastAsia" w:asciiTheme="minorEastAsia" w:hAnsiTheme="minorEastAsia" w:eastAsiaTheme="minorEastAsia" w:cstheme="minorEastAsia"/>
          <w:snapToGrid w:val="0"/>
          <w:color w:val="auto"/>
          <w:sz w:val="32"/>
          <w:szCs w:val="32"/>
          <w:highlight w:val="none"/>
          <w:lang w:val="en-US" w:eastAsia="zh-CN"/>
        </w:rPr>
      </w:pPr>
      <w:bookmarkStart w:id="27" w:name="_Toc32505"/>
      <w:r>
        <w:rPr>
          <w:rFonts w:hint="eastAsia" w:asciiTheme="minorEastAsia" w:hAnsiTheme="minorEastAsia" w:eastAsiaTheme="minorEastAsia" w:cstheme="minorEastAsia"/>
          <w:snapToGrid w:val="0"/>
          <w:color w:val="auto"/>
          <w:sz w:val="32"/>
          <w:szCs w:val="32"/>
          <w:highlight w:val="none"/>
          <w:lang w:eastAsia="zh-CN"/>
        </w:rPr>
        <w:t>附图</w:t>
      </w:r>
      <w:r>
        <w:rPr>
          <w:rFonts w:hint="eastAsia" w:asciiTheme="minorEastAsia" w:hAnsiTheme="minorEastAsia" w:eastAsiaTheme="minorEastAsia" w:cstheme="minorEastAsia"/>
          <w:snapToGrid w:val="0"/>
          <w:color w:val="auto"/>
          <w:sz w:val="32"/>
          <w:szCs w:val="32"/>
          <w:highlight w:val="none"/>
          <w:lang w:val="en-US" w:eastAsia="zh-CN"/>
        </w:rPr>
        <w:t>:5：项目四周图片</w:t>
      </w:r>
      <w:bookmarkEnd w:id="27"/>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291D1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5" w:hRule="atLeast"/>
        </w:trPr>
        <w:tc>
          <w:tcPr>
            <w:tcW w:w="4261" w:type="dxa"/>
          </w:tcPr>
          <w:p w14:paraId="72F745E0">
            <w:pPr>
              <w:pStyle w:val="27"/>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snapToGrid w:val="0"/>
                <w:color w:val="auto"/>
                <w:kern w:val="0"/>
                <w:sz w:val="24"/>
                <w:szCs w:val="24"/>
                <w:highlight w:val="none"/>
                <w:vertAlign w:val="baseline"/>
                <w:lang w:val="en-US" w:eastAsia="zh-CN"/>
              </w:rPr>
            </w:pPr>
            <w:r>
              <w:rPr>
                <w:rFonts w:hint="default" w:asciiTheme="minorEastAsia" w:hAnsiTheme="minorEastAsia" w:eastAsiaTheme="minorEastAsia" w:cstheme="minorEastAsia"/>
                <w:snapToGrid w:val="0"/>
                <w:color w:val="auto"/>
                <w:kern w:val="0"/>
                <w:sz w:val="24"/>
                <w:szCs w:val="24"/>
                <w:highlight w:val="none"/>
                <w:vertAlign w:val="baseline"/>
                <w:lang w:val="en-US" w:eastAsia="zh-CN"/>
              </w:rPr>
              <w:drawing>
                <wp:inline distT="0" distB="0" distL="114300" distR="114300">
                  <wp:extent cx="2560320" cy="1920240"/>
                  <wp:effectExtent l="0" t="0" r="11430" b="3810"/>
                  <wp:docPr id="60" name="图片 60" descr="微信图片_20250804094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微信图片_20250804094648"/>
                          <pic:cNvPicPr>
                            <a:picLocks noChangeAspect="1"/>
                          </pic:cNvPicPr>
                        </pic:nvPicPr>
                        <pic:blipFill>
                          <a:blip r:embed="rId41"/>
                          <a:stretch>
                            <a:fillRect/>
                          </a:stretch>
                        </pic:blipFill>
                        <pic:spPr>
                          <a:xfrm>
                            <a:off x="0" y="0"/>
                            <a:ext cx="2560320" cy="1920240"/>
                          </a:xfrm>
                          <a:prstGeom prst="rect">
                            <a:avLst/>
                          </a:prstGeom>
                        </pic:spPr>
                      </pic:pic>
                    </a:graphicData>
                  </a:graphic>
                </wp:inline>
              </w:drawing>
            </w:r>
          </w:p>
        </w:tc>
        <w:tc>
          <w:tcPr>
            <w:tcW w:w="4261" w:type="dxa"/>
          </w:tcPr>
          <w:p w14:paraId="44AC863D">
            <w:pPr>
              <w:pStyle w:val="27"/>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snapToGrid w:val="0"/>
                <w:color w:val="auto"/>
                <w:kern w:val="0"/>
                <w:sz w:val="24"/>
                <w:szCs w:val="24"/>
                <w:highlight w:val="none"/>
                <w:vertAlign w:val="baseline"/>
                <w:lang w:val="en-US" w:eastAsia="zh-CN"/>
              </w:rPr>
            </w:pPr>
            <w:r>
              <w:rPr>
                <w:rFonts w:hint="default" w:asciiTheme="minorEastAsia" w:hAnsiTheme="minorEastAsia" w:eastAsiaTheme="minorEastAsia" w:cstheme="minorEastAsia"/>
                <w:snapToGrid w:val="0"/>
                <w:color w:val="auto"/>
                <w:kern w:val="0"/>
                <w:sz w:val="24"/>
                <w:szCs w:val="24"/>
                <w:highlight w:val="none"/>
                <w:vertAlign w:val="baseline"/>
                <w:lang w:val="en-US" w:eastAsia="zh-CN"/>
              </w:rPr>
              <w:drawing>
                <wp:inline distT="0" distB="0" distL="114300" distR="114300">
                  <wp:extent cx="2560320" cy="1920240"/>
                  <wp:effectExtent l="0" t="0" r="11430" b="3810"/>
                  <wp:docPr id="61" name="图片 61" descr="微信图片_20250804094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微信图片_20250804094643"/>
                          <pic:cNvPicPr>
                            <a:picLocks noChangeAspect="1"/>
                          </pic:cNvPicPr>
                        </pic:nvPicPr>
                        <pic:blipFill>
                          <a:blip r:embed="rId42"/>
                          <a:stretch>
                            <a:fillRect/>
                          </a:stretch>
                        </pic:blipFill>
                        <pic:spPr>
                          <a:xfrm>
                            <a:off x="0" y="0"/>
                            <a:ext cx="2560320" cy="1920240"/>
                          </a:xfrm>
                          <a:prstGeom prst="rect">
                            <a:avLst/>
                          </a:prstGeom>
                        </pic:spPr>
                      </pic:pic>
                    </a:graphicData>
                  </a:graphic>
                </wp:inline>
              </w:drawing>
            </w:r>
          </w:p>
        </w:tc>
      </w:tr>
      <w:tr w14:paraId="19C69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EB84BB5">
            <w:pPr>
              <w:pStyle w:val="27"/>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snapToGrid w:val="0"/>
                <w:color w:val="auto"/>
                <w:kern w:val="0"/>
                <w:sz w:val="24"/>
                <w:szCs w:val="24"/>
                <w:highlight w:val="none"/>
                <w:vertAlign w:val="baseline"/>
                <w:lang w:val="en-US" w:eastAsia="zh-CN"/>
              </w:rPr>
            </w:pPr>
            <w:r>
              <w:rPr>
                <w:rFonts w:hint="eastAsia" w:cs="Times New Roman"/>
                <w:color w:val="auto"/>
                <w:sz w:val="24"/>
                <w:szCs w:val="24"/>
                <w:highlight w:val="none"/>
                <w:lang w:eastAsia="zh-CN"/>
              </w:rPr>
              <w:t>厂区东侧为</w:t>
            </w:r>
            <w:r>
              <w:rPr>
                <w:rFonts w:hint="eastAsia" w:cs="Times New Roman"/>
                <w:color w:val="auto"/>
                <w:sz w:val="24"/>
                <w:szCs w:val="24"/>
                <w:highlight w:val="none"/>
                <w:lang w:val="en-US" w:eastAsia="zh-CN"/>
              </w:rPr>
              <w:t>村庄道路</w:t>
            </w:r>
          </w:p>
        </w:tc>
        <w:tc>
          <w:tcPr>
            <w:tcW w:w="4261" w:type="dxa"/>
          </w:tcPr>
          <w:p w14:paraId="481010ED">
            <w:pPr>
              <w:pStyle w:val="27"/>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snapToGrid w:val="0"/>
                <w:color w:val="auto"/>
                <w:kern w:val="0"/>
                <w:sz w:val="24"/>
                <w:szCs w:val="24"/>
                <w:highlight w:val="none"/>
                <w:vertAlign w:val="baseline"/>
                <w:lang w:val="en-US" w:eastAsia="zh-CN"/>
              </w:rPr>
            </w:pPr>
            <w:r>
              <w:rPr>
                <w:rFonts w:hint="eastAsia" w:cs="Times New Roman"/>
                <w:color w:val="auto"/>
                <w:sz w:val="24"/>
                <w:szCs w:val="24"/>
                <w:highlight w:val="none"/>
                <w:lang w:eastAsia="zh-CN"/>
              </w:rPr>
              <w:t>厂区南侧为</w:t>
            </w:r>
            <w:r>
              <w:rPr>
                <w:rFonts w:hint="eastAsia" w:cs="Times New Roman"/>
                <w:color w:val="auto"/>
                <w:sz w:val="24"/>
                <w:szCs w:val="24"/>
                <w:highlight w:val="none"/>
                <w:lang w:val="en-US" w:eastAsia="zh-CN"/>
              </w:rPr>
              <w:t>耕地</w:t>
            </w:r>
          </w:p>
        </w:tc>
      </w:tr>
      <w:tr w14:paraId="3C29C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76213D3">
            <w:pPr>
              <w:pStyle w:val="27"/>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snapToGrid w:val="0"/>
                <w:color w:val="auto"/>
                <w:kern w:val="0"/>
                <w:sz w:val="24"/>
                <w:szCs w:val="24"/>
                <w:highlight w:val="none"/>
                <w:vertAlign w:val="baseline"/>
                <w:lang w:val="en-US" w:eastAsia="zh-CN"/>
              </w:rPr>
            </w:pPr>
            <w:r>
              <w:rPr>
                <w:rFonts w:hint="default" w:asciiTheme="minorEastAsia" w:hAnsiTheme="minorEastAsia" w:eastAsiaTheme="minorEastAsia" w:cstheme="minorEastAsia"/>
                <w:snapToGrid w:val="0"/>
                <w:color w:val="auto"/>
                <w:kern w:val="0"/>
                <w:sz w:val="24"/>
                <w:szCs w:val="24"/>
                <w:highlight w:val="none"/>
                <w:vertAlign w:val="baseline"/>
                <w:lang w:val="en-US" w:eastAsia="zh-CN"/>
              </w:rPr>
              <w:drawing>
                <wp:inline distT="0" distB="0" distL="114300" distR="114300">
                  <wp:extent cx="2560320" cy="1920240"/>
                  <wp:effectExtent l="0" t="0" r="11430" b="3810"/>
                  <wp:docPr id="67" name="图片 67" descr="微信图片_20250804094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微信图片_20250804094646"/>
                          <pic:cNvPicPr>
                            <a:picLocks noChangeAspect="1"/>
                          </pic:cNvPicPr>
                        </pic:nvPicPr>
                        <pic:blipFill>
                          <a:blip r:embed="rId43"/>
                          <a:stretch>
                            <a:fillRect/>
                          </a:stretch>
                        </pic:blipFill>
                        <pic:spPr>
                          <a:xfrm>
                            <a:off x="0" y="0"/>
                            <a:ext cx="2560320" cy="1920240"/>
                          </a:xfrm>
                          <a:prstGeom prst="rect">
                            <a:avLst/>
                          </a:prstGeom>
                        </pic:spPr>
                      </pic:pic>
                    </a:graphicData>
                  </a:graphic>
                </wp:inline>
              </w:drawing>
            </w:r>
          </w:p>
        </w:tc>
        <w:tc>
          <w:tcPr>
            <w:tcW w:w="4261" w:type="dxa"/>
          </w:tcPr>
          <w:p w14:paraId="3E045AAF">
            <w:pPr>
              <w:pStyle w:val="27"/>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snapToGrid w:val="0"/>
                <w:color w:val="auto"/>
                <w:kern w:val="0"/>
                <w:sz w:val="24"/>
                <w:szCs w:val="24"/>
                <w:highlight w:val="none"/>
                <w:vertAlign w:val="baseline"/>
                <w:lang w:val="en-US" w:eastAsia="zh-CN"/>
              </w:rPr>
            </w:pPr>
            <w:r>
              <w:rPr>
                <w:rFonts w:hint="default" w:asciiTheme="minorEastAsia" w:hAnsiTheme="minorEastAsia" w:eastAsiaTheme="minorEastAsia" w:cstheme="minorEastAsia"/>
                <w:snapToGrid w:val="0"/>
                <w:color w:val="auto"/>
                <w:kern w:val="0"/>
                <w:sz w:val="24"/>
                <w:szCs w:val="24"/>
                <w:highlight w:val="none"/>
                <w:vertAlign w:val="baseline"/>
                <w:lang w:val="en-US" w:eastAsia="zh-CN"/>
              </w:rPr>
              <w:drawing>
                <wp:inline distT="0" distB="0" distL="114300" distR="114300">
                  <wp:extent cx="2560320" cy="1920240"/>
                  <wp:effectExtent l="0" t="0" r="11430" b="3810"/>
                  <wp:docPr id="68" name="图片 68" descr="微信图片_20250804094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微信图片_20250804094638"/>
                          <pic:cNvPicPr>
                            <a:picLocks noChangeAspect="1"/>
                          </pic:cNvPicPr>
                        </pic:nvPicPr>
                        <pic:blipFill>
                          <a:blip r:embed="rId44"/>
                          <a:stretch>
                            <a:fillRect/>
                          </a:stretch>
                        </pic:blipFill>
                        <pic:spPr>
                          <a:xfrm>
                            <a:off x="0" y="0"/>
                            <a:ext cx="2560320" cy="1920240"/>
                          </a:xfrm>
                          <a:prstGeom prst="rect">
                            <a:avLst/>
                          </a:prstGeom>
                        </pic:spPr>
                      </pic:pic>
                    </a:graphicData>
                  </a:graphic>
                </wp:inline>
              </w:drawing>
            </w:r>
          </w:p>
        </w:tc>
      </w:tr>
      <w:tr w14:paraId="1D3D1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FDC02AF">
            <w:pPr>
              <w:pStyle w:val="27"/>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snapToGrid w:val="0"/>
                <w:color w:val="auto"/>
                <w:kern w:val="0"/>
                <w:sz w:val="24"/>
                <w:szCs w:val="24"/>
                <w:highlight w:val="none"/>
                <w:vertAlign w:val="baseline"/>
                <w:lang w:val="en-US" w:eastAsia="zh-CN"/>
              </w:rPr>
            </w:pPr>
            <w:r>
              <w:rPr>
                <w:rFonts w:hint="eastAsia" w:cs="Times New Roman"/>
                <w:color w:val="auto"/>
                <w:sz w:val="24"/>
                <w:szCs w:val="24"/>
                <w:highlight w:val="none"/>
                <w:lang w:eastAsia="zh-CN"/>
              </w:rPr>
              <w:t>厂区西侧为</w:t>
            </w:r>
            <w:r>
              <w:rPr>
                <w:rFonts w:hint="eastAsia" w:cs="Times New Roman"/>
                <w:color w:val="auto"/>
                <w:sz w:val="24"/>
                <w:szCs w:val="24"/>
                <w:highlight w:val="none"/>
                <w:lang w:val="en-US" w:eastAsia="zh-CN"/>
              </w:rPr>
              <w:t>耕地</w:t>
            </w:r>
          </w:p>
        </w:tc>
        <w:tc>
          <w:tcPr>
            <w:tcW w:w="4261" w:type="dxa"/>
          </w:tcPr>
          <w:p w14:paraId="1138B3B1">
            <w:pPr>
              <w:pStyle w:val="27"/>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snapToGrid w:val="0"/>
                <w:color w:val="auto"/>
                <w:kern w:val="0"/>
                <w:sz w:val="24"/>
                <w:szCs w:val="24"/>
                <w:highlight w:val="none"/>
                <w:vertAlign w:val="baseline"/>
                <w:lang w:val="en-US" w:eastAsia="zh-CN"/>
              </w:rPr>
            </w:pPr>
            <w:r>
              <w:rPr>
                <w:rFonts w:hint="eastAsia" w:asciiTheme="minorEastAsia" w:hAnsiTheme="minorEastAsia" w:eastAsiaTheme="minorEastAsia" w:cstheme="minorEastAsia"/>
                <w:snapToGrid w:val="0"/>
                <w:color w:val="auto"/>
                <w:kern w:val="0"/>
                <w:sz w:val="24"/>
                <w:szCs w:val="24"/>
                <w:highlight w:val="none"/>
                <w:vertAlign w:val="baseline"/>
                <w:lang w:val="en-US" w:eastAsia="zh-CN"/>
              </w:rPr>
              <w:t>厂区北侧为公立村</w:t>
            </w:r>
          </w:p>
        </w:tc>
      </w:tr>
    </w:tbl>
    <w:p w14:paraId="19F8D71E">
      <w:pPr>
        <w:pStyle w:val="27"/>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textAlignment w:val="auto"/>
        <w:outlineLvl w:val="9"/>
        <w:rPr>
          <w:rFonts w:hint="default" w:asciiTheme="minorEastAsia" w:hAnsiTheme="minorEastAsia" w:eastAsiaTheme="minorEastAsia" w:cstheme="minorEastAsia"/>
          <w:snapToGrid w:val="0"/>
          <w:color w:val="auto"/>
          <w:kern w:val="0"/>
          <w:sz w:val="24"/>
          <w:szCs w:val="24"/>
          <w:highlight w:val="none"/>
          <w:lang w:val="en-US" w:eastAsia="zh-CN"/>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14:paraId="3AC334C0">
      <w:pPr>
        <w:pStyle w:val="27"/>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jc w:val="both"/>
        <w:textAlignment w:val="auto"/>
        <w:outlineLvl w:val="0"/>
        <w:rPr>
          <w:rFonts w:hint="default" w:asciiTheme="minorEastAsia" w:hAnsiTheme="minorEastAsia" w:eastAsiaTheme="minorEastAsia" w:cstheme="minorEastAsia"/>
          <w:snapToGrid w:val="0"/>
          <w:color w:val="auto"/>
          <w:sz w:val="32"/>
          <w:szCs w:val="32"/>
          <w:lang w:val="en-US" w:eastAsia="zh-CN"/>
        </w:rPr>
      </w:pPr>
      <w:bookmarkStart w:id="28" w:name="_Toc17086"/>
      <w:r>
        <w:rPr>
          <w:rFonts w:hint="eastAsia" w:asciiTheme="minorEastAsia" w:hAnsiTheme="minorEastAsia" w:eastAsiaTheme="minorEastAsia" w:cstheme="minorEastAsia"/>
          <w:snapToGrid w:val="0"/>
          <w:color w:val="auto"/>
          <w:sz w:val="32"/>
          <w:szCs w:val="32"/>
        </w:rPr>
        <w:t>附件</w:t>
      </w:r>
      <w:bookmarkEnd w:id="28"/>
      <w:r>
        <w:rPr>
          <w:rFonts w:hint="eastAsia" w:asciiTheme="minorEastAsia" w:hAnsiTheme="minorEastAsia" w:eastAsiaTheme="minorEastAsia" w:cstheme="minorEastAsia"/>
          <w:snapToGrid w:val="0"/>
          <w:color w:val="auto"/>
          <w:sz w:val="32"/>
          <w:szCs w:val="32"/>
          <w:lang w:val="en-US" w:eastAsia="zh-CN"/>
        </w:rPr>
        <w:t>1</w:t>
      </w:r>
      <w:r>
        <w:rPr>
          <w:rFonts w:hint="eastAsia" w:asciiTheme="minorEastAsia" w:hAnsiTheme="minorEastAsia" w:eastAsiaTheme="minorEastAsia" w:cstheme="minorEastAsia"/>
          <w:snapToGrid w:val="0"/>
          <w:color w:val="auto"/>
          <w:sz w:val="32"/>
          <w:szCs w:val="32"/>
          <w:lang w:eastAsia="zh-CN"/>
        </w:rPr>
        <w:t>：</w:t>
      </w:r>
      <w:r>
        <w:rPr>
          <w:rFonts w:hint="eastAsia" w:asciiTheme="minorEastAsia" w:hAnsiTheme="minorEastAsia" w:eastAsiaTheme="minorEastAsia" w:cstheme="minorEastAsia"/>
          <w:snapToGrid w:val="0"/>
          <w:color w:val="auto"/>
          <w:sz w:val="32"/>
          <w:szCs w:val="32"/>
          <w:lang w:val="en-US" w:eastAsia="zh-CN"/>
        </w:rPr>
        <w:t>营业执照</w:t>
      </w:r>
    </w:p>
    <w:p w14:paraId="0CCB391A">
      <w:pPr>
        <w:pStyle w:val="27"/>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jc w:val="center"/>
        <w:textAlignment w:val="auto"/>
        <w:outlineLvl w:val="9"/>
        <w:rPr>
          <w:rFonts w:hint="eastAsia" w:asciiTheme="minorEastAsia" w:hAnsiTheme="minorEastAsia" w:eastAsiaTheme="minorEastAsia" w:cstheme="minorEastAsia"/>
          <w:color w:val="auto"/>
          <w:sz w:val="24"/>
          <w:lang w:eastAsia="zh-CN"/>
        </w:rPr>
      </w:pPr>
      <w:r>
        <w:rPr>
          <w:rFonts w:hint="eastAsia" w:eastAsia="宋体"/>
          <w:color w:val="auto"/>
          <w:lang w:eastAsia="zh-CN"/>
        </w:rPr>
        <w:drawing>
          <wp:inline distT="0" distB="0" distL="114300" distR="114300">
            <wp:extent cx="6763385" cy="4808220"/>
            <wp:effectExtent l="0" t="0" r="18415" b="11430"/>
            <wp:docPr id="26" name="图片 26" descr="众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众诚"/>
                    <pic:cNvPicPr>
                      <a:picLocks noChangeAspect="1"/>
                    </pic:cNvPicPr>
                  </pic:nvPicPr>
                  <pic:blipFill>
                    <a:blip r:embed="rId45"/>
                    <a:srcRect t="5207"/>
                    <a:stretch>
                      <a:fillRect/>
                    </a:stretch>
                  </pic:blipFill>
                  <pic:spPr>
                    <a:xfrm>
                      <a:off x="0" y="0"/>
                      <a:ext cx="6763385" cy="4808220"/>
                    </a:xfrm>
                    <a:prstGeom prst="rect">
                      <a:avLst/>
                    </a:prstGeom>
                  </pic:spPr>
                </pic:pic>
              </a:graphicData>
            </a:graphic>
          </wp:inline>
        </w:drawing>
      </w:r>
    </w:p>
    <w:p w14:paraId="20066730">
      <w:pPr>
        <w:keepLines w:val="0"/>
        <w:pageBreakBefore w:val="0"/>
        <w:topLinePunct w:val="0"/>
        <w:bidi w:val="0"/>
        <w:spacing w:beforeAutospacing="0" w:afterAutospacing="0" w:line="360" w:lineRule="auto"/>
        <w:ind w:right="0" w:rightChars="0"/>
        <w:jc w:val="both"/>
        <w:rPr>
          <w:rFonts w:hint="eastAsia"/>
          <w:color w:val="auto"/>
          <w:lang w:eastAsia="zh-CN"/>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p>
    <w:p w14:paraId="73E5E830">
      <w:pPr>
        <w:pStyle w:val="27"/>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textAlignment w:val="auto"/>
        <w:outlineLvl w:val="0"/>
        <w:rPr>
          <w:rFonts w:hint="default" w:asciiTheme="minorEastAsia" w:hAnsiTheme="minorEastAsia" w:eastAsiaTheme="minorEastAsia" w:cstheme="minorEastAsia"/>
          <w:snapToGrid w:val="0"/>
          <w:color w:val="auto"/>
          <w:sz w:val="32"/>
          <w:szCs w:val="32"/>
          <w:lang w:val="en-US" w:eastAsia="zh-CN"/>
        </w:rPr>
      </w:pPr>
      <w:bookmarkStart w:id="29" w:name="_Toc18228"/>
      <w:r>
        <w:rPr>
          <w:rFonts w:hint="eastAsia" w:asciiTheme="minorEastAsia" w:hAnsiTheme="minorEastAsia" w:eastAsiaTheme="minorEastAsia" w:cstheme="minorEastAsia"/>
          <w:snapToGrid w:val="0"/>
          <w:color w:val="auto"/>
          <w:sz w:val="32"/>
          <w:szCs w:val="32"/>
        </w:rPr>
        <w:t>附件</w:t>
      </w:r>
      <w:r>
        <w:rPr>
          <w:rFonts w:hint="eastAsia" w:asciiTheme="minorEastAsia" w:hAnsiTheme="minorEastAsia" w:eastAsiaTheme="minorEastAsia" w:cstheme="minorEastAsia"/>
          <w:snapToGrid w:val="0"/>
          <w:color w:val="auto"/>
          <w:sz w:val="32"/>
          <w:szCs w:val="32"/>
          <w:lang w:val="en-US" w:eastAsia="zh-CN"/>
        </w:rPr>
        <w:t>2：用地性质证明</w:t>
      </w:r>
    </w:p>
    <w:p w14:paraId="30636610">
      <w:pPr>
        <w:pStyle w:val="3"/>
        <w:rPr>
          <w:rFonts w:hint="eastAsia" w:asciiTheme="minorEastAsia" w:hAnsiTheme="minorEastAsia" w:eastAsiaTheme="minorEastAsia" w:cstheme="minorEastAsia"/>
          <w:snapToGrid w:val="0"/>
          <w:color w:val="auto"/>
          <w:sz w:val="32"/>
          <w:szCs w:val="32"/>
          <w:lang w:eastAsia="zh-CN"/>
        </w:rPr>
      </w:pPr>
      <w:r>
        <w:rPr>
          <w:color w:val="auto"/>
          <w:sz w:val="24"/>
        </w:rPr>
        <mc:AlternateContent>
          <mc:Choice Requires="wps">
            <w:drawing>
              <wp:anchor distT="0" distB="0" distL="114300" distR="114300" simplePos="0" relativeHeight="251668480" behindDoc="0" locked="0" layoutInCell="1" allowOverlap="1">
                <wp:simplePos x="0" y="0"/>
                <wp:positionH relativeFrom="column">
                  <wp:posOffset>4476115</wp:posOffset>
                </wp:positionH>
                <wp:positionV relativeFrom="paragraph">
                  <wp:posOffset>2332355</wp:posOffset>
                </wp:positionV>
                <wp:extent cx="636270" cy="305435"/>
                <wp:effectExtent l="361315" t="12700" r="31115" b="120015"/>
                <wp:wrapNone/>
                <wp:docPr id="31" name="矩形标注 31"/>
                <wp:cNvGraphicFramePr/>
                <a:graphic xmlns:a="http://schemas.openxmlformats.org/drawingml/2006/main">
                  <a:graphicData uri="http://schemas.microsoft.com/office/word/2010/wordprocessingShape">
                    <wps:wsp>
                      <wps:cNvSpPr/>
                      <wps:spPr>
                        <a:xfrm>
                          <a:off x="5592445" y="4029710"/>
                          <a:ext cx="636270" cy="305435"/>
                        </a:xfrm>
                        <a:prstGeom prst="wedgeRectCallout">
                          <a:avLst>
                            <a:gd name="adj1" fmla="val -104790"/>
                            <a:gd name="adj2" fmla="val 83471"/>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66EB6CAC">
                            <w:pPr>
                              <w:jc w:val="center"/>
                              <w:rPr>
                                <w:rFonts w:hint="eastAsia" w:eastAsia="宋体"/>
                                <w:lang w:val="en-US" w:eastAsia="zh-CN"/>
                              </w:rPr>
                            </w:pPr>
                            <w:r>
                              <w:rPr>
                                <w:rFonts w:hint="eastAsia"/>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52.45pt;margin-top:183.65pt;height:24.05pt;width:50.1pt;z-index:251668480;v-text-anchor:middle;mso-width-relative:page;mso-height-relative:page;" fillcolor="#FFFFFF [3212]" filled="t" stroked="t" coordsize="21600,21600" o:gfxdata="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xHMcp9gAAAALAQAADwAAAAAAAAABACAAAAAiAAAAZHJz&#10;L2Rvd25yZXYueG1sUEsBAhQAFAAAAAgAh07iQIUWO66vAgAAWgUAAA4AAAAAAAAAAQAgAAAAJwEA&#10;AGRycy9lMm9Eb2MueG1sUEsFBgAAAAAGAAYAWQEAAEgGAAAAAA==&#10;" adj="-11835,28830">
                <v:fill on="t" focussize="0,0"/>
                <v:stroke weight="2pt" color="#000000 [3213]" joinstyle="round"/>
                <v:imagedata o:title=""/>
                <o:lock v:ext="edit" aspectratio="f"/>
                <v:textbox>
                  <w:txbxContent>
                    <w:p w14:paraId="66EB6CAC">
                      <w:pPr>
                        <w:jc w:val="center"/>
                        <w:rPr>
                          <w:rFonts w:hint="eastAsia" w:eastAsia="宋体"/>
                          <w:lang w:val="en-US" w:eastAsia="zh-CN"/>
                        </w:rPr>
                      </w:pPr>
                      <w:r>
                        <w:rPr>
                          <w:rFonts w:hint="eastAsia"/>
                          <w:lang w:val="en-US" w:eastAsia="zh-CN"/>
                        </w:rPr>
                        <w:t>本项目</w:t>
                      </w:r>
                    </w:p>
                  </w:txbxContent>
                </v:textbox>
              </v:shape>
            </w:pict>
          </mc:Fallback>
        </mc:AlternateContent>
      </w:r>
      <w:r>
        <w:rPr>
          <w:color w:val="auto"/>
          <w:sz w:val="24"/>
        </w:rPr>
        <mc:AlternateContent>
          <mc:Choice Requires="wps">
            <w:drawing>
              <wp:anchor distT="0" distB="0" distL="114300" distR="114300" simplePos="0" relativeHeight="251667456" behindDoc="0" locked="0" layoutInCell="1" allowOverlap="1">
                <wp:simplePos x="0" y="0"/>
                <wp:positionH relativeFrom="column">
                  <wp:posOffset>3996690</wp:posOffset>
                </wp:positionH>
                <wp:positionV relativeFrom="paragraph">
                  <wp:posOffset>2667635</wp:posOffset>
                </wp:positionV>
                <wp:extent cx="151130" cy="158750"/>
                <wp:effectExtent l="12700" t="12700" r="26670" b="19050"/>
                <wp:wrapNone/>
                <wp:docPr id="41" name="任意多边形 41"/>
                <wp:cNvGraphicFramePr/>
                <a:graphic xmlns:a="http://schemas.openxmlformats.org/drawingml/2006/main">
                  <a:graphicData uri="http://schemas.microsoft.com/office/word/2010/wordprocessingShape">
                    <wps:wsp>
                      <wps:cNvSpPr/>
                      <wps:spPr>
                        <a:xfrm>
                          <a:off x="4859020" y="4088130"/>
                          <a:ext cx="151130" cy="158750"/>
                        </a:xfrm>
                        <a:custGeom>
                          <a:avLst/>
                          <a:gdLst>
                            <a:gd name="connisteX0" fmla="*/ 0 w 151130"/>
                            <a:gd name="connsiteY0" fmla="*/ 34290 h 158750"/>
                            <a:gd name="connisteX1" fmla="*/ 126365 w 151130"/>
                            <a:gd name="connsiteY1" fmla="*/ 0 h 158750"/>
                            <a:gd name="connisteX2" fmla="*/ 151130 w 151130"/>
                            <a:gd name="connsiteY2" fmla="*/ 127000 h 158750"/>
                            <a:gd name="connisteX3" fmla="*/ 24130 w 151130"/>
                            <a:gd name="connsiteY3" fmla="*/ 158750 h 158750"/>
                            <a:gd name="connisteX4" fmla="*/ 0 w 151130"/>
                            <a:gd name="connsiteY4" fmla="*/ 34290 h 1587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51130" h="158750">
                              <a:moveTo>
                                <a:pt x="0" y="34290"/>
                              </a:moveTo>
                              <a:lnTo>
                                <a:pt x="126365" y="0"/>
                              </a:lnTo>
                              <a:lnTo>
                                <a:pt x="151130" y="127000"/>
                              </a:lnTo>
                              <a:lnTo>
                                <a:pt x="24130" y="158750"/>
                              </a:lnTo>
                              <a:lnTo>
                                <a:pt x="0" y="3429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14.7pt;margin-top:210.05pt;height:12.5pt;width:11.9pt;z-index:251667456;mso-width-relative:page;mso-height-relative:page;" filled="f" stroked="t" coordsize="151130,158750" o:gfxdata="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" path="m0,34290l126365,0,151130,127000,24130,158750,0,34290xe">
                <v:path o:connectlocs="0,34290;126365,0;151130,127000;24130,158750;0,34290" o:connectangles="0,0,0,0,0"/>
                <v:fill on="f" focussize="0,0"/>
                <v:stroke weight="2pt" color="#FF0000 [2404]" joinstyle="round"/>
                <v:imagedata o:title=""/>
                <o:lock v:ext="edit" aspectratio="f"/>
              </v:shape>
            </w:pict>
          </mc:Fallback>
        </mc:AlternateContent>
      </w:r>
      <w:r>
        <w:rPr>
          <w:color w:val="auto"/>
        </w:rPr>
        <w:drawing>
          <wp:inline distT="0" distB="0" distL="114300" distR="114300">
            <wp:extent cx="7058660" cy="4769485"/>
            <wp:effectExtent l="0" t="0" r="8890" b="12065"/>
            <wp:docPr id="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
                    <pic:cNvPicPr>
                      <a:picLocks noChangeAspect="1"/>
                    </pic:cNvPicPr>
                  </pic:nvPicPr>
                  <pic:blipFill>
                    <a:blip r:embed="rId46"/>
                    <a:stretch>
                      <a:fillRect/>
                    </a:stretch>
                  </pic:blipFill>
                  <pic:spPr>
                    <a:xfrm>
                      <a:off x="0" y="0"/>
                      <a:ext cx="7058660" cy="4769485"/>
                    </a:xfrm>
                    <a:prstGeom prst="rect">
                      <a:avLst/>
                    </a:prstGeom>
                    <a:noFill/>
                    <a:ln>
                      <a:noFill/>
                    </a:ln>
                  </pic:spPr>
                </pic:pic>
              </a:graphicData>
            </a:graphic>
          </wp:inline>
        </w:drawing>
      </w:r>
      <w:r>
        <w:rPr>
          <w:rFonts w:hint="eastAsia"/>
          <w:color w:val="auto"/>
          <w:lang w:val="en-US" w:eastAsia="zh-CN"/>
        </w:rPr>
        <w:t xml:space="preserve">      </w:t>
      </w:r>
      <w:r>
        <w:rPr>
          <w:color w:val="auto"/>
        </w:rPr>
        <w:drawing>
          <wp:inline distT="0" distB="0" distL="114300" distR="114300">
            <wp:extent cx="1280795" cy="4761865"/>
            <wp:effectExtent l="0" t="0" r="14605" b="635"/>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47"/>
                    <a:stretch>
                      <a:fillRect/>
                    </a:stretch>
                  </pic:blipFill>
                  <pic:spPr>
                    <a:xfrm>
                      <a:off x="0" y="0"/>
                      <a:ext cx="1280795" cy="4761865"/>
                    </a:xfrm>
                    <a:prstGeom prst="rect">
                      <a:avLst/>
                    </a:prstGeom>
                    <a:noFill/>
                    <a:ln>
                      <a:noFill/>
                    </a:ln>
                  </pic:spPr>
                </pic:pic>
              </a:graphicData>
            </a:graphic>
          </wp:inline>
        </w:drawing>
      </w:r>
    </w:p>
    <w:p w14:paraId="6ED852E0">
      <w:pPr>
        <w:pStyle w:val="27"/>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textAlignment w:val="auto"/>
        <w:outlineLvl w:val="0"/>
        <w:rPr>
          <w:rFonts w:hint="eastAsia" w:asciiTheme="minorEastAsia" w:hAnsiTheme="minorEastAsia" w:eastAsiaTheme="minorEastAsia" w:cstheme="minorEastAsia"/>
          <w:snapToGrid w:val="0"/>
          <w:color w:val="auto"/>
          <w:sz w:val="32"/>
          <w:szCs w:val="32"/>
        </w:rPr>
        <w:sectPr>
          <w:pgSz w:w="16838" w:h="11906" w:orient="landscape"/>
          <w:pgMar w:top="1800" w:right="1440" w:bottom="1800" w:left="1440" w:header="851" w:footer="850" w:gutter="0"/>
          <w:pgBorders>
            <w:top w:val="none" w:sz="0" w:space="0"/>
            <w:left w:val="none" w:sz="0" w:space="0"/>
            <w:bottom w:val="none" w:sz="0" w:space="0"/>
            <w:right w:val="none" w:sz="0" w:space="0"/>
          </w:pgBorders>
          <w:pgNumType w:fmt="decimal"/>
          <w:cols w:space="425" w:num="1"/>
          <w:docGrid w:linePitch="312" w:charSpace="0"/>
        </w:sectPr>
      </w:pPr>
    </w:p>
    <w:bookmarkEnd w:id="29"/>
    <w:p w14:paraId="151AE852">
      <w:pPr>
        <w:pStyle w:val="30"/>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0"/>
        <w:rPr>
          <w:rFonts w:hint="default" w:asciiTheme="minorEastAsia" w:hAnsiTheme="minorEastAsia" w:eastAsiaTheme="minorEastAsia" w:cstheme="minorEastAsia"/>
          <w:snapToGrid w:val="0"/>
          <w:color w:val="auto"/>
          <w:kern w:val="0"/>
          <w:sz w:val="32"/>
          <w:szCs w:val="32"/>
          <w:highlight w:val="none"/>
          <w:lang w:val="en-US" w:eastAsia="zh-CN" w:bidi="ar-SA"/>
        </w:rPr>
      </w:pPr>
      <w:bookmarkStart w:id="30" w:name="_Toc30519"/>
      <w:r>
        <w:rPr>
          <w:rFonts w:hint="eastAsia" w:asciiTheme="minorEastAsia" w:hAnsiTheme="minorEastAsia" w:eastAsiaTheme="minorEastAsia" w:cstheme="minorEastAsia"/>
          <w:snapToGrid w:val="0"/>
          <w:color w:val="auto"/>
          <w:kern w:val="0"/>
          <w:sz w:val="32"/>
          <w:szCs w:val="32"/>
          <w:highlight w:val="none"/>
          <w:lang w:val="en-US" w:eastAsia="zh-CN" w:bidi="ar-SA"/>
        </w:rPr>
        <w:t>附件3：经营场地权属证明</w:t>
      </w:r>
    </w:p>
    <w:p w14:paraId="0C96DF7D">
      <w:pPr>
        <w:pStyle w:val="30"/>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9"/>
        <w:rPr>
          <w:rFonts w:hint="eastAsia" w:asciiTheme="minorEastAsia" w:hAnsiTheme="minorEastAsia" w:eastAsiaTheme="minorEastAsia" w:cstheme="minorEastAsia"/>
          <w:snapToGrid w:val="0"/>
          <w:color w:val="auto"/>
          <w:kern w:val="0"/>
          <w:sz w:val="32"/>
          <w:szCs w:val="32"/>
          <w:highlight w:val="none"/>
          <w:lang w:val="en-US" w:eastAsia="zh-CN" w:bidi="ar-SA"/>
        </w:rPr>
      </w:pPr>
      <w:r>
        <w:rPr>
          <w:rFonts w:hint="eastAsia" w:asciiTheme="minorEastAsia" w:hAnsiTheme="minorEastAsia" w:eastAsiaTheme="minorEastAsia" w:cstheme="minorEastAsia"/>
          <w:snapToGrid w:val="0"/>
          <w:color w:val="auto"/>
          <w:kern w:val="0"/>
          <w:sz w:val="32"/>
          <w:szCs w:val="32"/>
          <w:highlight w:val="none"/>
          <w:lang w:val="en-US" w:eastAsia="zh-CN" w:bidi="ar-SA"/>
        </w:rPr>
        <w:drawing>
          <wp:inline distT="0" distB="0" distL="114300" distR="114300">
            <wp:extent cx="5273040" cy="7315200"/>
            <wp:effectExtent l="0" t="0" r="3810" b="0"/>
            <wp:docPr id="5" name="图片 5" descr="经营场地权属证明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经营场地权属证明 001"/>
                    <pic:cNvPicPr>
                      <a:picLocks noChangeAspect="1"/>
                    </pic:cNvPicPr>
                  </pic:nvPicPr>
                  <pic:blipFill>
                    <a:blip r:embed="rId48"/>
                    <a:stretch>
                      <a:fillRect/>
                    </a:stretch>
                  </pic:blipFill>
                  <pic:spPr>
                    <a:xfrm>
                      <a:off x="0" y="0"/>
                      <a:ext cx="5273040" cy="7315200"/>
                    </a:xfrm>
                    <a:prstGeom prst="rect">
                      <a:avLst/>
                    </a:prstGeom>
                  </pic:spPr>
                </pic:pic>
              </a:graphicData>
            </a:graphic>
          </wp:inline>
        </w:drawing>
      </w:r>
    </w:p>
    <w:p w14:paraId="78DAD8B1">
      <w:pPr>
        <w:pStyle w:val="30"/>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9"/>
        <w:rPr>
          <w:rFonts w:hint="eastAsia" w:asciiTheme="minorEastAsia" w:hAnsiTheme="minorEastAsia" w:eastAsiaTheme="minorEastAsia" w:cstheme="minorEastAsia"/>
          <w:snapToGrid w:val="0"/>
          <w:color w:val="auto"/>
          <w:kern w:val="0"/>
          <w:sz w:val="32"/>
          <w:szCs w:val="32"/>
          <w:highlight w:val="none"/>
          <w:lang w:val="en-US" w:eastAsia="zh-CN" w:bidi="ar-SA"/>
        </w:rPr>
      </w:pPr>
    </w:p>
    <w:p w14:paraId="6A1CC1D5">
      <w:pPr>
        <w:pStyle w:val="30"/>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9"/>
        <w:rPr>
          <w:rFonts w:hint="eastAsia" w:asciiTheme="minorEastAsia" w:hAnsiTheme="minorEastAsia" w:eastAsiaTheme="minorEastAsia" w:cstheme="minorEastAsia"/>
          <w:snapToGrid w:val="0"/>
          <w:color w:val="auto"/>
          <w:kern w:val="0"/>
          <w:sz w:val="32"/>
          <w:szCs w:val="32"/>
          <w:highlight w:val="none"/>
          <w:lang w:val="en-US" w:eastAsia="zh-CN" w:bidi="ar-SA"/>
        </w:rPr>
      </w:pPr>
    </w:p>
    <w:p w14:paraId="14E4628A">
      <w:pPr>
        <w:pStyle w:val="30"/>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0"/>
        <w:rPr>
          <w:rFonts w:hint="default" w:asciiTheme="minorEastAsia" w:hAnsiTheme="minorEastAsia" w:eastAsiaTheme="minorEastAsia" w:cstheme="minorEastAsia"/>
          <w:snapToGrid w:val="0"/>
          <w:color w:val="auto"/>
          <w:kern w:val="0"/>
          <w:sz w:val="32"/>
          <w:szCs w:val="32"/>
          <w:highlight w:val="none"/>
          <w:lang w:val="en-US" w:eastAsia="zh-CN" w:bidi="ar-SA"/>
        </w:rPr>
      </w:pPr>
      <w:r>
        <w:rPr>
          <w:rFonts w:hint="eastAsia" w:asciiTheme="minorEastAsia" w:hAnsiTheme="minorEastAsia" w:eastAsiaTheme="minorEastAsia" w:cstheme="minorEastAsia"/>
          <w:snapToGrid w:val="0"/>
          <w:color w:val="auto"/>
          <w:kern w:val="0"/>
          <w:sz w:val="32"/>
          <w:szCs w:val="32"/>
          <w:highlight w:val="none"/>
          <w:lang w:val="en-US" w:eastAsia="zh-CN" w:bidi="ar-SA"/>
        </w:rPr>
        <w:t>附件4：房屋租赁协议</w:t>
      </w:r>
    </w:p>
    <w:p w14:paraId="7DFEE7FC">
      <w:pPr>
        <w:pStyle w:val="30"/>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9"/>
        <w:rPr>
          <w:rFonts w:hint="eastAsia" w:asciiTheme="minorEastAsia" w:hAnsiTheme="minorEastAsia" w:eastAsiaTheme="minorEastAsia" w:cstheme="minorEastAsia"/>
          <w:snapToGrid w:val="0"/>
          <w:color w:val="auto"/>
          <w:kern w:val="0"/>
          <w:sz w:val="32"/>
          <w:szCs w:val="32"/>
          <w:highlight w:val="none"/>
          <w:lang w:val="en-US" w:eastAsia="zh-CN" w:bidi="ar-SA"/>
        </w:rPr>
      </w:pPr>
      <w:r>
        <w:rPr>
          <w:rFonts w:hint="eastAsia" w:asciiTheme="minorEastAsia" w:hAnsiTheme="minorEastAsia" w:eastAsiaTheme="minorEastAsia" w:cstheme="minorEastAsia"/>
          <w:snapToGrid w:val="0"/>
          <w:color w:val="auto"/>
          <w:kern w:val="0"/>
          <w:sz w:val="32"/>
          <w:szCs w:val="32"/>
          <w:highlight w:val="none"/>
          <w:lang w:val="en-US" w:eastAsia="zh-CN" w:bidi="ar-SA"/>
        </w:rPr>
        <w:drawing>
          <wp:inline distT="0" distB="0" distL="114300" distR="114300">
            <wp:extent cx="5273040" cy="7315200"/>
            <wp:effectExtent l="0" t="0" r="3810" b="0"/>
            <wp:docPr id="6" name="图片 6" descr="房屋租赁协议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房屋租赁协议 001"/>
                    <pic:cNvPicPr>
                      <a:picLocks noChangeAspect="1"/>
                    </pic:cNvPicPr>
                  </pic:nvPicPr>
                  <pic:blipFill>
                    <a:blip r:embed="rId49"/>
                    <a:stretch>
                      <a:fillRect/>
                    </a:stretch>
                  </pic:blipFill>
                  <pic:spPr>
                    <a:xfrm>
                      <a:off x="0" y="0"/>
                      <a:ext cx="5273040" cy="7315200"/>
                    </a:xfrm>
                    <a:prstGeom prst="rect">
                      <a:avLst/>
                    </a:prstGeom>
                  </pic:spPr>
                </pic:pic>
              </a:graphicData>
            </a:graphic>
          </wp:inline>
        </w:drawing>
      </w:r>
    </w:p>
    <w:p w14:paraId="6222D9C6">
      <w:pPr>
        <w:pStyle w:val="30"/>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9"/>
        <w:rPr>
          <w:rFonts w:hint="eastAsia" w:asciiTheme="minorEastAsia" w:hAnsiTheme="minorEastAsia" w:eastAsiaTheme="minorEastAsia" w:cstheme="minorEastAsia"/>
          <w:snapToGrid w:val="0"/>
          <w:color w:val="auto"/>
          <w:kern w:val="0"/>
          <w:sz w:val="32"/>
          <w:szCs w:val="32"/>
          <w:highlight w:val="none"/>
          <w:lang w:val="en-US" w:eastAsia="zh-CN" w:bidi="ar-SA"/>
        </w:rPr>
      </w:pPr>
    </w:p>
    <w:p w14:paraId="45D10FA4">
      <w:pPr>
        <w:pStyle w:val="30"/>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9"/>
        <w:rPr>
          <w:rFonts w:hint="eastAsia" w:asciiTheme="minorEastAsia" w:hAnsiTheme="minorEastAsia" w:eastAsiaTheme="minorEastAsia" w:cstheme="minorEastAsia"/>
          <w:snapToGrid w:val="0"/>
          <w:color w:val="auto"/>
          <w:kern w:val="0"/>
          <w:sz w:val="32"/>
          <w:szCs w:val="32"/>
          <w:highlight w:val="none"/>
          <w:lang w:val="en-US" w:eastAsia="zh-CN" w:bidi="ar-SA"/>
        </w:rPr>
      </w:pPr>
    </w:p>
    <w:p w14:paraId="054C6600">
      <w:pPr>
        <w:pStyle w:val="30"/>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0"/>
        <w:rPr>
          <w:rFonts w:hint="eastAsia" w:asciiTheme="minorEastAsia" w:hAnsiTheme="minorEastAsia" w:eastAsiaTheme="minorEastAsia" w:cstheme="minorEastAsia"/>
          <w:snapToGrid w:val="0"/>
          <w:color w:val="auto"/>
          <w:kern w:val="0"/>
          <w:sz w:val="32"/>
          <w:szCs w:val="32"/>
          <w:highlight w:val="none"/>
          <w:lang w:val="en-US" w:eastAsia="zh-CN" w:bidi="ar-SA"/>
        </w:rPr>
      </w:pPr>
      <w:r>
        <w:rPr>
          <w:rFonts w:hint="eastAsia" w:asciiTheme="minorEastAsia" w:hAnsiTheme="minorEastAsia" w:eastAsiaTheme="minorEastAsia" w:cstheme="minorEastAsia"/>
          <w:snapToGrid w:val="0"/>
          <w:color w:val="auto"/>
          <w:kern w:val="0"/>
          <w:sz w:val="32"/>
          <w:szCs w:val="32"/>
          <w:highlight w:val="none"/>
          <w:lang w:val="en-US" w:eastAsia="zh-CN" w:bidi="ar-SA"/>
        </w:rPr>
        <w:t>附件5：关于双鸭山市尖山区众诚种植养殖农民专业合作社“未批先建”情况的说明</w:t>
      </w:r>
    </w:p>
    <w:p w14:paraId="09A18D4A">
      <w:pPr>
        <w:rPr>
          <w:rFonts w:hint="eastAsia" w:asciiTheme="minorEastAsia" w:hAnsiTheme="minorEastAsia" w:eastAsiaTheme="minorEastAsia" w:cstheme="minorEastAsia"/>
          <w:snapToGrid w:val="0"/>
          <w:color w:val="auto"/>
          <w:kern w:val="0"/>
          <w:sz w:val="32"/>
          <w:szCs w:val="32"/>
          <w:highlight w:val="none"/>
          <w:lang w:val="en-US" w:eastAsia="zh-CN" w:bidi="ar-SA"/>
        </w:rPr>
      </w:pPr>
      <w:r>
        <w:rPr>
          <w:rFonts w:hint="eastAsia" w:asciiTheme="minorEastAsia" w:hAnsiTheme="minorEastAsia" w:eastAsiaTheme="minorEastAsia" w:cstheme="minorEastAsia"/>
          <w:snapToGrid w:val="0"/>
          <w:color w:val="auto"/>
          <w:kern w:val="0"/>
          <w:sz w:val="32"/>
          <w:szCs w:val="32"/>
          <w:highlight w:val="none"/>
          <w:lang w:val="en-US" w:eastAsia="zh-CN" w:bidi="ar-SA"/>
        </w:rPr>
        <w:drawing>
          <wp:inline distT="0" distB="0" distL="114300" distR="114300">
            <wp:extent cx="5280660" cy="7733030"/>
            <wp:effectExtent l="0" t="0" r="15240" b="1270"/>
            <wp:docPr id="7" name="图片 7" descr="微信图片_20250822135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50822135328"/>
                    <pic:cNvPicPr>
                      <a:picLocks noChangeAspect="1"/>
                    </pic:cNvPicPr>
                  </pic:nvPicPr>
                  <pic:blipFill>
                    <a:blip r:embed="rId50"/>
                    <a:srcRect t="10216" r="4081" b="10768"/>
                    <a:stretch>
                      <a:fillRect/>
                    </a:stretch>
                  </pic:blipFill>
                  <pic:spPr>
                    <a:xfrm>
                      <a:off x="0" y="0"/>
                      <a:ext cx="5280660" cy="7733030"/>
                    </a:xfrm>
                    <a:prstGeom prst="rect">
                      <a:avLst/>
                    </a:prstGeom>
                  </pic:spPr>
                </pic:pic>
              </a:graphicData>
            </a:graphic>
          </wp:inline>
        </w:drawing>
      </w:r>
    </w:p>
    <w:p w14:paraId="3459F58E">
      <w:pPr>
        <w:rPr>
          <w:rFonts w:hint="eastAsia" w:asciiTheme="minorEastAsia" w:hAnsiTheme="minorEastAsia" w:eastAsiaTheme="minorEastAsia" w:cstheme="minorEastAsia"/>
          <w:snapToGrid w:val="0"/>
          <w:color w:val="auto"/>
          <w:kern w:val="0"/>
          <w:sz w:val="32"/>
          <w:szCs w:val="32"/>
          <w:highlight w:val="none"/>
          <w:lang w:val="en-US" w:eastAsia="zh-CN" w:bidi="ar-SA"/>
        </w:rPr>
      </w:pPr>
    </w:p>
    <w:p w14:paraId="025715B8">
      <w:pPr>
        <w:pStyle w:val="30"/>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0"/>
        <w:rPr>
          <w:rFonts w:hint="eastAsia" w:asciiTheme="minorEastAsia" w:hAnsiTheme="minorEastAsia" w:eastAsiaTheme="minorEastAsia" w:cstheme="minorEastAsia"/>
          <w:snapToGrid w:val="0"/>
          <w:color w:val="auto"/>
          <w:kern w:val="0"/>
          <w:sz w:val="32"/>
          <w:szCs w:val="32"/>
          <w:highlight w:val="none"/>
          <w:lang w:val="en-US" w:eastAsia="zh-CN" w:bidi="ar-SA"/>
        </w:rPr>
      </w:pPr>
      <w:r>
        <w:rPr>
          <w:rFonts w:hint="eastAsia" w:asciiTheme="minorEastAsia" w:hAnsiTheme="minorEastAsia" w:eastAsiaTheme="minorEastAsia" w:cstheme="minorEastAsia"/>
          <w:snapToGrid w:val="0"/>
          <w:color w:val="auto"/>
          <w:kern w:val="0"/>
          <w:sz w:val="32"/>
          <w:szCs w:val="32"/>
          <w:highlight w:val="none"/>
          <w:lang w:val="en-US" w:eastAsia="zh-CN" w:bidi="ar-SA"/>
        </w:rPr>
        <w:t>附件6：检测报告</w:t>
      </w:r>
      <w:bookmarkEnd w:id="30"/>
    </w:p>
    <w:p w14:paraId="4C9BAFF3">
      <w:pPr>
        <w:rPr>
          <w:rFonts w:hint="eastAsia"/>
          <w:color w:val="auto"/>
          <w:lang w:val="en-US" w:eastAsia="zh-CN"/>
        </w:rPr>
      </w:pPr>
      <w:r>
        <w:rPr>
          <w:color w:val="auto"/>
        </w:rPr>
        <w:drawing>
          <wp:inline distT="0" distB="0" distL="114300" distR="114300">
            <wp:extent cx="5270500" cy="7524115"/>
            <wp:effectExtent l="0" t="0" r="6350" b="635"/>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51"/>
                    <a:stretch>
                      <a:fillRect/>
                    </a:stretch>
                  </pic:blipFill>
                  <pic:spPr>
                    <a:xfrm>
                      <a:off x="0" y="0"/>
                      <a:ext cx="5270500" cy="7524115"/>
                    </a:xfrm>
                    <a:prstGeom prst="rect">
                      <a:avLst/>
                    </a:prstGeom>
                    <a:noFill/>
                    <a:ln>
                      <a:noFill/>
                    </a:ln>
                  </pic:spPr>
                </pic:pic>
              </a:graphicData>
            </a:graphic>
          </wp:inline>
        </w:drawing>
      </w:r>
      <w:r>
        <w:rPr>
          <w:color w:val="auto"/>
        </w:rPr>
        <w:drawing>
          <wp:inline distT="0" distB="0" distL="114300" distR="114300">
            <wp:extent cx="5270500" cy="7524115"/>
            <wp:effectExtent l="0" t="0" r="6350" b="635"/>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52"/>
                    <a:stretch>
                      <a:fillRect/>
                    </a:stretch>
                  </pic:blipFill>
                  <pic:spPr>
                    <a:xfrm>
                      <a:off x="0" y="0"/>
                      <a:ext cx="5270500" cy="7524115"/>
                    </a:xfrm>
                    <a:prstGeom prst="rect">
                      <a:avLst/>
                    </a:prstGeom>
                    <a:noFill/>
                    <a:ln>
                      <a:noFill/>
                    </a:ln>
                  </pic:spPr>
                </pic:pic>
              </a:graphicData>
            </a:graphic>
          </wp:inline>
        </w:drawing>
      </w:r>
      <w:r>
        <w:rPr>
          <w:color w:val="auto"/>
        </w:rPr>
        <w:drawing>
          <wp:inline distT="0" distB="0" distL="114300" distR="114300">
            <wp:extent cx="5272405" cy="7548880"/>
            <wp:effectExtent l="0" t="0" r="4445" b="13970"/>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53"/>
                    <a:stretch>
                      <a:fillRect/>
                    </a:stretch>
                  </pic:blipFill>
                  <pic:spPr>
                    <a:xfrm>
                      <a:off x="0" y="0"/>
                      <a:ext cx="5272405" cy="7548880"/>
                    </a:xfrm>
                    <a:prstGeom prst="rect">
                      <a:avLst/>
                    </a:prstGeom>
                    <a:noFill/>
                    <a:ln>
                      <a:noFill/>
                    </a:ln>
                  </pic:spPr>
                </pic:pic>
              </a:graphicData>
            </a:graphic>
          </wp:inline>
        </w:drawing>
      </w:r>
      <w:r>
        <w:rPr>
          <w:color w:val="auto"/>
        </w:rPr>
        <w:drawing>
          <wp:inline distT="0" distB="0" distL="114300" distR="114300">
            <wp:extent cx="5271770" cy="7499985"/>
            <wp:effectExtent l="0" t="0" r="5080" b="5715"/>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54"/>
                    <a:stretch>
                      <a:fillRect/>
                    </a:stretch>
                  </pic:blipFill>
                  <pic:spPr>
                    <a:xfrm>
                      <a:off x="0" y="0"/>
                      <a:ext cx="5271770" cy="7499985"/>
                    </a:xfrm>
                    <a:prstGeom prst="rect">
                      <a:avLst/>
                    </a:prstGeom>
                    <a:noFill/>
                    <a:ln>
                      <a:noFill/>
                    </a:ln>
                  </pic:spPr>
                </pic:pic>
              </a:graphicData>
            </a:graphic>
          </wp:inline>
        </w:drawing>
      </w:r>
      <w:r>
        <w:rPr>
          <w:color w:val="auto"/>
        </w:rPr>
        <w:drawing>
          <wp:inline distT="0" distB="0" distL="114300" distR="114300">
            <wp:extent cx="5273675" cy="7525385"/>
            <wp:effectExtent l="0" t="0" r="3175" b="18415"/>
            <wp:docPr id="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
                    <pic:cNvPicPr>
                      <a:picLocks noChangeAspect="1"/>
                    </pic:cNvPicPr>
                  </pic:nvPicPr>
                  <pic:blipFill>
                    <a:blip r:embed="rId55"/>
                    <a:stretch>
                      <a:fillRect/>
                    </a:stretch>
                  </pic:blipFill>
                  <pic:spPr>
                    <a:xfrm>
                      <a:off x="0" y="0"/>
                      <a:ext cx="5273675" cy="7525385"/>
                    </a:xfrm>
                    <a:prstGeom prst="rect">
                      <a:avLst/>
                    </a:prstGeom>
                    <a:noFill/>
                    <a:ln>
                      <a:noFill/>
                    </a:ln>
                  </pic:spPr>
                </pic:pic>
              </a:graphicData>
            </a:graphic>
          </wp:inline>
        </w:drawing>
      </w:r>
    </w:p>
    <w:p w14:paraId="68B56835">
      <w:pPr>
        <w:pStyle w:val="30"/>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0"/>
        <w:rPr>
          <w:rFonts w:hint="eastAsia" w:asciiTheme="minorEastAsia" w:hAnsiTheme="minorEastAsia" w:eastAsiaTheme="minorEastAsia" w:cstheme="minorEastAsia"/>
          <w:color w:val="auto"/>
          <w:kern w:val="0"/>
          <w:sz w:val="24"/>
          <w:szCs w:val="18"/>
          <w:highlight w:val="none"/>
          <w:lang w:val="en-US" w:eastAsia="zh-CN" w:bidi="ar-SA"/>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14:paraId="779A8642">
      <w:pPr>
        <w:pStyle w:val="30"/>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0"/>
        <w:rPr>
          <w:rFonts w:hint="eastAsia" w:asciiTheme="minorEastAsia" w:hAnsiTheme="minorEastAsia" w:eastAsiaTheme="minorEastAsia" w:cstheme="minorEastAsia"/>
          <w:snapToGrid w:val="0"/>
          <w:color w:val="auto"/>
          <w:kern w:val="0"/>
          <w:sz w:val="32"/>
          <w:szCs w:val="32"/>
          <w:lang w:val="en-US" w:eastAsia="zh-CN" w:bidi="ar-SA"/>
        </w:rPr>
      </w:pPr>
      <w:bookmarkStart w:id="31" w:name="_Toc26861"/>
      <w:r>
        <w:rPr>
          <w:rFonts w:hint="eastAsia" w:asciiTheme="minorEastAsia" w:hAnsiTheme="minorEastAsia" w:eastAsiaTheme="minorEastAsia" w:cstheme="minorEastAsia"/>
          <w:snapToGrid w:val="0"/>
          <w:color w:val="auto"/>
          <w:kern w:val="0"/>
          <w:sz w:val="32"/>
          <w:szCs w:val="32"/>
          <w:lang w:val="en-US" w:eastAsia="zh-CN" w:bidi="ar-SA"/>
        </w:rPr>
        <w:t>附件7：生物质颗粒检测报告</w:t>
      </w:r>
      <w:bookmarkEnd w:id="31"/>
    </w:p>
    <w:p w14:paraId="1A58A40F">
      <w:pPr>
        <w:keepLines w:val="0"/>
        <w:pageBreakBefore w:val="0"/>
        <w:topLinePunct w:val="0"/>
        <w:bidi w:val="0"/>
        <w:spacing w:beforeAutospacing="0" w:afterAutospacing="0" w:line="360" w:lineRule="auto"/>
        <w:ind w:right="0" w:rightChars="0"/>
        <w:rPr>
          <w:rFonts w:hint="default" w:ascii="Times New Roman" w:hAnsi="Times New Roman" w:eastAsia="黑体" w:cs="Times New Roman"/>
          <w:snapToGrid w:val="0"/>
          <w:color w:val="auto"/>
          <w:sz w:val="32"/>
          <w:szCs w:val="32"/>
          <w:lang w:eastAsia="zh-CN"/>
        </w:rPr>
      </w:pPr>
      <w:r>
        <w:rPr>
          <w:rFonts w:hint="default" w:ascii="Times New Roman" w:hAnsi="Times New Roman" w:eastAsia="黑体" w:cs="Times New Roman"/>
          <w:snapToGrid w:val="0"/>
          <w:color w:val="auto"/>
          <w:sz w:val="32"/>
          <w:szCs w:val="32"/>
          <w:lang w:eastAsia="zh-CN"/>
        </w:rPr>
        <w:drawing>
          <wp:inline distT="0" distB="0" distL="114300" distR="114300">
            <wp:extent cx="5668010" cy="7599680"/>
            <wp:effectExtent l="0" t="0" r="8890" b="1270"/>
            <wp:docPr id="49" name="图片 49" descr="附件4  生物质检测报告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附件4  生物质检测报告_页面_1"/>
                    <pic:cNvPicPr>
                      <a:picLocks noChangeAspect="1"/>
                    </pic:cNvPicPr>
                  </pic:nvPicPr>
                  <pic:blipFill>
                    <a:blip r:embed="rId56"/>
                    <a:srcRect l="16069" t="10881" r="15243" b="24002"/>
                    <a:stretch>
                      <a:fillRect/>
                    </a:stretch>
                  </pic:blipFill>
                  <pic:spPr>
                    <a:xfrm>
                      <a:off x="0" y="0"/>
                      <a:ext cx="5668010" cy="7599680"/>
                    </a:xfrm>
                    <a:prstGeom prst="rect">
                      <a:avLst/>
                    </a:prstGeom>
                  </pic:spPr>
                </pic:pic>
              </a:graphicData>
            </a:graphic>
          </wp:inline>
        </w:drawing>
      </w:r>
      <w:r>
        <w:rPr>
          <w:rFonts w:hint="default" w:ascii="Times New Roman" w:hAnsi="Times New Roman" w:eastAsia="黑体" w:cs="Times New Roman"/>
          <w:snapToGrid w:val="0"/>
          <w:color w:val="auto"/>
          <w:sz w:val="32"/>
          <w:szCs w:val="32"/>
          <w:lang w:eastAsia="zh-CN"/>
        </w:rPr>
        <w:drawing>
          <wp:inline distT="0" distB="0" distL="114300" distR="114300">
            <wp:extent cx="5674995" cy="7661910"/>
            <wp:effectExtent l="0" t="0" r="1905" b="15240"/>
            <wp:docPr id="50" name="图片 50" descr="附件4  生物质检测报告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附件4  生物质检测报告_页面_2"/>
                    <pic:cNvPicPr>
                      <a:picLocks noChangeAspect="1"/>
                    </pic:cNvPicPr>
                  </pic:nvPicPr>
                  <pic:blipFill>
                    <a:blip r:embed="rId57"/>
                    <a:srcRect l="15390" t="8801" r="15390" b="25122"/>
                    <a:stretch>
                      <a:fillRect/>
                    </a:stretch>
                  </pic:blipFill>
                  <pic:spPr>
                    <a:xfrm>
                      <a:off x="0" y="0"/>
                      <a:ext cx="5674995" cy="7661910"/>
                    </a:xfrm>
                    <a:prstGeom prst="rect">
                      <a:avLst/>
                    </a:prstGeom>
                  </pic:spPr>
                </pic:pic>
              </a:graphicData>
            </a:graphic>
          </wp:inline>
        </w:drawing>
      </w:r>
      <w:r>
        <w:rPr>
          <w:rFonts w:hint="default" w:ascii="Times New Roman" w:hAnsi="Times New Roman" w:eastAsia="黑体" w:cs="Times New Roman"/>
          <w:snapToGrid w:val="0"/>
          <w:color w:val="auto"/>
          <w:sz w:val="32"/>
          <w:szCs w:val="32"/>
          <w:lang w:eastAsia="zh-CN"/>
        </w:rPr>
        <w:drawing>
          <wp:inline distT="0" distB="0" distL="114300" distR="114300">
            <wp:extent cx="5650230" cy="7693660"/>
            <wp:effectExtent l="0" t="0" r="7620" b="2540"/>
            <wp:docPr id="51" name="图片 51" descr="附件4  生物质检测报告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附件4  生物质检测报告_页面_3"/>
                    <pic:cNvPicPr>
                      <a:picLocks noChangeAspect="1"/>
                    </pic:cNvPicPr>
                  </pic:nvPicPr>
                  <pic:blipFill>
                    <a:blip r:embed="rId58"/>
                    <a:srcRect l="15164" t="9121" r="16521" b="25122"/>
                    <a:stretch>
                      <a:fillRect/>
                    </a:stretch>
                  </pic:blipFill>
                  <pic:spPr>
                    <a:xfrm>
                      <a:off x="0" y="0"/>
                      <a:ext cx="5650230" cy="7693660"/>
                    </a:xfrm>
                    <a:prstGeom prst="rect">
                      <a:avLst/>
                    </a:prstGeom>
                  </pic:spPr>
                </pic:pic>
              </a:graphicData>
            </a:graphic>
          </wp:inline>
        </w:drawing>
      </w:r>
    </w:p>
    <w:p w14:paraId="248CDACD">
      <w:pPr>
        <w:pStyle w:val="2"/>
        <w:rPr>
          <w:rFonts w:hint="default" w:ascii="Times New Roman" w:hAnsi="Times New Roman" w:eastAsia="黑体" w:cs="Times New Roman"/>
          <w:snapToGrid w:val="0"/>
          <w:color w:val="auto"/>
          <w:sz w:val="32"/>
          <w:szCs w:val="32"/>
          <w:lang w:eastAsia="zh-CN"/>
        </w:rPr>
      </w:pPr>
    </w:p>
    <w:p w14:paraId="5279A27D">
      <w:pPr>
        <w:keepLines w:val="0"/>
        <w:pageBreakBefore w:val="0"/>
        <w:topLinePunct w:val="0"/>
        <w:bidi w:val="0"/>
        <w:spacing w:beforeAutospacing="0" w:afterAutospacing="0" w:line="360" w:lineRule="auto"/>
        <w:ind w:right="0" w:rightChars="0"/>
        <w:jc w:val="center"/>
        <w:rPr>
          <w:rFonts w:hint="eastAsia" w:asciiTheme="minorEastAsia" w:hAnsiTheme="minorEastAsia" w:eastAsiaTheme="minorEastAsia" w:cstheme="minorEastAsia"/>
          <w:color w:val="auto"/>
          <w:kern w:val="0"/>
          <w:sz w:val="24"/>
          <w:szCs w:val="18"/>
          <w:lang w:val="en-US" w:eastAsia="zh-CN" w:bidi="ar-SA"/>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type="lines" w:linePitch="312" w:charSpace="0"/>
        </w:sectPr>
      </w:pPr>
    </w:p>
    <w:p w14:paraId="387F1E09">
      <w:pPr>
        <w:pStyle w:val="30"/>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0"/>
        <w:rPr>
          <w:rFonts w:hint="default" w:asciiTheme="minorEastAsia" w:hAnsiTheme="minorEastAsia" w:eastAsiaTheme="minorEastAsia" w:cstheme="minorEastAsia"/>
          <w:snapToGrid w:val="0"/>
          <w:color w:val="auto"/>
          <w:kern w:val="0"/>
          <w:sz w:val="32"/>
          <w:szCs w:val="32"/>
          <w:lang w:val="en-US" w:eastAsia="zh-CN" w:bidi="ar-SA"/>
        </w:rPr>
      </w:pPr>
      <w:r>
        <w:rPr>
          <w:rFonts w:hint="eastAsia" w:asciiTheme="minorEastAsia" w:hAnsiTheme="minorEastAsia" w:eastAsiaTheme="minorEastAsia" w:cstheme="minorEastAsia"/>
          <w:snapToGrid w:val="0"/>
          <w:color w:val="auto"/>
          <w:kern w:val="0"/>
          <w:sz w:val="32"/>
          <w:szCs w:val="32"/>
          <w:lang w:val="en-US" w:eastAsia="zh-CN" w:bidi="ar-SA"/>
        </w:rPr>
        <w:t>附件8：生态环境分区管控分析报告</w:t>
      </w:r>
    </w:p>
    <w:p w14:paraId="267E3A67">
      <w:pPr>
        <w:jc w:val="center"/>
        <w:rPr>
          <w:rFonts w:hint="default"/>
          <w:color w:val="auto"/>
          <w:lang w:val="en-US" w:eastAsia="zh-CN"/>
        </w:rPr>
      </w:pPr>
      <w:r>
        <w:rPr>
          <w:rFonts w:hint="eastAsia"/>
          <w:color w:val="auto"/>
          <w:lang w:val="en-US" w:eastAsia="zh-CN"/>
        </w:rPr>
        <w:drawing>
          <wp:inline distT="0" distB="0" distL="114300" distR="114300">
            <wp:extent cx="7192010" cy="5088255"/>
            <wp:effectExtent l="0" t="0" r="8890" b="17145"/>
            <wp:docPr id="78" name="图片 78" descr="双鸭山市尖山区众诚种植养殖农民专业合作社新建_2025年10月09日164350_分析报告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双鸭山市尖山区众诚种植养殖农民专业合作社新建_2025年10月09日164350_分析报告_page-0001"/>
                    <pic:cNvPicPr>
                      <a:picLocks noChangeAspect="1"/>
                    </pic:cNvPicPr>
                  </pic:nvPicPr>
                  <pic:blipFill>
                    <a:blip r:embed="rId59"/>
                    <a:stretch>
                      <a:fillRect/>
                    </a:stretch>
                  </pic:blipFill>
                  <pic:spPr>
                    <a:xfrm>
                      <a:off x="0" y="0"/>
                      <a:ext cx="7192010" cy="5088255"/>
                    </a:xfrm>
                    <a:prstGeom prst="rect">
                      <a:avLst/>
                    </a:prstGeom>
                  </pic:spPr>
                </pic:pic>
              </a:graphicData>
            </a:graphic>
          </wp:inline>
        </w:drawing>
      </w:r>
    </w:p>
    <w:p w14:paraId="677C2FB5">
      <w:pPr>
        <w:pStyle w:val="2"/>
        <w:jc w:val="center"/>
        <w:rPr>
          <w:rFonts w:hint="eastAsia" w:asciiTheme="minorEastAsia" w:hAnsiTheme="minorEastAsia" w:eastAsiaTheme="minorEastAsia" w:cstheme="minorEastAsia"/>
          <w:color w:val="auto"/>
          <w:kern w:val="0"/>
          <w:sz w:val="24"/>
          <w:szCs w:val="18"/>
          <w:lang w:val="en-US" w:eastAsia="zh-CN" w:bidi="ar-SA"/>
        </w:rPr>
      </w:pPr>
      <w:r>
        <w:rPr>
          <w:rFonts w:hint="eastAsia"/>
          <w:color w:val="auto"/>
          <w:lang w:val="en-US" w:eastAsia="zh-CN"/>
        </w:rPr>
        <w:drawing>
          <wp:inline distT="0" distB="0" distL="114300" distR="114300">
            <wp:extent cx="7933690" cy="5613400"/>
            <wp:effectExtent l="0" t="0" r="10160" b="6350"/>
            <wp:docPr id="77" name="图片 77" descr="双鸭山市尖山区众诚种植养殖农民专业合作社新建_2025年10月09日164350_分析报告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双鸭山市尖山区众诚种植养殖农民专业合作社新建_2025年10月09日164350_分析报告_page-0002"/>
                    <pic:cNvPicPr>
                      <a:picLocks noChangeAspect="1"/>
                    </pic:cNvPicPr>
                  </pic:nvPicPr>
                  <pic:blipFill>
                    <a:blip r:embed="rId60"/>
                    <a:stretch>
                      <a:fillRect/>
                    </a:stretch>
                  </pic:blipFill>
                  <pic:spPr>
                    <a:xfrm>
                      <a:off x="0" y="0"/>
                      <a:ext cx="7933690" cy="5613400"/>
                    </a:xfrm>
                    <a:prstGeom prst="rect">
                      <a:avLst/>
                    </a:prstGeom>
                  </pic:spPr>
                </pic:pic>
              </a:graphicData>
            </a:graphic>
          </wp:inline>
        </w:drawing>
      </w:r>
      <w:r>
        <w:rPr>
          <w:rFonts w:hint="eastAsia"/>
          <w:color w:val="auto"/>
          <w:lang w:val="en-US" w:eastAsia="zh-CN"/>
        </w:rPr>
        <w:drawing>
          <wp:inline distT="0" distB="0" distL="114300" distR="114300">
            <wp:extent cx="7933690" cy="5613400"/>
            <wp:effectExtent l="0" t="0" r="10160" b="6350"/>
            <wp:docPr id="76" name="图片 76" descr="双鸭山市尖山区众诚种植养殖农民专业合作社新建_2025年10月09日164350_分析报告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双鸭山市尖山区众诚种植养殖农民专业合作社新建_2025年10月09日164350_分析报告_page-0003"/>
                    <pic:cNvPicPr>
                      <a:picLocks noChangeAspect="1"/>
                    </pic:cNvPicPr>
                  </pic:nvPicPr>
                  <pic:blipFill>
                    <a:blip r:embed="rId61"/>
                    <a:stretch>
                      <a:fillRect/>
                    </a:stretch>
                  </pic:blipFill>
                  <pic:spPr>
                    <a:xfrm>
                      <a:off x="0" y="0"/>
                      <a:ext cx="7933690" cy="5613400"/>
                    </a:xfrm>
                    <a:prstGeom prst="rect">
                      <a:avLst/>
                    </a:prstGeom>
                  </pic:spPr>
                </pic:pic>
              </a:graphicData>
            </a:graphic>
          </wp:inline>
        </w:drawing>
      </w:r>
      <w:r>
        <w:rPr>
          <w:rFonts w:hint="eastAsia"/>
          <w:color w:val="auto"/>
          <w:lang w:val="en-US" w:eastAsia="zh-CN"/>
        </w:rPr>
        <w:drawing>
          <wp:inline distT="0" distB="0" distL="114300" distR="114300">
            <wp:extent cx="7933690" cy="5613400"/>
            <wp:effectExtent l="0" t="0" r="10160" b="6350"/>
            <wp:docPr id="75" name="图片 75" descr="双鸭山市尖山区众诚种植养殖农民专业合作社新建_2025年10月09日164350_分析报告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双鸭山市尖山区众诚种植养殖农民专业合作社新建_2025年10月09日164350_分析报告_page-0004"/>
                    <pic:cNvPicPr>
                      <a:picLocks noChangeAspect="1"/>
                    </pic:cNvPicPr>
                  </pic:nvPicPr>
                  <pic:blipFill>
                    <a:blip r:embed="rId62"/>
                    <a:stretch>
                      <a:fillRect/>
                    </a:stretch>
                  </pic:blipFill>
                  <pic:spPr>
                    <a:xfrm>
                      <a:off x="0" y="0"/>
                      <a:ext cx="7933690" cy="5613400"/>
                    </a:xfrm>
                    <a:prstGeom prst="rect">
                      <a:avLst/>
                    </a:prstGeom>
                  </pic:spPr>
                </pic:pic>
              </a:graphicData>
            </a:graphic>
          </wp:inline>
        </w:drawing>
      </w:r>
      <w:r>
        <w:rPr>
          <w:rFonts w:hint="eastAsia"/>
          <w:color w:val="auto"/>
          <w:lang w:val="en-US" w:eastAsia="zh-CN"/>
        </w:rPr>
        <w:drawing>
          <wp:inline distT="0" distB="0" distL="114300" distR="114300">
            <wp:extent cx="7933690" cy="5613400"/>
            <wp:effectExtent l="0" t="0" r="10160" b="6350"/>
            <wp:docPr id="74" name="图片 74" descr="双鸭山市尖山区众诚种植养殖农民专业合作社新建_2025年10月09日164350_分析报告_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双鸭山市尖山区众诚种植养殖农民专业合作社新建_2025年10月09日164350_分析报告_page-0005"/>
                    <pic:cNvPicPr>
                      <a:picLocks noChangeAspect="1"/>
                    </pic:cNvPicPr>
                  </pic:nvPicPr>
                  <pic:blipFill>
                    <a:blip r:embed="rId63"/>
                    <a:stretch>
                      <a:fillRect/>
                    </a:stretch>
                  </pic:blipFill>
                  <pic:spPr>
                    <a:xfrm>
                      <a:off x="0" y="0"/>
                      <a:ext cx="7933690" cy="5613400"/>
                    </a:xfrm>
                    <a:prstGeom prst="rect">
                      <a:avLst/>
                    </a:prstGeom>
                  </pic:spPr>
                </pic:pic>
              </a:graphicData>
            </a:graphic>
          </wp:inline>
        </w:drawing>
      </w:r>
      <w:r>
        <w:rPr>
          <w:rFonts w:hint="eastAsia"/>
          <w:color w:val="auto"/>
          <w:lang w:val="en-US" w:eastAsia="zh-CN"/>
        </w:rPr>
        <w:drawing>
          <wp:inline distT="0" distB="0" distL="114300" distR="114300">
            <wp:extent cx="7933690" cy="5613400"/>
            <wp:effectExtent l="0" t="0" r="10160" b="6350"/>
            <wp:docPr id="73" name="图片 73" descr="双鸭山市尖山区众诚种植养殖农民专业合作社新建_2025年10月09日164350_分析报告_page-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双鸭山市尖山区众诚种植养殖农民专业合作社新建_2025年10月09日164350_分析报告_page-0006"/>
                    <pic:cNvPicPr>
                      <a:picLocks noChangeAspect="1"/>
                    </pic:cNvPicPr>
                  </pic:nvPicPr>
                  <pic:blipFill>
                    <a:blip r:embed="rId64"/>
                    <a:stretch>
                      <a:fillRect/>
                    </a:stretch>
                  </pic:blipFill>
                  <pic:spPr>
                    <a:xfrm>
                      <a:off x="0" y="0"/>
                      <a:ext cx="7933690" cy="5613400"/>
                    </a:xfrm>
                    <a:prstGeom prst="rect">
                      <a:avLst/>
                    </a:prstGeom>
                  </pic:spPr>
                </pic:pic>
              </a:graphicData>
            </a:graphic>
          </wp:inline>
        </w:drawing>
      </w:r>
      <w:r>
        <w:rPr>
          <w:rFonts w:hint="eastAsia"/>
          <w:color w:val="auto"/>
          <w:lang w:val="en-US" w:eastAsia="zh-CN"/>
        </w:rPr>
        <w:drawing>
          <wp:inline distT="0" distB="0" distL="114300" distR="114300">
            <wp:extent cx="7933690" cy="5613400"/>
            <wp:effectExtent l="0" t="0" r="10160" b="6350"/>
            <wp:docPr id="72" name="图片 72" descr="双鸭山市尖山区众诚种植养殖农民专业合作社新建_2025年10月09日164350_分析报告_page-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双鸭山市尖山区众诚种植养殖农民专业合作社新建_2025年10月09日164350_分析报告_page-0007"/>
                    <pic:cNvPicPr>
                      <a:picLocks noChangeAspect="1"/>
                    </pic:cNvPicPr>
                  </pic:nvPicPr>
                  <pic:blipFill>
                    <a:blip r:embed="rId9"/>
                    <a:stretch>
                      <a:fillRect/>
                    </a:stretch>
                  </pic:blipFill>
                  <pic:spPr>
                    <a:xfrm>
                      <a:off x="0" y="0"/>
                      <a:ext cx="7933690" cy="5613400"/>
                    </a:xfrm>
                    <a:prstGeom prst="rect">
                      <a:avLst/>
                    </a:prstGeom>
                  </pic:spPr>
                </pic:pic>
              </a:graphicData>
            </a:graphic>
          </wp:inline>
        </w:drawing>
      </w:r>
      <w:r>
        <w:rPr>
          <w:rFonts w:hint="eastAsia"/>
          <w:color w:val="auto"/>
          <w:lang w:val="en-US" w:eastAsia="zh-CN"/>
        </w:rPr>
        <w:drawing>
          <wp:inline distT="0" distB="0" distL="114300" distR="114300">
            <wp:extent cx="7933690" cy="5613400"/>
            <wp:effectExtent l="0" t="0" r="10160" b="6350"/>
            <wp:docPr id="71" name="图片 71" descr="双鸭山市尖山区众诚种植养殖农民专业合作社新建_2025年10月09日164350_分析报告_page-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双鸭山市尖山区众诚种植养殖农民专业合作社新建_2025年10月09日164350_分析报告_page-0008"/>
                    <pic:cNvPicPr>
                      <a:picLocks noChangeAspect="1"/>
                    </pic:cNvPicPr>
                  </pic:nvPicPr>
                  <pic:blipFill>
                    <a:blip r:embed="rId65"/>
                    <a:stretch>
                      <a:fillRect/>
                    </a:stretch>
                  </pic:blipFill>
                  <pic:spPr>
                    <a:xfrm>
                      <a:off x="0" y="0"/>
                      <a:ext cx="7933690" cy="5613400"/>
                    </a:xfrm>
                    <a:prstGeom prst="rect">
                      <a:avLst/>
                    </a:prstGeom>
                  </pic:spPr>
                </pic:pic>
              </a:graphicData>
            </a:graphic>
          </wp:inline>
        </w:drawing>
      </w:r>
      <w:r>
        <w:rPr>
          <w:rFonts w:hint="eastAsia"/>
          <w:color w:val="auto"/>
          <w:lang w:val="en-US" w:eastAsia="zh-CN"/>
        </w:rPr>
        <w:drawing>
          <wp:inline distT="0" distB="0" distL="114300" distR="114300">
            <wp:extent cx="7933690" cy="5613400"/>
            <wp:effectExtent l="0" t="0" r="10160" b="6350"/>
            <wp:docPr id="70" name="图片 70" descr="双鸭山市尖山区众诚种植养殖农民专业合作社新建_2025年10月09日164350_分析报告_page-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双鸭山市尖山区众诚种植养殖农民专业合作社新建_2025年10月09日164350_分析报告_page-0009"/>
                    <pic:cNvPicPr>
                      <a:picLocks noChangeAspect="1"/>
                    </pic:cNvPicPr>
                  </pic:nvPicPr>
                  <pic:blipFill>
                    <a:blip r:embed="rId66"/>
                    <a:stretch>
                      <a:fillRect/>
                    </a:stretch>
                  </pic:blipFill>
                  <pic:spPr>
                    <a:xfrm>
                      <a:off x="0" y="0"/>
                      <a:ext cx="7933690" cy="5613400"/>
                    </a:xfrm>
                    <a:prstGeom prst="rect">
                      <a:avLst/>
                    </a:prstGeom>
                  </pic:spPr>
                </pic:pic>
              </a:graphicData>
            </a:graphic>
          </wp:inline>
        </w:drawing>
      </w:r>
      <w:r>
        <w:rPr>
          <w:rFonts w:hint="eastAsia"/>
          <w:color w:val="auto"/>
          <w:lang w:val="en-US" w:eastAsia="zh-CN"/>
        </w:rPr>
        <w:drawing>
          <wp:inline distT="0" distB="0" distL="114300" distR="114300">
            <wp:extent cx="7933690" cy="5613400"/>
            <wp:effectExtent l="0" t="0" r="10160" b="6350"/>
            <wp:docPr id="69" name="图片 69" descr="双鸭山市尖山区众诚种植养殖农民专业合作社新建_2025年10月09日164350_分析报告_page-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双鸭山市尖山区众诚种植养殖农民专业合作社新建_2025年10月09日164350_分析报告_page-0010"/>
                    <pic:cNvPicPr>
                      <a:picLocks noChangeAspect="1"/>
                    </pic:cNvPicPr>
                  </pic:nvPicPr>
                  <pic:blipFill>
                    <a:blip r:embed="rId67"/>
                    <a:stretch>
                      <a:fillRect/>
                    </a:stretch>
                  </pic:blipFill>
                  <pic:spPr>
                    <a:xfrm>
                      <a:off x="0" y="0"/>
                      <a:ext cx="7933690" cy="5613400"/>
                    </a:xfrm>
                    <a:prstGeom prst="rect">
                      <a:avLst/>
                    </a:prstGeom>
                  </pic:spPr>
                </pic:pic>
              </a:graphicData>
            </a:graphic>
          </wp:inline>
        </w:drawing>
      </w:r>
    </w:p>
    <w:p w14:paraId="2A28A6E9">
      <w:pPr>
        <w:pStyle w:val="3"/>
        <w:rPr>
          <w:rFonts w:hint="eastAsia" w:asciiTheme="minorEastAsia" w:hAnsiTheme="minorEastAsia" w:eastAsiaTheme="minorEastAsia" w:cstheme="minorEastAsia"/>
          <w:color w:val="auto"/>
          <w:kern w:val="0"/>
          <w:sz w:val="24"/>
          <w:szCs w:val="18"/>
          <w:lang w:val="en-US" w:eastAsia="zh-CN" w:bidi="ar-SA"/>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type="lines" w:linePitch="312" w:charSpace="0"/>
        </w:sectPr>
      </w:pPr>
    </w:p>
    <w:p w14:paraId="7D8F4E31">
      <w:pPr>
        <w:pStyle w:val="30"/>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0"/>
        <w:rPr>
          <w:rFonts w:hint="default" w:asciiTheme="minorEastAsia" w:hAnsiTheme="minorEastAsia" w:eastAsiaTheme="minorEastAsia" w:cstheme="minorEastAsia"/>
          <w:snapToGrid w:val="0"/>
          <w:color w:val="auto"/>
          <w:kern w:val="0"/>
          <w:sz w:val="32"/>
          <w:szCs w:val="32"/>
          <w:lang w:val="en-US" w:eastAsia="zh-CN" w:bidi="ar-SA"/>
        </w:rPr>
      </w:pPr>
      <w:bookmarkStart w:id="32" w:name="_Toc8382"/>
      <w:bookmarkStart w:id="33" w:name="_Toc26020"/>
      <w:bookmarkStart w:id="34" w:name="_Toc16139"/>
      <w:r>
        <w:rPr>
          <w:rFonts w:hint="eastAsia" w:asciiTheme="minorEastAsia" w:hAnsiTheme="minorEastAsia" w:eastAsiaTheme="minorEastAsia" w:cstheme="minorEastAsia"/>
          <w:snapToGrid w:val="0"/>
          <w:color w:val="auto"/>
          <w:kern w:val="0"/>
          <w:sz w:val="32"/>
          <w:szCs w:val="32"/>
          <w:lang w:val="en-US" w:eastAsia="zh-CN" w:bidi="ar-SA"/>
        </w:rPr>
        <w:t>附件9：总量计算说明</w:t>
      </w:r>
      <w:bookmarkEnd w:id="32"/>
      <w:bookmarkEnd w:id="33"/>
      <w:bookmarkEnd w:id="34"/>
    </w:p>
    <w:p w14:paraId="6F874199">
      <w:pPr>
        <w:pStyle w:val="8"/>
        <w:keepLines w:val="0"/>
        <w:pageBreakBefore w:val="0"/>
        <w:topLinePunct w:val="0"/>
        <w:bidi w:val="0"/>
        <w:adjustRightInd w:val="0"/>
        <w:snapToGrid w:val="0"/>
        <w:spacing w:beforeAutospacing="0" w:afterAutospacing="0" w:line="360" w:lineRule="auto"/>
        <w:ind w:left="0" w:leftChars="0" w:right="0" w:rightChars="0" w:firstLine="480" w:firstLineChars="200"/>
        <w:outlineLvl w:val="9"/>
        <w:rPr>
          <w:rFonts w:hint="eastAsia" w:ascii="Times New Roman" w:hAnsi="Times New Roman" w:eastAsia="宋体" w:cs="Times New Roman"/>
          <w:color w:val="auto"/>
          <w:kern w:val="0"/>
          <w:sz w:val="24"/>
          <w:szCs w:val="24"/>
          <w:highlight w:val="none"/>
          <w:lang w:val="en-US" w:eastAsia="zh-CN" w:bidi="ar-SA"/>
        </w:rPr>
      </w:pPr>
      <w:bookmarkStart w:id="35" w:name="_Toc23519"/>
      <w:bookmarkStart w:id="36" w:name="_Toc1243"/>
      <w:bookmarkStart w:id="37" w:name="_Toc6361"/>
      <w:r>
        <w:rPr>
          <w:rFonts w:hint="eastAsia" w:ascii="Times New Roman" w:hAnsi="Times New Roman" w:eastAsia="宋体" w:cs="Times New Roman"/>
          <w:color w:val="auto"/>
          <w:kern w:val="0"/>
          <w:sz w:val="24"/>
          <w:szCs w:val="24"/>
          <w:highlight w:val="none"/>
          <w:lang w:val="en-US" w:eastAsia="zh-CN" w:bidi="ar-SA"/>
        </w:rPr>
        <w:t>一、核定量计算</w:t>
      </w:r>
      <w:bookmarkEnd w:id="35"/>
    </w:p>
    <w:p w14:paraId="0A6551F5">
      <w:pPr>
        <w:pStyle w:val="126"/>
        <w:spacing w:line="360" w:lineRule="auto"/>
        <w:ind w:firstLine="480"/>
        <w:rPr>
          <w:rFonts w:hint="eastAsia"/>
          <w:color w:val="auto"/>
          <w:lang w:val="en-US" w:eastAsia="zh-CN"/>
        </w:rPr>
      </w:pPr>
      <w:r>
        <w:rPr>
          <w:rFonts w:hint="eastAsia"/>
          <w:color w:val="auto"/>
          <w:lang w:val="en-US" w:eastAsia="zh-CN"/>
        </w:rPr>
        <w:t>（1）锅炉废气</w:t>
      </w:r>
    </w:p>
    <w:p w14:paraId="044C6693">
      <w:pPr>
        <w:pStyle w:val="126"/>
        <w:spacing w:line="360" w:lineRule="auto"/>
        <w:ind w:firstLine="480"/>
        <w:rPr>
          <w:rFonts w:hint="default" w:ascii="Times New Roman" w:hAnsi="Times New Roman" w:eastAsia="宋体" w:cs="Times New Roman"/>
          <w:color w:val="auto"/>
          <w:kern w:val="2"/>
          <w:sz w:val="24"/>
          <w:szCs w:val="20"/>
          <w:lang w:val="en-US" w:eastAsia="zh-CN" w:bidi="ar-SA"/>
        </w:rPr>
      </w:pPr>
      <w:r>
        <w:rPr>
          <w:rFonts w:hint="eastAsia" w:cs="Times New Roman"/>
          <w:color w:val="auto"/>
          <w:kern w:val="0"/>
          <w:sz w:val="24"/>
          <w:szCs w:val="24"/>
          <w:highlight w:val="none"/>
          <w:lang w:val="en-US" w:eastAsia="zh-CN" w:bidi="ar-SA"/>
        </w:rPr>
        <w:t>本项目4t/h燃生物质蒸汽锅炉年工作30天，生物质燃料年用量为369.9t/a。4t/h燃生物质</w:t>
      </w:r>
      <w:r>
        <w:rPr>
          <w:rFonts w:hint="eastAsia"/>
          <w:color w:val="auto"/>
          <w:lang w:val="en-US" w:eastAsia="zh-CN"/>
        </w:rPr>
        <w:t>蒸汽锅炉</w:t>
      </w:r>
      <w:r>
        <w:rPr>
          <w:rFonts w:hint="eastAsia"/>
          <w:color w:val="auto"/>
        </w:rPr>
        <w:t>烟气经</w:t>
      </w:r>
      <w:r>
        <w:rPr>
          <w:rFonts w:hint="eastAsia"/>
          <w:bCs/>
          <w:color w:val="auto"/>
          <w:sz w:val="24"/>
          <w:highlight w:val="none"/>
          <w:lang w:val="en-US" w:eastAsia="zh-CN"/>
        </w:rPr>
        <w:t>旋风除尘+</w:t>
      </w:r>
      <w:r>
        <w:rPr>
          <w:rFonts w:hint="eastAsia"/>
          <w:color w:val="auto"/>
        </w:rPr>
        <w:t>布袋除尘器（除尘效率为</w:t>
      </w:r>
      <w:r>
        <w:rPr>
          <w:rFonts w:hint="eastAsia"/>
          <w:color w:val="auto"/>
          <w:lang w:eastAsia="zh-CN"/>
        </w:rPr>
        <w:t>99%</w:t>
      </w:r>
      <w:r>
        <w:rPr>
          <w:rFonts w:hint="eastAsia"/>
          <w:color w:val="auto"/>
        </w:rPr>
        <w:t>）处理，由1根</w:t>
      </w:r>
      <w:r>
        <w:rPr>
          <w:rFonts w:hint="eastAsia"/>
          <w:color w:val="auto"/>
          <w:lang w:val="en-US" w:eastAsia="zh-CN"/>
        </w:rPr>
        <w:t>35米</w:t>
      </w:r>
      <w:r>
        <w:rPr>
          <w:rFonts w:hint="eastAsia"/>
          <w:color w:val="auto"/>
        </w:rPr>
        <w:t>高烟囱排放</w:t>
      </w:r>
      <w:r>
        <w:rPr>
          <w:rFonts w:hint="eastAsia"/>
          <w:color w:val="auto"/>
          <w:lang w:eastAsia="zh-CN"/>
        </w:rPr>
        <w:t>，</w:t>
      </w:r>
      <w:r>
        <w:rPr>
          <w:rFonts w:hint="eastAsia"/>
          <w:color w:val="auto"/>
          <w:lang w:val="en-US" w:eastAsia="zh-CN"/>
        </w:rPr>
        <w:t>烟囱</w:t>
      </w:r>
      <w:r>
        <w:rPr>
          <w:color w:val="auto"/>
        </w:rPr>
        <w:t>出口内径：</w:t>
      </w:r>
      <w:r>
        <w:rPr>
          <w:rFonts w:hint="eastAsia"/>
          <w:color w:val="auto"/>
          <w:lang w:val="en-US" w:eastAsia="zh-CN"/>
        </w:rPr>
        <w:t>0.5</w:t>
      </w:r>
      <w:r>
        <w:rPr>
          <w:color w:val="auto"/>
        </w:rPr>
        <w:t>m。</w:t>
      </w:r>
      <w:r>
        <w:rPr>
          <w:rFonts w:hint="default" w:ascii="Times New Roman" w:hAnsi="Times New Roman" w:eastAsia="宋体" w:cs="Times New Roman"/>
          <w:color w:val="auto"/>
          <w:kern w:val="2"/>
          <w:sz w:val="24"/>
          <w:szCs w:val="20"/>
          <w:lang w:val="en-US" w:eastAsia="zh-CN" w:bidi="ar-SA"/>
        </w:rPr>
        <w:t>锅炉排放的污染物计算情况如下：</w:t>
      </w:r>
    </w:p>
    <w:p w14:paraId="7B300A94">
      <w:pPr>
        <w:pStyle w:val="126"/>
        <w:spacing w:line="360" w:lineRule="auto"/>
        <w:ind w:firstLine="480"/>
        <w:rPr>
          <w:rFonts w:hint="default" w:ascii="Times New Roman" w:hAnsi="Times New Roman" w:cs="Times New Roman"/>
          <w:color w:val="auto"/>
          <w:kern w:val="0"/>
          <w:sz w:val="24"/>
          <w:szCs w:val="24"/>
          <w:highlight w:val="none"/>
          <w:lang w:val="en-US" w:eastAsia="zh-CN" w:bidi="ar-SA"/>
        </w:rPr>
      </w:pPr>
      <w:r>
        <w:rPr>
          <w:rFonts w:hint="default" w:ascii="Times New Roman" w:hAnsi="Times New Roman" w:cs="Times New Roman"/>
          <w:color w:val="auto"/>
          <w:kern w:val="0"/>
          <w:sz w:val="24"/>
          <w:szCs w:val="24"/>
          <w:highlight w:val="none"/>
          <w:lang w:val="en-US" w:eastAsia="zh-CN" w:bidi="ar-SA"/>
        </w:rPr>
        <w:t>干烟气排放量计算参照《排污许可证申请与核发技术规范 锅炉》（HJ953-2018），本项目低位发热量（Qnet，ar）为</w:t>
      </w:r>
      <w:r>
        <w:rPr>
          <w:rFonts w:hint="eastAsia" w:cs="Times New Roman"/>
          <w:color w:val="auto"/>
          <w:kern w:val="0"/>
          <w:sz w:val="24"/>
          <w:szCs w:val="24"/>
          <w:highlight w:val="none"/>
          <w:lang w:val="en-US" w:eastAsia="zh-CN" w:bidi="ar-SA"/>
        </w:rPr>
        <w:t>9.58</w:t>
      </w:r>
      <w:r>
        <w:rPr>
          <w:rFonts w:hint="eastAsia" w:ascii="Times New Roman" w:hAnsi="Times New Roman" w:eastAsia="宋体" w:cs="Times New Roman"/>
          <w:color w:val="auto"/>
          <w:kern w:val="0"/>
          <w:sz w:val="24"/>
          <w:szCs w:val="24"/>
          <w:highlight w:val="none"/>
          <w:lang w:val="en-US" w:eastAsia="zh-CN" w:bidi="ar-SA"/>
        </w:rPr>
        <w:t>MJ/kg</w:t>
      </w:r>
      <w:r>
        <w:rPr>
          <w:rFonts w:hint="default" w:ascii="Times New Roman" w:hAnsi="Times New Roman" w:cs="Times New Roman"/>
          <w:color w:val="auto"/>
          <w:kern w:val="0"/>
          <w:sz w:val="24"/>
          <w:szCs w:val="24"/>
          <w:highlight w:val="none"/>
          <w:lang w:val="en-US" w:eastAsia="zh-CN" w:bidi="ar-SA"/>
        </w:rPr>
        <w:t>，因此基准烟气量采用下式计算：</w:t>
      </w:r>
    </w:p>
    <w:p w14:paraId="69D1362C">
      <w:pPr>
        <w:adjustRightInd w:val="0"/>
        <w:snapToGrid w:val="0"/>
        <w:spacing w:line="360" w:lineRule="auto"/>
        <w:ind w:firstLine="480" w:firstLineChars="200"/>
        <w:jc w:val="center"/>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drawing>
          <wp:inline distT="0" distB="0" distL="114300" distR="114300">
            <wp:extent cx="2614295" cy="583565"/>
            <wp:effectExtent l="0" t="0" r="14605" b="698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68"/>
                    <a:stretch>
                      <a:fillRect/>
                    </a:stretch>
                  </pic:blipFill>
                  <pic:spPr>
                    <a:xfrm>
                      <a:off x="0" y="0"/>
                      <a:ext cx="2614295" cy="583565"/>
                    </a:xfrm>
                    <a:prstGeom prst="rect">
                      <a:avLst/>
                    </a:prstGeom>
                    <a:noFill/>
                    <a:ln>
                      <a:noFill/>
                    </a:ln>
                  </pic:spPr>
                </pic:pic>
              </a:graphicData>
            </a:graphic>
          </wp:inline>
        </w:drawing>
      </w:r>
    </w:p>
    <w:p w14:paraId="5F943F52">
      <w:pPr>
        <w:pStyle w:val="2"/>
        <w:spacing w:before="0" w:after="0" w:line="360" w:lineRule="auto"/>
        <w:ind w:right="0" w:firstLine="1680" w:firstLineChars="7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E---年许可排放量，吨；</w:t>
      </w:r>
    </w:p>
    <w:p w14:paraId="1579F237">
      <w:pPr>
        <w:pStyle w:val="2"/>
        <w:spacing w:before="0" w:after="0" w:line="360" w:lineRule="auto"/>
        <w:ind w:right="0" w:firstLine="1680" w:firstLineChars="7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Ci---污染物排放标准浓度限值，毫克/立方米；</w:t>
      </w:r>
    </w:p>
    <w:p w14:paraId="4BFC2E48">
      <w:pPr>
        <w:pStyle w:val="2"/>
        <w:spacing w:before="0" w:after="0" w:line="360" w:lineRule="auto"/>
        <w:ind w:right="0" w:firstLine="1680" w:firstLineChars="7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Vi---基准烟气量，立方米/千克；</w:t>
      </w:r>
    </w:p>
    <w:p w14:paraId="051A9643">
      <w:pPr>
        <w:pStyle w:val="2"/>
        <w:spacing w:before="0" w:after="0" w:line="360" w:lineRule="auto"/>
        <w:ind w:right="0" w:firstLine="1680" w:firstLineChars="7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Ri---燃料量，吨；</w:t>
      </w:r>
    </w:p>
    <w:p w14:paraId="0B8A5B38">
      <w:pPr>
        <w:pStyle w:val="2"/>
        <w:spacing w:before="0" w:after="0" w:line="360" w:lineRule="auto"/>
        <w:ind w:right="0" w:firstLine="1680" w:firstLineChars="7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object>
          <v:shape id="_x0000_i1027" o:spt="75" type="#_x0000_t75" style="height:13.95pt;width:11pt;" o:ole="t" filled="f" o:preferrelative="t" stroked="f" coordsize="21600,21600">
            <v:path/>
            <v:fill on="f" focussize="0,0"/>
            <v:stroke on="f"/>
            <v:imagedata r:id="rId70" o:title=""/>
            <o:lock v:ext="edit" aspectratio="t"/>
            <w10:wrap type="none"/>
            <w10:anchorlock/>
          </v:shape>
          <o:OLEObject Type="Embed" ProgID="Equation.KSEE3" ShapeID="_x0000_i1027" DrawAspect="Content" ObjectID="_1468075727" r:id="rId69">
            <o:LockedField>false</o:LockedField>
          </o:OLEObject>
        </w:object>
      </w:r>
      <w:r>
        <w:rPr>
          <w:rFonts w:hint="default" w:ascii="Times New Roman" w:hAnsi="Times New Roman" w:eastAsia="宋体" w:cs="Times New Roman"/>
          <w:color w:val="auto"/>
          <w:kern w:val="2"/>
          <w:sz w:val="24"/>
          <w:szCs w:val="20"/>
          <w:lang w:val="en-US" w:eastAsia="zh-CN" w:bidi="ar-SA"/>
        </w:rPr>
        <w:t>i---大气污染物许可排放量调整系数。</w:t>
      </w:r>
    </w:p>
    <w:p w14:paraId="26650A91">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2"/>
          <w:sz w:val="24"/>
          <w:szCs w:val="20"/>
          <w:lang w:val="en-US" w:eastAsia="zh-CN" w:bidi="ar-SA"/>
        </w:rPr>
        <w:t>根据成分分析报告进行计算可知，</w:t>
      </w:r>
      <w:r>
        <w:rPr>
          <w:rFonts w:hint="eastAsia" w:ascii="Times New Roman" w:hAnsi="Times New Roman" w:eastAsia="宋体" w:cs="Times New Roman"/>
          <w:color w:val="auto"/>
          <w:sz w:val="24"/>
          <w:szCs w:val="24"/>
          <w:highlight w:val="none"/>
          <w:lang w:eastAsia="zh-CN"/>
        </w:rPr>
        <w:t>经计算，本项目干烟气量Vg为</w:t>
      </w:r>
      <w:r>
        <w:rPr>
          <w:rFonts w:hint="eastAsia" w:cs="Times New Roman"/>
          <w:color w:val="auto"/>
          <w:sz w:val="24"/>
          <w:szCs w:val="24"/>
          <w:highlight w:val="none"/>
          <w:lang w:eastAsia="zh-CN"/>
        </w:rPr>
        <w:t>4.635</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/kg。</w:t>
      </w:r>
    </w:p>
    <w:p w14:paraId="753BE12A">
      <w:pPr>
        <w:adjustRightInd w:val="0"/>
        <w:snapToGrid w:val="0"/>
        <w:spacing w:line="360" w:lineRule="auto"/>
        <w:ind w:firstLine="480" w:firstLineChars="200"/>
        <w:rPr>
          <w:rFonts w:hint="default" w:ascii="Times New Roman" w:hAnsi="Times New Roman" w:eastAsia="宋体" w:cs="Times New Roman"/>
          <w:color w:val="auto"/>
          <w:kern w:val="2"/>
          <w:sz w:val="24"/>
          <w:szCs w:val="20"/>
          <w:lang w:val="en-US" w:eastAsia="zh-CN" w:bidi="ar-SA"/>
        </w:rPr>
      </w:pPr>
      <w:r>
        <w:rPr>
          <w:rFonts w:hint="eastAsia" w:ascii="Times New Roman" w:hAnsi="Times New Roman" w:eastAsia="宋体" w:cs="Times New Roman"/>
          <w:color w:val="auto"/>
          <w:sz w:val="24"/>
          <w:szCs w:val="24"/>
          <w:highlight w:val="none"/>
          <w:lang w:eastAsia="zh-CN"/>
        </w:rPr>
        <w:t>本项目年燃生物质量为</w:t>
      </w:r>
      <w:r>
        <w:rPr>
          <w:rFonts w:hint="eastAsia" w:cs="Times New Roman"/>
          <w:color w:val="auto"/>
          <w:kern w:val="0"/>
          <w:sz w:val="24"/>
          <w:szCs w:val="24"/>
          <w:highlight w:val="none"/>
          <w:lang w:val="en-US" w:eastAsia="zh-CN" w:bidi="ar-SA"/>
        </w:rPr>
        <w:t>369.9</w:t>
      </w:r>
      <w:r>
        <w:rPr>
          <w:rFonts w:hint="eastAsia" w:ascii="Times New Roman" w:hAnsi="Times New Roman" w:eastAsia="宋体" w:cs="Times New Roman"/>
          <w:color w:val="auto"/>
          <w:sz w:val="24"/>
          <w:szCs w:val="24"/>
          <w:highlight w:val="none"/>
          <w:lang w:eastAsia="zh-CN"/>
        </w:rPr>
        <w:t>t</w:t>
      </w:r>
      <w:r>
        <w:rPr>
          <w:rFonts w:hint="eastAsia"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eastAsia="zh-CN"/>
        </w:rPr>
        <w:t>年工作</w:t>
      </w:r>
      <w:r>
        <w:rPr>
          <w:rFonts w:hint="eastAsia" w:cs="Times New Roman"/>
          <w:color w:val="auto"/>
          <w:sz w:val="24"/>
          <w:szCs w:val="24"/>
          <w:highlight w:val="none"/>
          <w:lang w:val="en-US" w:eastAsia="zh-CN"/>
        </w:rPr>
        <w:t>30</w:t>
      </w:r>
      <w:r>
        <w:rPr>
          <w:rFonts w:hint="eastAsia" w:ascii="Times New Roman" w:hAnsi="Times New Roman" w:eastAsia="宋体" w:cs="Times New Roman"/>
          <w:color w:val="auto"/>
          <w:sz w:val="24"/>
          <w:szCs w:val="24"/>
          <w:highlight w:val="none"/>
          <w:lang w:val="en-US" w:eastAsia="zh-CN"/>
        </w:rPr>
        <w:t>0</w:t>
      </w:r>
      <w:r>
        <w:rPr>
          <w:rFonts w:hint="eastAsia" w:ascii="Times New Roman" w:hAnsi="Times New Roman" w:eastAsia="宋体" w:cs="Times New Roman"/>
          <w:color w:val="auto"/>
          <w:sz w:val="24"/>
          <w:szCs w:val="24"/>
          <w:highlight w:val="none"/>
          <w:lang w:eastAsia="zh-CN"/>
        </w:rPr>
        <w:t>h，则烟气量为</w:t>
      </w:r>
      <w:r>
        <w:rPr>
          <w:rFonts w:hint="eastAsia" w:ascii="Times New Roman" w:hAnsi="Times New Roman" w:eastAsia="宋体" w:cs="Times New Roman"/>
          <w:color w:val="auto"/>
          <w:sz w:val="24"/>
          <w:szCs w:val="24"/>
          <w:highlight w:val="none"/>
          <w:lang w:val="en-US" w:eastAsia="zh-CN"/>
        </w:rPr>
        <w:t>1714486.5</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a。</w:t>
      </w:r>
    </w:p>
    <w:p w14:paraId="0E1750E7">
      <w:pPr>
        <w:adjustRightInd w:val="0"/>
        <w:snapToGrid w:val="0"/>
        <w:spacing w:line="360" w:lineRule="auto"/>
        <w:ind w:firstLine="480" w:firstLineChars="2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颗粒物核定排放量=</w:t>
      </w:r>
      <w:r>
        <w:rPr>
          <w:rFonts w:hint="eastAsia" w:ascii="Times New Roman" w:hAnsi="Times New Roman" w:eastAsia="宋体" w:cs="Times New Roman"/>
          <w:color w:val="auto"/>
          <w:sz w:val="24"/>
          <w:szCs w:val="24"/>
          <w:highlight w:val="none"/>
          <w:lang w:val="en-US" w:eastAsia="zh-CN"/>
        </w:rPr>
        <w:t>1714486.5</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a</w:t>
      </w:r>
      <w:r>
        <w:rPr>
          <w:rFonts w:hint="default" w:ascii="Times New Roman" w:hAnsi="Times New Roman" w:eastAsia="宋体" w:cs="Times New Roman"/>
          <w:color w:val="auto"/>
          <w:kern w:val="2"/>
          <w:sz w:val="24"/>
          <w:szCs w:val="20"/>
          <w:lang w:val="en-US" w:eastAsia="zh-CN" w:bidi="ar-SA"/>
        </w:rPr>
        <w:t>×</w:t>
      </w:r>
      <w:r>
        <w:rPr>
          <w:rFonts w:hint="eastAsia" w:ascii="Times New Roman" w:hAnsi="Times New Roman" w:cs="Times New Roman"/>
          <w:color w:val="auto"/>
          <w:kern w:val="2"/>
          <w:sz w:val="24"/>
          <w:szCs w:val="20"/>
          <w:lang w:val="en-US" w:eastAsia="zh-CN" w:bidi="ar-SA"/>
        </w:rPr>
        <w:t>50</w:t>
      </w:r>
      <w:r>
        <w:rPr>
          <w:rFonts w:hint="default" w:ascii="Times New Roman" w:hAnsi="Times New Roman" w:eastAsia="宋体" w:cs="Times New Roman"/>
          <w:color w:val="auto"/>
          <w:kern w:val="2"/>
          <w:sz w:val="24"/>
          <w:szCs w:val="20"/>
          <w:lang w:val="en-US" w:eastAsia="zh-CN" w:bidi="ar-SA"/>
        </w:rPr>
        <w:t>mg/m</w:t>
      </w:r>
      <w:r>
        <w:rPr>
          <w:rFonts w:hint="eastAsia" w:ascii="Times New Roman" w:hAnsi="Times New Roman" w:eastAsia="宋体" w:cs="Times New Roman"/>
          <w:color w:val="auto"/>
          <w:kern w:val="2"/>
          <w:sz w:val="24"/>
          <w:szCs w:val="20"/>
          <w:vertAlign w:val="superscript"/>
          <w:lang w:val="en-US" w:eastAsia="zh-CN" w:bidi="ar-SA"/>
        </w:rPr>
        <w:t>3</w:t>
      </w:r>
      <w:r>
        <w:rPr>
          <w:rFonts w:hint="default" w:ascii="Times New Roman" w:hAnsi="Times New Roman" w:eastAsia="宋体" w:cs="Times New Roman"/>
          <w:color w:val="auto"/>
          <w:kern w:val="2"/>
          <w:sz w:val="24"/>
          <w:szCs w:val="20"/>
          <w:lang w:val="en-US" w:eastAsia="zh-CN" w:bidi="ar-SA"/>
        </w:rPr>
        <w:t>×10</w:t>
      </w:r>
      <w:r>
        <w:rPr>
          <w:rFonts w:hint="default" w:ascii="Times New Roman" w:hAnsi="Times New Roman" w:eastAsia="宋体" w:cs="Times New Roman"/>
          <w:color w:val="auto"/>
          <w:kern w:val="2"/>
          <w:sz w:val="24"/>
          <w:szCs w:val="20"/>
          <w:vertAlign w:val="superscript"/>
          <w:lang w:val="en-US" w:eastAsia="zh-CN" w:bidi="ar-SA"/>
        </w:rPr>
        <w:t>-</w:t>
      </w:r>
      <w:r>
        <w:rPr>
          <w:rFonts w:hint="eastAsia" w:cs="Times New Roman"/>
          <w:color w:val="auto"/>
          <w:kern w:val="2"/>
          <w:sz w:val="24"/>
          <w:szCs w:val="20"/>
          <w:vertAlign w:val="superscript"/>
          <w:lang w:val="en-US" w:eastAsia="zh-CN" w:bidi="ar-SA"/>
        </w:rPr>
        <w:t>9</w:t>
      </w:r>
      <w:r>
        <w:rPr>
          <w:rFonts w:hint="default" w:ascii="Times New Roman" w:hAnsi="Times New Roman" w:eastAsia="宋体" w:cs="Times New Roman"/>
          <w:color w:val="auto"/>
          <w:kern w:val="2"/>
          <w:sz w:val="24"/>
          <w:szCs w:val="20"/>
          <w:lang w:val="en-US" w:eastAsia="zh-CN" w:bidi="ar-SA"/>
        </w:rPr>
        <w:t>=</w:t>
      </w:r>
      <w:r>
        <w:rPr>
          <w:rFonts w:hint="eastAsia" w:cs="Times New Roman"/>
          <w:color w:val="auto"/>
          <w:kern w:val="2"/>
          <w:sz w:val="24"/>
          <w:szCs w:val="20"/>
          <w:lang w:val="en-US" w:eastAsia="zh-CN" w:bidi="ar-SA"/>
        </w:rPr>
        <w:t>0.086</w:t>
      </w:r>
      <w:r>
        <w:rPr>
          <w:rFonts w:hint="default" w:ascii="Times New Roman" w:hAnsi="Times New Roman" w:eastAsia="宋体" w:cs="Times New Roman"/>
          <w:color w:val="auto"/>
          <w:kern w:val="2"/>
          <w:sz w:val="24"/>
          <w:szCs w:val="20"/>
          <w:lang w:val="en-US" w:eastAsia="zh-CN" w:bidi="ar-SA"/>
        </w:rPr>
        <w:t>t/a</w:t>
      </w:r>
    </w:p>
    <w:p w14:paraId="1D925AAD">
      <w:pPr>
        <w:adjustRightInd w:val="0"/>
        <w:snapToGrid w:val="0"/>
        <w:spacing w:line="360" w:lineRule="auto"/>
        <w:ind w:firstLine="480" w:firstLineChars="2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二氧化硫核定排放量=</w:t>
      </w:r>
      <w:r>
        <w:rPr>
          <w:rFonts w:hint="eastAsia" w:ascii="Times New Roman" w:hAnsi="Times New Roman" w:eastAsia="宋体" w:cs="Times New Roman"/>
          <w:color w:val="auto"/>
          <w:sz w:val="24"/>
          <w:szCs w:val="24"/>
          <w:highlight w:val="none"/>
          <w:lang w:val="en-US" w:eastAsia="zh-CN"/>
        </w:rPr>
        <w:t>1714486.5</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a</w:t>
      </w:r>
      <w:r>
        <w:rPr>
          <w:rFonts w:hint="default" w:ascii="Times New Roman" w:hAnsi="Times New Roman" w:eastAsia="宋体" w:cs="Times New Roman"/>
          <w:color w:val="auto"/>
          <w:kern w:val="2"/>
          <w:sz w:val="24"/>
          <w:szCs w:val="20"/>
          <w:lang w:val="en-US" w:eastAsia="zh-CN" w:bidi="ar-SA"/>
        </w:rPr>
        <w:t>×</w:t>
      </w:r>
      <w:r>
        <w:rPr>
          <w:rFonts w:hint="eastAsia" w:ascii="Times New Roman" w:hAnsi="Times New Roman" w:cs="Times New Roman"/>
          <w:color w:val="auto"/>
          <w:kern w:val="2"/>
          <w:sz w:val="24"/>
          <w:szCs w:val="20"/>
          <w:lang w:val="en-US" w:eastAsia="zh-CN" w:bidi="ar-SA"/>
        </w:rPr>
        <w:t>3</w:t>
      </w:r>
      <w:r>
        <w:rPr>
          <w:rFonts w:hint="default" w:ascii="Times New Roman" w:hAnsi="Times New Roman" w:eastAsia="宋体" w:cs="Times New Roman"/>
          <w:color w:val="auto"/>
          <w:kern w:val="2"/>
          <w:sz w:val="24"/>
          <w:szCs w:val="20"/>
          <w:lang w:val="en-US" w:eastAsia="zh-CN" w:bidi="ar-SA"/>
        </w:rPr>
        <w:t>00mg/m</w:t>
      </w:r>
      <w:r>
        <w:rPr>
          <w:rFonts w:hint="eastAsia" w:ascii="Times New Roman" w:hAnsi="Times New Roman" w:eastAsia="宋体" w:cs="Times New Roman"/>
          <w:color w:val="auto"/>
          <w:kern w:val="2"/>
          <w:sz w:val="24"/>
          <w:szCs w:val="20"/>
          <w:vertAlign w:val="superscript"/>
          <w:lang w:val="en-US" w:eastAsia="zh-CN" w:bidi="ar-SA"/>
        </w:rPr>
        <w:t>3</w:t>
      </w:r>
      <w:r>
        <w:rPr>
          <w:rFonts w:hint="default" w:ascii="Times New Roman" w:hAnsi="Times New Roman" w:eastAsia="宋体" w:cs="Times New Roman"/>
          <w:color w:val="auto"/>
          <w:kern w:val="2"/>
          <w:sz w:val="24"/>
          <w:szCs w:val="20"/>
          <w:lang w:val="en-US" w:eastAsia="zh-CN" w:bidi="ar-SA"/>
        </w:rPr>
        <w:t>×0.8×10</w:t>
      </w:r>
      <w:r>
        <w:rPr>
          <w:rFonts w:hint="default" w:ascii="Times New Roman" w:hAnsi="Times New Roman" w:eastAsia="宋体" w:cs="Times New Roman"/>
          <w:color w:val="auto"/>
          <w:kern w:val="2"/>
          <w:sz w:val="24"/>
          <w:szCs w:val="20"/>
          <w:vertAlign w:val="superscript"/>
          <w:lang w:val="en-US" w:eastAsia="zh-CN" w:bidi="ar-SA"/>
        </w:rPr>
        <w:t>-</w:t>
      </w:r>
      <w:r>
        <w:rPr>
          <w:rFonts w:hint="eastAsia" w:cs="Times New Roman"/>
          <w:color w:val="auto"/>
          <w:kern w:val="2"/>
          <w:sz w:val="24"/>
          <w:szCs w:val="20"/>
          <w:vertAlign w:val="superscript"/>
          <w:lang w:val="en-US" w:eastAsia="zh-CN" w:bidi="ar-SA"/>
        </w:rPr>
        <w:t>9</w:t>
      </w:r>
      <w:r>
        <w:rPr>
          <w:rFonts w:hint="default" w:ascii="Times New Roman" w:hAnsi="Times New Roman" w:eastAsia="宋体" w:cs="Times New Roman"/>
          <w:color w:val="auto"/>
          <w:kern w:val="2"/>
          <w:sz w:val="24"/>
          <w:szCs w:val="20"/>
          <w:lang w:val="en-US" w:eastAsia="zh-CN" w:bidi="ar-SA"/>
        </w:rPr>
        <w:t>=</w:t>
      </w:r>
      <w:r>
        <w:rPr>
          <w:rFonts w:hint="eastAsia" w:cs="Times New Roman"/>
          <w:color w:val="auto"/>
          <w:kern w:val="2"/>
          <w:sz w:val="24"/>
          <w:szCs w:val="20"/>
          <w:lang w:val="en-US" w:eastAsia="zh-CN" w:bidi="ar-SA"/>
        </w:rPr>
        <w:t>0.411</w:t>
      </w:r>
      <w:r>
        <w:rPr>
          <w:rFonts w:hint="default" w:ascii="Times New Roman" w:hAnsi="Times New Roman" w:eastAsia="宋体" w:cs="Times New Roman"/>
          <w:color w:val="auto"/>
          <w:kern w:val="2"/>
          <w:sz w:val="24"/>
          <w:szCs w:val="20"/>
          <w:lang w:val="en-US" w:eastAsia="zh-CN" w:bidi="ar-SA"/>
        </w:rPr>
        <w:t>t/a</w:t>
      </w:r>
    </w:p>
    <w:p w14:paraId="6F85C6A6">
      <w:pPr>
        <w:adjustRightInd w:val="0"/>
        <w:snapToGrid w:val="0"/>
        <w:spacing w:line="360" w:lineRule="auto"/>
        <w:ind w:firstLine="480" w:firstLineChars="2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氮氧化物核定排放量=</w:t>
      </w:r>
      <w:r>
        <w:rPr>
          <w:rFonts w:hint="eastAsia" w:ascii="Times New Roman" w:hAnsi="Times New Roman" w:eastAsia="宋体" w:cs="Times New Roman"/>
          <w:color w:val="auto"/>
          <w:sz w:val="24"/>
          <w:szCs w:val="24"/>
          <w:highlight w:val="none"/>
          <w:lang w:val="en-US" w:eastAsia="zh-CN"/>
        </w:rPr>
        <w:t>1714486.5</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a</w:t>
      </w:r>
      <w:r>
        <w:rPr>
          <w:rFonts w:hint="default" w:ascii="Times New Roman" w:hAnsi="Times New Roman" w:eastAsia="宋体" w:cs="Times New Roman"/>
          <w:color w:val="auto"/>
          <w:kern w:val="2"/>
          <w:sz w:val="24"/>
          <w:szCs w:val="20"/>
          <w:lang w:val="en-US" w:eastAsia="zh-CN" w:bidi="ar-SA"/>
        </w:rPr>
        <w:t>×</w:t>
      </w:r>
      <w:r>
        <w:rPr>
          <w:rFonts w:hint="eastAsia" w:ascii="Times New Roman" w:hAnsi="Times New Roman" w:cs="Times New Roman"/>
          <w:color w:val="auto"/>
          <w:kern w:val="2"/>
          <w:sz w:val="24"/>
          <w:szCs w:val="20"/>
          <w:lang w:val="en-US" w:eastAsia="zh-CN" w:bidi="ar-SA"/>
        </w:rPr>
        <w:t>3</w:t>
      </w:r>
      <w:r>
        <w:rPr>
          <w:rFonts w:hint="default" w:ascii="Times New Roman" w:hAnsi="Times New Roman" w:eastAsia="宋体" w:cs="Times New Roman"/>
          <w:color w:val="auto"/>
          <w:kern w:val="2"/>
          <w:sz w:val="24"/>
          <w:szCs w:val="20"/>
          <w:lang w:val="en-US" w:eastAsia="zh-CN" w:bidi="ar-SA"/>
        </w:rPr>
        <w:t>00mg/m</w:t>
      </w:r>
      <w:r>
        <w:rPr>
          <w:rFonts w:hint="eastAsia" w:ascii="Times New Roman" w:hAnsi="Times New Roman" w:eastAsia="宋体" w:cs="Times New Roman"/>
          <w:color w:val="auto"/>
          <w:kern w:val="2"/>
          <w:sz w:val="24"/>
          <w:szCs w:val="20"/>
          <w:vertAlign w:val="superscript"/>
          <w:lang w:val="en-US" w:eastAsia="zh-CN" w:bidi="ar-SA"/>
        </w:rPr>
        <w:t>3</w:t>
      </w:r>
      <w:r>
        <w:rPr>
          <w:rFonts w:hint="default" w:ascii="Times New Roman" w:hAnsi="Times New Roman" w:eastAsia="宋体" w:cs="Times New Roman"/>
          <w:color w:val="auto"/>
          <w:kern w:val="2"/>
          <w:sz w:val="24"/>
          <w:szCs w:val="20"/>
          <w:lang w:val="en-US" w:eastAsia="zh-CN" w:bidi="ar-SA"/>
        </w:rPr>
        <w:t>×10</w:t>
      </w:r>
      <w:r>
        <w:rPr>
          <w:rFonts w:hint="default" w:ascii="Times New Roman" w:hAnsi="Times New Roman" w:eastAsia="宋体" w:cs="Times New Roman"/>
          <w:color w:val="auto"/>
          <w:kern w:val="2"/>
          <w:sz w:val="24"/>
          <w:szCs w:val="20"/>
          <w:vertAlign w:val="superscript"/>
          <w:lang w:val="en-US" w:eastAsia="zh-CN" w:bidi="ar-SA"/>
        </w:rPr>
        <w:t>-</w:t>
      </w:r>
      <w:r>
        <w:rPr>
          <w:rFonts w:hint="eastAsia" w:cs="Times New Roman"/>
          <w:color w:val="auto"/>
          <w:kern w:val="2"/>
          <w:sz w:val="24"/>
          <w:szCs w:val="20"/>
          <w:vertAlign w:val="superscript"/>
          <w:lang w:val="en-US" w:eastAsia="zh-CN" w:bidi="ar-SA"/>
        </w:rPr>
        <w:t>9</w:t>
      </w:r>
      <w:r>
        <w:rPr>
          <w:rFonts w:hint="default" w:ascii="Times New Roman" w:hAnsi="Times New Roman" w:eastAsia="宋体" w:cs="Times New Roman"/>
          <w:color w:val="auto"/>
          <w:kern w:val="2"/>
          <w:sz w:val="24"/>
          <w:szCs w:val="20"/>
          <w:lang w:val="en-US" w:eastAsia="zh-CN" w:bidi="ar-SA"/>
        </w:rPr>
        <w:t>=</w:t>
      </w:r>
      <w:r>
        <w:rPr>
          <w:rFonts w:hint="eastAsia" w:cs="Times New Roman"/>
          <w:color w:val="auto"/>
          <w:kern w:val="2"/>
          <w:sz w:val="24"/>
          <w:szCs w:val="20"/>
          <w:lang w:val="en-US" w:eastAsia="zh-CN" w:bidi="ar-SA"/>
        </w:rPr>
        <w:t>0.514</w:t>
      </w:r>
      <w:r>
        <w:rPr>
          <w:rFonts w:hint="default" w:ascii="Times New Roman" w:hAnsi="Times New Roman" w:eastAsia="宋体" w:cs="Times New Roman"/>
          <w:color w:val="auto"/>
          <w:kern w:val="2"/>
          <w:sz w:val="24"/>
          <w:szCs w:val="20"/>
          <w:lang w:val="en-US" w:eastAsia="zh-CN" w:bidi="ar-SA"/>
        </w:rPr>
        <w:t>t/a</w:t>
      </w:r>
    </w:p>
    <w:p w14:paraId="3D6B04C2">
      <w:pPr>
        <w:adjustRightInd w:val="0"/>
        <w:snapToGrid w:val="0"/>
        <w:spacing w:line="360" w:lineRule="auto"/>
        <w:ind w:firstLine="480" w:firstLineChars="200"/>
        <w:rPr>
          <w:rFonts w:hint="eastAsia"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（2）</w:t>
      </w:r>
      <w:r>
        <w:rPr>
          <w:rFonts w:hint="eastAsia" w:ascii="Times New Roman" w:hAnsi="Times New Roman" w:eastAsia="宋体" w:cs="Times New Roman"/>
          <w:color w:val="auto"/>
          <w:kern w:val="2"/>
          <w:sz w:val="24"/>
          <w:szCs w:val="20"/>
          <w:lang w:val="en-US" w:eastAsia="zh-CN" w:bidi="ar-SA"/>
        </w:rPr>
        <w:t>废水污染物</w:t>
      </w:r>
    </w:p>
    <w:p w14:paraId="7DA1AD69">
      <w:pPr>
        <w:adjustRightInd w:val="0"/>
        <w:snapToGrid w:val="0"/>
        <w:spacing w:line="360" w:lineRule="auto"/>
        <w:ind w:firstLine="480" w:firstLineChars="200"/>
        <w:rPr>
          <w:rFonts w:hint="eastAsia" w:ascii="Times New Roman" w:hAnsi="Times New Roman" w:eastAsia="宋体" w:cs="Times New Roman"/>
          <w:color w:val="auto"/>
          <w:kern w:val="2"/>
          <w:sz w:val="24"/>
          <w:szCs w:val="20"/>
          <w:lang w:val="en-US" w:eastAsia="zh-CN" w:bidi="ar-SA"/>
        </w:rPr>
      </w:pPr>
      <w:r>
        <w:rPr>
          <w:rFonts w:hint="eastAsia" w:ascii="Times New Roman" w:hAnsi="Times New Roman" w:eastAsia="宋体" w:cs="Times New Roman"/>
          <w:color w:val="auto"/>
          <w:kern w:val="2"/>
          <w:sz w:val="24"/>
          <w:szCs w:val="20"/>
          <w:lang w:val="en-US" w:eastAsia="zh-CN" w:bidi="ar-SA"/>
        </w:rPr>
        <w:t>本项目废水量为</w:t>
      </w:r>
      <w:r>
        <w:rPr>
          <w:rFonts w:hint="eastAsia"/>
          <w:color w:val="auto"/>
          <w:sz w:val="24"/>
          <w:lang w:val="en-US" w:eastAsia="zh-CN"/>
        </w:rPr>
        <w:t>3174.393</w:t>
      </w:r>
      <w:r>
        <w:rPr>
          <w:rFonts w:hint="eastAsia" w:ascii="Times New Roman" w:hAnsi="Times New Roman" w:eastAsia="宋体" w:cs="Times New Roman"/>
          <w:color w:val="auto"/>
          <w:kern w:val="2"/>
          <w:sz w:val="24"/>
          <w:szCs w:val="20"/>
          <w:lang w:val="en-US" w:eastAsia="zh-CN" w:bidi="ar-SA"/>
        </w:rPr>
        <w:t>t</w:t>
      </w:r>
      <w:r>
        <w:rPr>
          <w:rFonts w:hint="default" w:ascii="Times New Roman" w:hAnsi="Times New Roman" w:eastAsia="宋体" w:cs="Times New Roman"/>
          <w:color w:val="auto"/>
          <w:kern w:val="2"/>
          <w:sz w:val="24"/>
          <w:szCs w:val="20"/>
          <w:lang w:val="en-US" w:eastAsia="zh-CN" w:bidi="ar-SA"/>
        </w:rPr>
        <w:t>/a</w:t>
      </w:r>
      <w:r>
        <w:rPr>
          <w:rFonts w:hint="eastAsia" w:ascii="Times New Roman" w:hAnsi="Times New Roman" w:eastAsia="宋体" w:cs="Times New Roman"/>
          <w:color w:val="auto"/>
          <w:kern w:val="2"/>
          <w:sz w:val="24"/>
          <w:szCs w:val="20"/>
          <w:lang w:val="en-US" w:eastAsia="zh-CN" w:bidi="ar-SA"/>
        </w:rPr>
        <w:t>。</w:t>
      </w:r>
    </w:p>
    <w:p w14:paraId="32891EA7">
      <w:pPr>
        <w:adjustRightInd w:val="0"/>
        <w:snapToGrid w:val="0"/>
        <w:spacing w:line="360" w:lineRule="auto"/>
        <w:ind w:firstLine="480" w:firstLineChars="2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COD核定排放总量=</w:t>
      </w:r>
      <w:r>
        <w:rPr>
          <w:rFonts w:hint="eastAsia"/>
          <w:color w:val="auto"/>
          <w:sz w:val="24"/>
          <w:lang w:val="en-US" w:eastAsia="zh-CN"/>
        </w:rPr>
        <w:t>3174.393</w:t>
      </w:r>
      <w:r>
        <w:rPr>
          <w:rFonts w:hint="default" w:ascii="Times New Roman" w:hAnsi="Times New Roman" w:eastAsia="宋体" w:cs="Times New Roman"/>
          <w:color w:val="auto"/>
          <w:kern w:val="2"/>
          <w:sz w:val="24"/>
          <w:szCs w:val="20"/>
          <w:lang w:val="en-US" w:eastAsia="zh-CN" w:bidi="ar-SA"/>
        </w:rPr>
        <w:t>×</w:t>
      </w:r>
      <w:r>
        <w:rPr>
          <w:rFonts w:hint="eastAsia" w:ascii="Times New Roman" w:hAnsi="Times New Roman" w:eastAsia="宋体" w:cs="Times New Roman"/>
          <w:color w:val="auto"/>
          <w:kern w:val="2"/>
          <w:sz w:val="24"/>
          <w:szCs w:val="20"/>
          <w:lang w:val="en-US" w:eastAsia="zh-CN" w:bidi="ar-SA"/>
        </w:rPr>
        <w:t>500</w:t>
      </w:r>
      <w:r>
        <w:rPr>
          <w:rFonts w:hint="default" w:ascii="Times New Roman" w:hAnsi="Times New Roman" w:eastAsia="宋体" w:cs="Times New Roman"/>
          <w:color w:val="auto"/>
          <w:kern w:val="2"/>
          <w:sz w:val="24"/>
          <w:szCs w:val="20"/>
          <w:lang w:val="en-US" w:eastAsia="zh-CN" w:bidi="ar-SA"/>
        </w:rPr>
        <w:t>mg/L×10</w:t>
      </w:r>
      <w:r>
        <w:rPr>
          <w:rFonts w:hint="default" w:ascii="Times New Roman" w:hAnsi="Times New Roman" w:eastAsia="宋体" w:cs="Times New Roman"/>
          <w:color w:val="auto"/>
          <w:kern w:val="2"/>
          <w:sz w:val="24"/>
          <w:szCs w:val="20"/>
          <w:vertAlign w:val="superscript"/>
          <w:lang w:val="en-US" w:eastAsia="zh-CN" w:bidi="ar-SA"/>
        </w:rPr>
        <w:t>-6</w:t>
      </w:r>
      <w:r>
        <w:rPr>
          <w:rFonts w:hint="default" w:ascii="Times New Roman" w:hAnsi="Times New Roman" w:eastAsia="宋体" w:cs="Times New Roman"/>
          <w:color w:val="auto"/>
          <w:kern w:val="2"/>
          <w:sz w:val="24"/>
          <w:szCs w:val="20"/>
          <w:lang w:val="en-US" w:eastAsia="zh-CN" w:bidi="ar-SA"/>
        </w:rPr>
        <w:t>=</w:t>
      </w:r>
      <w:r>
        <w:rPr>
          <w:rFonts w:hint="eastAsia" w:cs="Times New Roman"/>
          <w:color w:val="auto"/>
          <w:kern w:val="2"/>
          <w:sz w:val="24"/>
          <w:szCs w:val="20"/>
          <w:lang w:val="en-US" w:eastAsia="zh-CN" w:bidi="ar-SA"/>
        </w:rPr>
        <w:t>1.587</w:t>
      </w:r>
      <w:r>
        <w:rPr>
          <w:rFonts w:hint="default" w:ascii="Times New Roman" w:hAnsi="Times New Roman" w:eastAsia="宋体" w:cs="Times New Roman"/>
          <w:color w:val="auto"/>
          <w:kern w:val="2"/>
          <w:sz w:val="24"/>
          <w:szCs w:val="20"/>
          <w:lang w:val="en-US" w:eastAsia="zh-CN" w:bidi="ar-SA"/>
        </w:rPr>
        <w:t>t/a</w:t>
      </w:r>
    </w:p>
    <w:p w14:paraId="15260812">
      <w:pPr>
        <w:adjustRightInd w:val="0"/>
        <w:snapToGrid w:val="0"/>
        <w:spacing w:line="360" w:lineRule="auto"/>
        <w:ind w:firstLine="480" w:firstLineChars="200"/>
        <w:rPr>
          <w:rFonts w:hint="default" w:ascii="Times New Roman" w:hAnsi="Times New Roman" w:eastAsia="宋体" w:cs="Times New Roman"/>
          <w:color w:val="auto"/>
          <w:kern w:val="2"/>
          <w:sz w:val="24"/>
          <w:szCs w:val="20"/>
          <w:lang w:val="en-US" w:eastAsia="zh-CN" w:bidi="ar-SA"/>
        </w:rPr>
      </w:pPr>
      <w:r>
        <w:rPr>
          <w:rFonts w:hint="eastAsia" w:ascii="Times New Roman" w:hAnsi="Times New Roman" w:eastAsia="宋体" w:cs="Times New Roman"/>
          <w:color w:val="auto"/>
          <w:kern w:val="2"/>
          <w:sz w:val="24"/>
          <w:szCs w:val="20"/>
          <w:lang w:val="en-US" w:eastAsia="zh-CN" w:bidi="ar-SA"/>
        </w:rPr>
        <w:t>氨氮核定排放量=预测排放量=0.</w:t>
      </w:r>
      <w:r>
        <w:rPr>
          <w:rFonts w:hint="eastAsia" w:cs="Times New Roman"/>
          <w:color w:val="auto"/>
          <w:kern w:val="2"/>
          <w:sz w:val="24"/>
          <w:szCs w:val="20"/>
          <w:lang w:val="en-US" w:eastAsia="zh-CN" w:bidi="ar-SA"/>
        </w:rPr>
        <w:t>065</w:t>
      </w:r>
      <w:r>
        <w:rPr>
          <w:rFonts w:hint="eastAsia" w:ascii="Times New Roman" w:hAnsi="Times New Roman" w:eastAsia="宋体" w:cs="Times New Roman"/>
          <w:color w:val="auto"/>
          <w:kern w:val="2"/>
          <w:sz w:val="24"/>
          <w:szCs w:val="20"/>
          <w:lang w:val="en-US" w:eastAsia="zh-CN" w:bidi="ar-SA"/>
        </w:rPr>
        <w:t>t/a</w:t>
      </w:r>
    </w:p>
    <w:p w14:paraId="40D30B8D">
      <w:pPr>
        <w:pStyle w:val="8"/>
        <w:keepLines w:val="0"/>
        <w:pageBreakBefore w:val="0"/>
        <w:topLinePunct w:val="0"/>
        <w:bidi w:val="0"/>
        <w:adjustRightInd w:val="0"/>
        <w:snapToGrid w:val="0"/>
        <w:spacing w:beforeAutospacing="0" w:afterAutospacing="0" w:line="360" w:lineRule="auto"/>
        <w:ind w:left="0" w:leftChars="0" w:right="0" w:rightChars="0" w:firstLine="480" w:firstLineChars="200"/>
        <w:outlineLvl w:val="9"/>
        <w:rPr>
          <w:rFonts w:hint="eastAsia" w:ascii="Times New Roman" w:hAnsi="Times New Roman" w:eastAsia="宋体" w:cs="Times New Roman"/>
          <w:color w:val="auto"/>
          <w:kern w:val="2"/>
          <w:sz w:val="24"/>
          <w:szCs w:val="20"/>
          <w:lang w:val="en-US" w:eastAsia="zh-CN" w:bidi="ar-SA"/>
        </w:rPr>
      </w:pPr>
      <w:bookmarkStart w:id="38" w:name="_Toc9837"/>
      <w:r>
        <w:rPr>
          <w:rFonts w:hint="eastAsia" w:ascii="Times New Roman" w:hAnsi="Times New Roman" w:eastAsia="宋体" w:cs="Times New Roman"/>
          <w:color w:val="auto"/>
          <w:kern w:val="2"/>
          <w:sz w:val="24"/>
          <w:szCs w:val="20"/>
          <w:lang w:val="en-US" w:eastAsia="zh-CN" w:bidi="ar-SA"/>
        </w:rPr>
        <w:t>二、污染物排放核定量</w:t>
      </w:r>
      <w:bookmarkEnd w:id="38"/>
    </w:p>
    <w:p w14:paraId="338F0E2D">
      <w:pPr>
        <w:pStyle w:val="128"/>
        <w:keepLines w:val="0"/>
        <w:pageBreakBefore w:val="0"/>
        <w:topLinePunct w:val="0"/>
        <w:bidi w:val="0"/>
        <w:adjustRightInd w:val="0"/>
        <w:snapToGrid w:val="0"/>
        <w:spacing w:beforeAutospacing="0" w:afterAutospacing="0" w:line="240" w:lineRule="auto"/>
        <w:ind w:left="0" w:leftChars="0" w:right="0" w:rightChars="0" w:firstLine="422" w:firstLineChars="200"/>
        <w:jc w:val="center"/>
        <w:rPr>
          <w:rFonts w:hint="eastAsia" w:ascii="Times New Roman" w:hAnsi="Times New Roman" w:eastAsia="宋体" w:cs="Times New Roman"/>
          <w:b/>
          <w:bCs/>
          <w:iCs/>
          <w:color w:val="auto"/>
          <w:kern w:val="0"/>
          <w:sz w:val="21"/>
          <w:szCs w:val="21"/>
          <w:highlight w:val="none"/>
          <w:lang w:val="en-US" w:eastAsia="zh-CN" w:bidi="ar-SA"/>
        </w:rPr>
      </w:pPr>
      <w:r>
        <w:rPr>
          <w:rFonts w:hint="eastAsia" w:ascii="Times New Roman" w:hAnsi="Times New Roman" w:eastAsia="宋体" w:cs="Times New Roman"/>
          <w:b/>
          <w:bCs/>
          <w:iCs/>
          <w:color w:val="auto"/>
          <w:kern w:val="0"/>
          <w:sz w:val="21"/>
          <w:szCs w:val="21"/>
          <w:highlight w:val="none"/>
          <w:lang w:val="en-US" w:eastAsia="zh-CN" w:bidi="ar-SA"/>
        </w:rPr>
        <w:t>表</w:t>
      </w:r>
      <w:r>
        <w:rPr>
          <w:rFonts w:hint="eastAsia" w:cs="Times New Roman"/>
          <w:b/>
          <w:bCs/>
          <w:iCs/>
          <w:color w:val="auto"/>
          <w:kern w:val="0"/>
          <w:sz w:val="21"/>
          <w:szCs w:val="21"/>
          <w:highlight w:val="none"/>
          <w:lang w:val="en-US" w:eastAsia="zh-CN" w:bidi="ar-SA"/>
        </w:rPr>
        <w:t>1</w:t>
      </w:r>
      <w:r>
        <w:rPr>
          <w:rFonts w:hint="eastAsia" w:ascii="Times New Roman" w:hAnsi="Times New Roman" w:eastAsia="宋体" w:cs="Times New Roman"/>
          <w:b/>
          <w:bCs/>
          <w:iCs/>
          <w:color w:val="auto"/>
          <w:kern w:val="0"/>
          <w:sz w:val="21"/>
          <w:szCs w:val="21"/>
          <w:highlight w:val="none"/>
          <w:lang w:val="en-US" w:eastAsia="zh-CN" w:bidi="ar-SA"/>
        </w:rPr>
        <w:t xml:space="preserve">  污染物核定排放量统计表</w:t>
      </w:r>
    </w:p>
    <w:tbl>
      <w:tblPr>
        <w:tblStyle w:val="33"/>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06"/>
        <w:gridCol w:w="3949"/>
      </w:tblGrid>
      <w:tr w14:paraId="3762E7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70" w:hRule="atLeast"/>
          <w:jc w:val="center"/>
        </w:trPr>
        <w:tc>
          <w:tcPr>
            <w:tcW w:w="2819" w:type="pct"/>
            <w:vAlign w:val="center"/>
          </w:tcPr>
          <w:p w14:paraId="3D3F6002">
            <w:pPr>
              <w:pStyle w:val="30"/>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4"/>
                <w:szCs w:val="20"/>
                <w:lang w:val="en-US" w:eastAsia="zh-CN" w:bidi="ar-SA"/>
              </w:rPr>
            </w:pPr>
            <w:r>
              <w:rPr>
                <w:rFonts w:hint="eastAsia" w:ascii="Times New Roman" w:hAnsi="Times New Roman" w:eastAsia="宋体" w:cs="Times New Roman"/>
                <w:color w:val="auto"/>
                <w:kern w:val="2"/>
                <w:sz w:val="24"/>
                <w:szCs w:val="20"/>
                <w:lang w:val="en-US" w:eastAsia="zh-CN" w:bidi="ar-SA"/>
              </w:rPr>
              <w:t>污染物</w:t>
            </w:r>
          </w:p>
        </w:tc>
        <w:tc>
          <w:tcPr>
            <w:tcW w:w="2180" w:type="pct"/>
            <w:vAlign w:val="center"/>
          </w:tcPr>
          <w:p w14:paraId="4337D9D9">
            <w:pPr>
              <w:pStyle w:val="30"/>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4"/>
                <w:szCs w:val="20"/>
                <w:lang w:val="en-US" w:eastAsia="zh-CN" w:bidi="ar-SA"/>
              </w:rPr>
            </w:pPr>
            <w:r>
              <w:rPr>
                <w:rFonts w:hint="eastAsia" w:ascii="Times New Roman" w:hAnsi="Times New Roman" w:eastAsia="宋体" w:cs="Times New Roman"/>
                <w:color w:val="auto"/>
                <w:kern w:val="2"/>
                <w:sz w:val="24"/>
                <w:szCs w:val="20"/>
                <w:lang w:val="en-US" w:eastAsia="zh-CN" w:bidi="ar-SA"/>
              </w:rPr>
              <w:t>核定量排放量</w:t>
            </w:r>
          </w:p>
        </w:tc>
      </w:tr>
      <w:tr w14:paraId="21C845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819" w:type="pct"/>
            <w:vAlign w:val="center"/>
          </w:tcPr>
          <w:p w14:paraId="3BEA8ACE">
            <w:pPr>
              <w:pStyle w:val="30"/>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4"/>
                <w:szCs w:val="20"/>
                <w:lang w:val="en-US" w:eastAsia="zh-CN" w:bidi="ar-SA"/>
              </w:rPr>
            </w:pPr>
            <w:r>
              <w:rPr>
                <w:rFonts w:hint="eastAsia" w:ascii="Times New Roman" w:hAnsi="Times New Roman" w:eastAsia="宋体" w:cs="Times New Roman"/>
                <w:color w:val="auto"/>
                <w:kern w:val="2"/>
                <w:sz w:val="24"/>
                <w:szCs w:val="20"/>
                <w:lang w:val="en-US" w:eastAsia="zh-CN" w:bidi="ar-SA"/>
              </w:rPr>
              <w:t>颗粒物</w:t>
            </w:r>
          </w:p>
        </w:tc>
        <w:tc>
          <w:tcPr>
            <w:tcW w:w="3949" w:type="dxa"/>
            <w:vAlign w:val="center"/>
          </w:tcPr>
          <w:p w14:paraId="6B3691A8">
            <w:pPr>
              <w:pStyle w:val="109"/>
              <w:keepNext w:val="0"/>
              <w:keepLines w:val="0"/>
              <w:pageBreakBefore w:val="0"/>
              <w:suppressLineNumbers w:val="0"/>
              <w:wordWrap/>
              <w:bidi w:val="0"/>
              <w:spacing w:before="0" w:beforeAutospacing="0" w:after="0" w:afterAutospacing="0" w:line="360" w:lineRule="auto"/>
              <w:ind w:left="0" w:leftChars="0" w:right="0" w:rightChars="0"/>
              <w:rPr>
                <w:rFonts w:hint="default" w:ascii="Times New Roman" w:hAnsi="Times New Roman" w:eastAsia="宋体" w:cs="Times New Roman"/>
                <w:color w:val="auto"/>
                <w:kern w:val="2"/>
                <w:sz w:val="24"/>
                <w:szCs w:val="24"/>
                <w:highlight w:val="none"/>
                <w:lang w:val="en-US" w:eastAsia="zh-CN" w:bidi="ar"/>
              </w:rPr>
            </w:pPr>
            <w:r>
              <w:rPr>
                <w:rFonts w:hint="eastAsia" w:cs="Times New Roman"/>
                <w:color w:val="auto"/>
                <w:kern w:val="2"/>
                <w:sz w:val="24"/>
                <w:szCs w:val="24"/>
                <w:highlight w:val="none"/>
                <w:lang w:val="en-US" w:eastAsia="zh-CN" w:bidi="ar"/>
              </w:rPr>
              <w:t>0.086</w:t>
            </w:r>
            <w:r>
              <w:rPr>
                <w:rFonts w:hint="eastAsia" w:cs="Times New Roman"/>
                <w:color w:val="auto"/>
                <w:kern w:val="2"/>
                <w:sz w:val="24"/>
                <w:szCs w:val="20"/>
                <w:lang w:val="en-US" w:eastAsia="zh-CN" w:bidi="ar-SA"/>
              </w:rPr>
              <w:t>t/a</w:t>
            </w:r>
          </w:p>
        </w:tc>
      </w:tr>
      <w:tr w14:paraId="681F79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819" w:type="pct"/>
            <w:vAlign w:val="center"/>
          </w:tcPr>
          <w:p w14:paraId="6452FDB3">
            <w:pPr>
              <w:pStyle w:val="30"/>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4"/>
                <w:szCs w:val="20"/>
                <w:lang w:val="en-US" w:eastAsia="zh-CN" w:bidi="ar-SA"/>
              </w:rPr>
            </w:pPr>
            <w:r>
              <w:rPr>
                <w:rFonts w:hint="eastAsia" w:ascii="Times New Roman" w:hAnsi="Times New Roman" w:eastAsia="宋体" w:cs="Times New Roman"/>
                <w:color w:val="auto"/>
                <w:kern w:val="2"/>
                <w:sz w:val="24"/>
                <w:szCs w:val="20"/>
                <w:lang w:val="en-US" w:eastAsia="zh-CN" w:bidi="ar-SA"/>
              </w:rPr>
              <w:t>SO</w:t>
            </w:r>
            <w:r>
              <w:rPr>
                <w:rFonts w:hint="eastAsia" w:ascii="Times New Roman" w:hAnsi="Times New Roman" w:eastAsia="宋体" w:cs="Times New Roman"/>
                <w:color w:val="auto"/>
                <w:kern w:val="2"/>
                <w:sz w:val="24"/>
                <w:szCs w:val="20"/>
                <w:vertAlign w:val="subscript"/>
                <w:lang w:val="en-US" w:eastAsia="zh-CN" w:bidi="ar-SA"/>
              </w:rPr>
              <w:t>2</w:t>
            </w:r>
          </w:p>
        </w:tc>
        <w:tc>
          <w:tcPr>
            <w:tcW w:w="3949" w:type="dxa"/>
            <w:vAlign w:val="center"/>
          </w:tcPr>
          <w:p w14:paraId="196E47BD">
            <w:pPr>
              <w:pStyle w:val="109"/>
              <w:keepNext w:val="0"/>
              <w:keepLines w:val="0"/>
              <w:pageBreakBefore w:val="0"/>
              <w:suppressLineNumbers w:val="0"/>
              <w:wordWrap/>
              <w:bidi w:val="0"/>
              <w:spacing w:before="0" w:beforeAutospacing="0" w:after="0" w:afterAutospacing="0" w:line="360" w:lineRule="auto"/>
              <w:ind w:left="0" w:leftChars="0" w:right="0" w:rightChars="0"/>
              <w:rPr>
                <w:rFonts w:hint="default" w:ascii="Times New Roman" w:hAnsi="Times New Roman" w:eastAsia="宋体" w:cs="Times New Roman"/>
                <w:color w:val="auto"/>
                <w:kern w:val="2"/>
                <w:sz w:val="24"/>
                <w:szCs w:val="24"/>
                <w:highlight w:val="none"/>
                <w:lang w:val="en-US" w:eastAsia="zh-CN" w:bidi="ar"/>
              </w:rPr>
            </w:pPr>
            <w:r>
              <w:rPr>
                <w:rFonts w:hint="eastAsia" w:cs="Times New Roman"/>
                <w:color w:val="auto"/>
                <w:kern w:val="2"/>
                <w:sz w:val="24"/>
                <w:szCs w:val="24"/>
                <w:highlight w:val="none"/>
                <w:lang w:val="en-US" w:eastAsia="zh-CN" w:bidi="ar"/>
              </w:rPr>
              <w:t>0.411</w:t>
            </w:r>
            <w:r>
              <w:rPr>
                <w:rFonts w:hint="eastAsia" w:cs="Times New Roman"/>
                <w:color w:val="auto"/>
                <w:kern w:val="2"/>
                <w:sz w:val="24"/>
                <w:szCs w:val="20"/>
                <w:lang w:val="en-US" w:eastAsia="zh-CN" w:bidi="ar-SA"/>
              </w:rPr>
              <w:t>t/a</w:t>
            </w:r>
          </w:p>
        </w:tc>
      </w:tr>
      <w:tr w14:paraId="332E50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819" w:type="pct"/>
            <w:vAlign w:val="center"/>
          </w:tcPr>
          <w:p w14:paraId="6AE5E7B6">
            <w:pPr>
              <w:pStyle w:val="30"/>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4"/>
                <w:szCs w:val="20"/>
                <w:lang w:val="en-US" w:eastAsia="zh-CN" w:bidi="ar-SA"/>
              </w:rPr>
            </w:pPr>
            <w:r>
              <w:rPr>
                <w:rFonts w:hint="eastAsia" w:ascii="Times New Roman" w:hAnsi="Times New Roman" w:eastAsia="宋体" w:cs="Times New Roman"/>
                <w:color w:val="auto"/>
                <w:kern w:val="2"/>
                <w:sz w:val="24"/>
                <w:szCs w:val="20"/>
                <w:lang w:val="en-US" w:eastAsia="zh-CN" w:bidi="ar-SA"/>
              </w:rPr>
              <w:t>NO</w:t>
            </w:r>
            <w:r>
              <w:rPr>
                <w:rFonts w:hint="eastAsia" w:ascii="Times New Roman" w:hAnsi="Times New Roman" w:eastAsia="宋体" w:cs="Times New Roman"/>
                <w:color w:val="auto"/>
                <w:kern w:val="2"/>
                <w:sz w:val="24"/>
                <w:szCs w:val="20"/>
                <w:vertAlign w:val="subscript"/>
                <w:lang w:val="en-US" w:eastAsia="zh-CN" w:bidi="ar-SA"/>
              </w:rPr>
              <w:t>X</w:t>
            </w:r>
          </w:p>
        </w:tc>
        <w:tc>
          <w:tcPr>
            <w:tcW w:w="3949" w:type="dxa"/>
            <w:vAlign w:val="center"/>
          </w:tcPr>
          <w:p w14:paraId="358BF6FD">
            <w:pPr>
              <w:pStyle w:val="109"/>
              <w:keepNext w:val="0"/>
              <w:keepLines w:val="0"/>
              <w:pageBreakBefore w:val="0"/>
              <w:suppressLineNumbers w:val="0"/>
              <w:wordWrap/>
              <w:bidi w:val="0"/>
              <w:spacing w:before="0" w:beforeAutospacing="0" w:after="0" w:afterAutospacing="0" w:line="360" w:lineRule="auto"/>
              <w:ind w:left="0" w:leftChars="0" w:right="0" w:rightChars="0"/>
              <w:rPr>
                <w:rFonts w:hint="default" w:ascii="Times New Roman" w:hAnsi="Times New Roman" w:eastAsia="宋体" w:cs="Times New Roman"/>
                <w:color w:val="auto"/>
                <w:kern w:val="2"/>
                <w:sz w:val="24"/>
                <w:szCs w:val="24"/>
                <w:highlight w:val="none"/>
                <w:lang w:val="en-US" w:eastAsia="zh-CN" w:bidi="ar"/>
              </w:rPr>
            </w:pPr>
            <w:r>
              <w:rPr>
                <w:rFonts w:hint="eastAsia" w:cs="Times New Roman"/>
                <w:color w:val="auto"/>
                <w:kern w:val="2"/>
                <w:sz w:val="24"/>
                <w:szCs w:val="24"/>
                <w:highlight w:val="none"/>
                <w:lang w:val="en-US" w:eastAsia="zh-CN" w:bidi="ar"/>
              </w:rPr>
              <w:t>0.514</w:t>
            </w:r>
            <w:r>
              <w:rPr>
                <w:rFonts w:hint="eastAsia" w:cs="Times New Roman"/>
                <w:color w:val="auto"/>
                <w:kern w:val="2"/>
                <w:sz w:val="24"/>
                <w:szCs w:val="20"/>
                <w:lang w:val="en-US" w:eastAsia="zh-CN" w:bidi="ar-SA"/>
              </w:rPr>
              <w:t>t/a</w:t>
            </w:r>
          </w:p>
        </w:tc>
      </w:tr>
      <w:tr w14:paraId="62FA45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819" w:type="pct"/>
            <w:vAlign w:val="center"/>
          </w:tcPr>
          <w:p w14:paraId="27D6621D">
            <w:pPr>
              <w:pStyle w:val="30"/>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4"/>
                <w:szCs w:val="20"/>
                <w:lang w:val="en-US" w:eastAsia="zh-CN" w:bidi="ar-SA"/>
              </w:rPr>
            </w:pPr>
            <w:r>
              <w:rPr>
                <w:rFonts w:hint="eastAsia" w:ascii="Times New Roman" w:hAnsi="Times New Roman" w:eastAsia="宋体" w:cs="Times New Roman"/>
                <w:color w:val="auto"/>
                <w:kern w:val="2"/>
                <w:sz w:val="24"/>
                <w:szCs w:val="20"/>
                <w:lang w:val="en-US" w:eastAsia="zh-CN" w:bidi="ar-SA"/>
              </w:rPr>
              <w:t>COD</w:t>
            </w:r>
          </w:p>
        </w:tc>
        <w:tc>
          <w:tcPr>
            <w:tcW w:w="2180" w:type="pct"/>
            <w:vAlign w:val="center"/>
          </w:tcPr>
          <w:p w14:paraId="07E0CE64">
            <w:pPr>
              <w:pStyle w:val="30"/>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lang w:val="en-US" w:eastAsia="zh-CN" w:bidi="ar"/>
              </w:rPr>
            </w:pPr>
            <w:r>
              <w:rPr>
                <w:rFonts w:hint="eastAsia" w:cs="Times New Roman"/>
                <w:color w:val="auto"/>
                <w:kern w:val="2"/>
                <w:sz w:val="24"/>
                <w:szCs w:val="24"/>
                <w:highlight w:val="none"/>
                <w:lang w:val="en-US" w:eastAsia="zh-CN" w:bidi="ar"/>
              </w:rPr>
              <w:t>1.587</w:t>
            </w:r>
            <w:r>
              <w:rPr>
                <w:rFonts w:hint="eastAsia" w:cs="Times New Roman"/>
                <w:color w:val="auto"/>
                <w:kern w:val="2"/>
                <w:sz w:val="24"/>
                <w:szCs w:val="20"/>
                <w:lang w:val="en-US" w:eastAsia="zh-CN" w:bidi="ar-SA"/>
              </w:rPr>
              <w:t>t/a</w:t>
            </w:r>
          </w:p>
        </w:tc>
      </w:tr>
      <w:tr w14:paraId="0A7177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819" w:type="pct"/>
            <w:vAlign w:val="center"/>
          </w:tcPr>
          <w:p w14:paraId="51D9D593">
            <w:pPr>
              <w:pStyle w:val="30"/>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4"/>
                <w:szCs w:val="20"/>
                <w:lang w:val="en-US" w:eastAsia="zh-CN" w:bidi="ar-SA"/>
              </w:rPr>
            </w:pPr>
            <w:r>
              <w:rPr>
                <w:rFonts w:hint="eastAsia" w:ascii="Times New Roman" w:hAnsi="Times New Roman" w:eastAsia="宋体" w:cs="Times New Roman"/>
                <w:color w:val="auto"/>
                <w:kern w:val="2"/>
                <w:sz w:val="24"/>
                <w:szCs w:val="20"/>
                <w:lang w:val="en-US" w:eastAsia="zh-CN" w:bidi="ar-SA"/>
              </w:rPr>
              <w:t>氨氮</w:t>
            </w:r>
          </w:p>
        </w:tc>
        <w:tc>
          <w:tcPr>
            <w:tcW w:w="2180" w:type="pct"/>
            <w:vAlign w:val="center"/>
          </w:tcPr>
          <w:p w14:paraId="3DBE01DC">
            <w:pPr>
              <w:pStyle w:val="30"/>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4"/>
                <w:szCs w:val="20"/>
                <w:lang w:val="en-US" w:eastAsia="zh-CN" w:bidi="ar-SA"/>
              </w:rPr>
            </w:pPr>
            <w:r>
              <w:rPr>
                <w:rFonts w:hint="eastAsia" w:cs="Times New Roman"/>
                <w:color w:val="auto"/>
                <w:kern w:val="2"/>
                <w:sz w:val="24"/>
                <w:szCs w:val="20"/>
                <w:lang w:val="en-US" w:eastAsia="zh-CN" w:bidi="ar-SA"/>
              </w:rPr>
              <w:t>0.065t/a</w:t>
            </w:r>
          </w:p>
        </w:tc>
      </w:tr>
      <w:bookmarkEnd w:id="36"/>
      <w:bookmarkEnd w:id="37"/>
    </w:tbl>
    <w:p w14:paraId="1F87BEFE">
      <w:pPr>
        <w:keepNext w:val="0"/>
        <w:keepLines w:val="0"/>
        <w:pageBreakBefore w:val="0"/>
        <w:widowControl w:val="0"/>
        <w:kinsoku/>
        <w:wordWrap/>
        <w:overflowPunct/>
        <w:topLinePunct w:val="0"/>
        <w:autoSpaceDE/>
        <w:autoSpaceDN/>
        <w:bidi w:val="0"/>
        <w:adjustRightInd/>
        <w:snapToGrid/>
        <w:spacing w:line="20" w:lineRule="exact"/>
        <w:textAlignment w:val="auto"/>
        <w:rPr>
          <w:rFonts w:hint="default" w:eastAsia="宋体"/>
          <w:color w:val="auto"/>
          <w:lang w:val="en-US" w:eastAsia="zh-CN"/>
        </w:rPr>
      </w:pPr>
    </w:p>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
    <w:panose1 w:val="02010609060101010101"/>
    <w:charset w:val="86"/>
    <w:family w:val="modern"/>
    <w:pitch w:val="default"/>
    <w:sig w:usb0="800002BF" w:usb1="38CF7CFA" w:usb2="00000016" w:usb3="00000000" w:csb0="00040001" w:csb1="00000000"/>
  </w:font>
  <w:font w:name="等线 Light">
    <w:panose1 w:val="02010600030101010101"/>
    <w:charset w:val="86"/>
    <w:family w:val="auto"/>
    <w:pitch w:val="default"/>
    <w:sig w:usb0="A00002BF" w:usb1="38CF7CFA" w:usb2="00000016" w:usb3="00000000" w:csb0="0004000F" w:csb1="00000000"/>
  </w:font>
  <w:font w:name="仿宋_GB2312">
    <w:panose1 w:val="02010609030101010101"/>
    <w:charset w:val="86"/>
    <w:family w:val="modern"/>
    <w:pitch w:val="default"/>
    <w:sig w:usb0="00000001" w:usb1="080E0000" w:usb2="00000000" w:usb3="00000000" w:csb0="00040000" w:csb1="00000000"/>
  </w:font>
  <w:font w:name="仿宋体">
    <w:altName w:val="宋体"/>
    <w:panose1 w:val="00000000000000000000"/>
    <w:charset w:val="86"/>
    <w:family w:val="roma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楷体_GB2312">
    <w:panose1 w:val="02010609030101010101"/>
    <w:charset w:val="86"/>
    <w:family w:val="modern"/>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0"/>
    <w:family w:val="auto"/>
    <w:pitch w:val="default"/>
    <w:sig w:usb0="00000000" w:usb1="00000000" w:usb2="00000000" w:usb3="00000000" w:csb0="80000000" w:csb1="00000000"/>
  </w:font>
  <w:font w:name="Tahoma">
    <w:panose1 w:val="020B0604030504040204"/>
    <w:charset w:val="00"/>
    <w:family w:val="auto"/>
    <w:pitch w:val="default"/>
    <w:sig w:usb0="E1002EFF" w:usb1="C000605B" w:usb2="00000029" w:usb3="00000000" w:csb0="200101FF" w:csb1="2028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A19A18">
    <w:pPr>
      <w:pStyle w:val="20"/>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EDFC19">
    <w:pPr>
      <w:pStyle w:val="20"/>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4C52C2F">
                          <w:pPr>
                            <w:pStyle w:val="20"/>
                          </w:pPr>
                          <w:r>
                            <w:fldChar w:fldCharType="begin"/>
                          </w:r>
                          <w:r>
                            <w:instrText xml:space="preserve"> PAGE  \* MERGEFORMAT </w:instrText>
                          </w:r>
                          <w:r>
                            <w:fldChar w:fldCharType="separate"/>
                          </w:r>
                          <w:r>
                            <w:t>2</w:t>
                          </w:r>
                          <w:r>
                            <w:fldChar w:fldCharType="end"/>
                          </w:r>
                        </w:p>
                      </w:txbxContent>
                    </wps:txbx>
                    <wps:bodyPr wrap="none" lIns="0" tIns="0" rIns="0" bIns="0" upright="0">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wblIkyQEAAJoDAAAOAAAAAAAAAAEAIAAAAB4BAABkcnMvZTJvRG9j&#10;LnhtbFBLBQYAAAAABgAGAFkBAABZBQAAAAA=&#10;">
              <v:fill on="f" focussize="0,0"/>
              <v:stroke on="f"/>
              <v:imagedata o:title=""/>
              <o:lock v:ext="edit" aspectratio="f"/>
              <v:textbox inset="0mm,0mm,0mm,0mm" style="mso-fit-shape-to-text:t;">
                <w:txbxContent>
                  <w:p w14:paraId="74C52C2F">
                    <w:pPr>
                      <w:pStyle w:val="20"/>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EB0E2A">
    <w:pPr>
      <w:pStyle w:val="20"/>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8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E016B04">
                          <w:pPr>
                            <w:pStyle w:val="20"/>
                          </w:pPr>
                          <w:r>
                            <w:fldChar w:fldCharType="begin"/>
                          </w:r>
                          <w:r>
                            <w:instrText xml:space="preserve"> PAGE  \* MERGEFORMAT </w:instrText>
                          </w:r>
                          <w:r>
                            <w:fldChar w:fldCharType="separate"/>
                          </w:r>
                          <w:r>
                            <w:t>2</w:t>
                          </w:r>
                          <w:r>
                            <w:fldChar w:fldCharType="end"/>
                          </w:r>
                        </w:p>
                      </w:txbxContent>
                    </wps:txbx>
                    <wps:bodyPr wrap="none" lIns="0" tIns="0" rIns="0" bIns="0" upright="0">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QozxLyQEAAJoDAAAOAAAAAAAAAAEAIAAAAB4BAABkcnMvZTJvRG9j&#10;LnhtbFBLBQYAAAAABgAGAFkBAABZBQAAAAA=&#10;">
              <v:fill on="f" focussize="0,0"/>
              <v:stroke on="f"/>
              <v:imagedata o:title=""/>
              <o:lock v:ext="edit" aspectratio="f"/>
              <v:textbox inset="0mm,0mm,0mm,0mm" style="mso-fit-shape-to-text:t;">
                <w:txbxContent>
                  <w:p w14:paraId="0E016B04">
                    <w:pPr>
                      <w:pStyle w:val="20"/>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B9D222">
    <w:pPr>
      <w:pStyle w:val="20"/>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B447555">
                          <w:pPr>
                            <w:pStyle w:val="20"/>
                          </w:pPr>
                          <w:r>
                            <w:fldChar w:fldCharType="begin"/>
                          </w:r>
                          <w:r>
                            <w:instrText xml:space="preserve"> PAGE  \* MERGEFORMAT </w:instrText>
                          </w:r>
                          <w:r>
                            <w:fldChar w:fldCharType="separate"/>
                          </w:r>
                          <w:r>
                            <w:t>55</w:t>
                          </w:r>
                          <w:r>
                            <w:fldChar w:fldCharType="end"/>
                          </w:r>
                        </w:p>
                      </w:txbxContent>
                    </wps:txbx>
                    <wps:bodyPr wrap="none" lIns="0" tIns="0" rIns="0" bIns="0" upright="0">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gxYt8yQEAAJoDAAAOAAAAAAAAAAEAIAAAAB4BAABkcnMvZTJvRG9j&#10;LnhtbFBLBQYAAAAABgAGAFkBAABZBQAAAAA=&#10;">
              <v:fill on="f" focussize="0,0"/>
              <v:stroke on="f"/>
              <v:imagedata o:title=""/>
              <o:lock v:ext="edit" aspectratio="f"/>
              <v:textbox inset="0mm,0mm,0mm,0mm" style="mso-fit-shape-to-text:t;">
                <w:txbxContent>
                  <w:p w14:paraId="5B447555">
                    <w:pPr>
                      <w:pStyle w:val="20"/>
                    </w:pPr>
                    <w:r>
                      <w:fldChar w:fldCharType="begin"/>
                    </w:r>
                    <w:r>
                      <w:instrText xml:space="preserve"> PAGE  \* MERGEFORMAT </w:instrText>
                    </w:r>
                    <w:r>
                      <w:fldChar w:fldCharType="separate"/>
                    </w:r>
                    <w:r>
                      <w:t>55</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217730B"/>
    <w:multiLevelType w:val="singleLevel"/>
    <w:tmpl w:val="D217730B"/>
    <w:lvl w:ilvl="0" w:tentative="0">
      <w:start w:val="2"/>
      <w:numFmt w:val="decimal"/>
      <w:suff w:val="nothing"/>
      <w:lvlText w:val="（%1）"/>
      <w:lvlJc w:val="left"/>
    </w:lvl>
  </w:abstractNum>
  <w:abstractNum w:abstractNumId="1">
    <w:nsid w:val="EB9B69AF"/>
    <w:multiLevelType w:val="singleLevel"/>
    <w:tmpl w:val="EB9B69AF"/>
    <w:lvl w:ilvl="0" w:tentative="0">
      <w:start w:val="10"/>
      <w:numFmt w:val="decimal"/>
      <w:suff w:val="nothing"/>
      <w:lvlText w:val="（%1）"/>
      <w:lvlJc w:val="left"/>
    </w:lvl>
  </w:abstractNum>
  <w:abstractNum w:abstractNumId="2">
    <w:nsid w:val="646260FA"/>
    <w:multiLevelType w:val="multilevel"/>
    <w:tmpl w:val="646260FA"/>
    <w:lvl w:ilvl="0" w:tentative="0">
      <w:start w:val="1"/>
      <w:numFmt w:val="decimal"/>
      <w:pStyle w:val="76"/>
      <w:suff w:val="nothing"/>
      <w:lvlText w:val="表%1　"/>
      <w:lvlJc w:val="left"/>
      <w:pPr>
        <w:ind w:left="2411" w:firstLine="0"/>
      </w:pPr>
      <w:rPr>
        <w:rFonts w:hint="eastAsia" w:ascii="黑体" w:hAnsi="Times New Roman" w:eastAsia="黑体"/>
        <w:b w:val="0"/>
        <w:i w:val="0"/>
        <w:sz w:val="21"/>
      </w:rPr>
    </w:lvl>
    <w:lvl w:ilvl="1" w:tentative="0">
      <w:start w:val="1"/>
      <w:numFmt w:val="decimal"/>
      <w:lvlText w:val="%1.%2"/>
      <w:lvlJc w:val="left"/>
      <w:pPr>
        <w:tabs>
          <w:tab w:val="left" w:pos="992"/>
        </w:tabs>
        <w:ind w:left="992" w:hanging="567"/>
      </w:pPr>
      <w:rPr>
        <w:rFonts w:hint="eastAsia"/>
      </w:rPr>
    </w:lvl>
    <w:lvl w:ilvl="2" w:tentative="0">
      <w:start w:val="1"/>
      <w:numFmt w:val="decimal"/>
      <w:lvlText w:val="%1.%2.%3"/>
      <w:lvlJc w:val="left"/>
      <w:pPr>
        <w:tabs>
          <w:tab w:val="left" w:pos="1418"/>
        </w:tabs>
        <w:ind w:left="1418" w:hanging="567"/>
      </w:pPr>
      <w:rPr>
        <w:rFonts w:hint="eastAsia"/>
      </w:rPr>
    </w:lvl>
    <w:lvl w:ilvl="3" w:tentative="0">
      <w:start w:val="1"/>
      <w:numFmt w:val="decimal"/>
      <w:lvlText w:val="%1.%2.%3.%4"/>
      <w:lvlJc w:val="left"/>
      <w:pPr>
        <w:tabs>
          <w:tab w:val="left" w:pos="1984"/>
        </w:tabs>
        <w:ind w:left="1984" w:hanging="708"/>
      </w:pPr>
      <w:rPr>
        <w:rFonts w:hint="eastAsia"/>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hideSpellingErrors/>
  <w:documentProtection w:edit="trackedChanges" w:enforcement="0"/>
  <w:defaultTabStop w:val="420"/>
  <w:drawingGridHorizontalSpacing w:val="105"/>
  <w:displayHorizontalDrawingGridEvery w:val="1"/>
  <w:displayVerticalDrawingGridEvery w:val="1"/>
  <w:noPunctuationKerning w:val="1"/>
  <w:characterSpacingControl w:val="doNotCompress"/>
  <w:compat>
    <w:balanceSingleByteDoubleByteWidth/>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MxYWY3NDlhNWQwMjI5ZjliNjQzMjQ1YjI3Y2EwNDgifQ=="/>
  </w:docVars>
  <w:rsids>
    <w:rsidRoot w:val="00172A27"/>
    <w:rsid w:val="00000B61"/>
    <w:rsid w:val="000012AE"/>
    <w:rsid w:val="000012D2"/>
    <w:rsid w:val="00001F12"/>
    <w:rsid w:val="000025E4"/>
    <w:rsid w:val="0000285C"/>
    <w:rsid w:val="00003C5C"/>
    <w:rsid w:val="00004174"/>
    <w:rsid w:val="000042AA"/>
    <w:rsid w:val="00004370"/>
    <w:rsid w:val="0000503F"/>
    <w:rsid w:val="00005D77"/>
    <w:rsid w:val="000060A8"/>
    <w:rsid w:val="000060B3"/>
    <w:rsid w:val="000066F9"/>
    <w:rsid w:val="000069C9"/>
    <w:rsid w:val="000078EA"/>
    <w:rsid w:val="000101EF"/>
    <w:rsid w:val="0001029E"/>
    <w:rsid w:val="00010A21"/>
    <w:rsid w:val="00010B86"/>
    <w:rsid w:val="00010EFD"/>
    <w:rsid w:val="00011279"/>
    <w:rsid w:val="000112E0"/>
    <w:rsid w:val="000117F6"/>
    <w:rsid w:val="00011A8C"/>
    <w:rsid w:val="000128DD"/>
    <w:rsid w:val="000129C7"/>
    <w:rsid w:val="00012C5B"/>
    <w:rsid w:val="000131DD"/>
    <w:rsid w:val="00013F90"/>
    <w:rsid w:val="00014171"/>
    <w:rsid w:val="00014A3C"/>
    <w:rsid w:val="00014E76"/>
    <w:rsid w:val="000150A8"/>
    <w:rsid w:val="00015D67"/>
    <w:rsid w:val="00016175"/>
    <w:rsid w:val="0001617D"/>
    <w:rsid w:val="000164ED"/>
    <w:rsid w:val="00016920"/>
    <w:rsid w:val="00016C79"/>
    <w:rsid w:val="00016D08"/>
    <w:rsid w:val="00017042"/>
    <w:rsid w:val="00017179"/>
    <w:rsid w:val="00020076"/>
    <w:rsid w:val="00020143"/>
    <w:rsid w:val="0002021E"/>
    <w:rsid w:val="000202CE"/>
    <w:rsid w:val="00020B3B"/>
    <w:rsid w:val="00020FD5"/>
    <w:rsid w:val="00021111"/>
    <w:rsid w:val="00021700"/>
    <w:rsid w:val="00021EC8"/>
    <w:rsid w:val="00022020"/>
    <w:rsid w:val="00022084"/>
    <w:rsid w:val="00022228"/>
    <w:rsid w:val="0002266E"/>
    <w:rsid w:val="00022EBD"/>
    <w:rsid w:val="00023294"/>
    <w:rsid w:val="0002350D"/>
    <w:rsid w:val="00023892"/>
    <w:rsid w:val="000252F6"/>
    <w:rsid w:val="00025765"/>
    <w:rsid w:val="00025A69"/>
    <w:rsid w:val="00026205"/>
    <w:rsid w:val="00026221"/>
    <w:rsid w:val="00026255"/>
    <w:rsid w:val="000262E9"/>
    <w:rsid w:val="0002710B"/>
    <w:rsid w:val="000275EE"/>
    <w:rsid w:val="00027ADD"/>
    <w:rsid w:val="00027C15"/>
    <w:rsid w:val="0003065B"/>
    <w:rsid w:val="00030E7A"/>
    <w:rsid w:val="00031C5C"/>
    <w:rsid w:val="00031D77"/>
    <w:rsid w:val="00033101"/>
    <w:rsid w:val="0003359D"/>
    <w:rsid w:val="00033699"/>
    <w:rsid w:val="0003371E"/>
    <w:rsid w:val="000338E7"/>
    <w:rsid w:val="00033A71"/>
    <w:rsid w:val="00033D81"/>
    <w:rsid w:val="000348C6"/>
    <w:rsid w:val="00034C1F"/>
    <w:rsid w:val="000358FD"/>
    <w:rsid w:val="0003595B"/>
    <w:rsid w:val="00035A98"/>
    <w:rsid w:val="00035ABC"/>
    <w:rsid w:val="00035C5F"/>
    <w:rsid w:val="00035FF4"/>
    <w:rsid w:val="00037CF3"/>
    <w:rsid w:val="0004041E"/>
    <w:rsid w:val="0004047C"/>
    <w:rsid w:val="000404C8"/>
    <w:rsid w:val="00040A1D"/>
    <w:rsid w:val="00040A79"/>
    <w:rsid w:val="00040C07"/>
    <w:rsid w:val="0004124D"/>
    <w:rsid w:val="00041321"/>
    <w:rsid w:val="000414B3"/>
    <w:rsid w:val="00041955"/>
    <w:rsid w:val="000426D1"/>
    <w:rsid w:val="000428DC"/>
    <w:rsid w:val="000431E6"/>
    <w:rsid w:val="000434EC"/>
    <w:rsid w:val="0004364B"/>
    <w:rsid w:val="00043656"/>
    <w:rsid w:val="00043EA1"/>
    <w:rsid w:val="00044083"/>
    <w:rsid w:val="00044398"/>
    <w:rsid w:val="00044974"/>
    <w:rsid w:val="00044DE1"/>
    <w:rsid w:val="00044EAC"/>
    <w:rsid w:val="00045A4F"/>
    <w:rsid w:val="00045B7D"/>
    <w:rsid w:val="0004635B"/>
    <w:rsid w:val="00046860"/>
    <w:rsid w:val="00046EE9"/>
    <w:rsid w:val="00047033"/>
    <w:rsid w:val="0004722E"/>
    <w:rsid w:val="000476B4"/>
    <w:rsid w:val="00047792"/>
    <w:rsid w:val="00047FF0"/>
    <w:rsid w:val="00050808"/>
    <w:rsid w:val="0005088B"/>
    <w:rsid w:val="00051675"/>
    <w:rsid w:val="00051E98"/>
    <w:rsid w:val="00051F36"/>
    <w:rsid w:val="00052481"/>
    <w:rsid w:val="00052BE8"/>
    <w:rsid w:val="0005309A"/>
    <w:rsid w:val="000531EA"/>
    <w:rsid w:val="00053778"/>
    <w:rsid w:val="00053A69"/>
    <w:rsid w:val="00053CE6"/>
    <w:rsid w:val="00053DAB"/>
    <w:rsid w:val="000541A4"/>
    <w:rsid w:val="000544E3"/>
    <w:rsid w:val="00054803"/>
    <w:rsid w:val="00054D1A"/>
    <w:rsid w:val="0005697F"/>
    <w:rsid w:val="00056C3D"/>
    <w:rsid w:val="00056E3C"/>
    <w:rsid w:val="000572C5"/>
    <w:rsid w:val="00057418"/>
    <w:rsid w:val="0005745E"/>
    <w:rsid w:val="00057D2F"/>
    <w:rsid w:val="000609D1"/>
    <w:rsid w:val="00060E8C"/>
    <w:rsid w:val="00060E97"/>
    <w:rsid w:val="00061B1F"/>
    <w:rsid w:val="0006229A"/>
    <w:rsid w:val="000632B8"/>
    <w:rsid w:val="0006400E"/>
    <w:rsid w:val="00064BC5"/>
    <w:rsid w:val="00065253"/>
    <w:rsid w:val="0006617C"/>
    <w:rsid w:val="000663E7"/>
    <w:rsid w:val="00066541"/>
    <w:rsid w:val="00067919"/>
    <w:rsid w:val="00067CE3"/>
    <w:rsid w:val="00071496"/>
    <w:rsid w:val="00072482"/>
    <w:rsid w:val="000726BE"/>
    <w:rsid w:val="0007330C"/>
    <w:rsid w:val="000733C4"/>
    <w:rsid w:val="00074783"/>
    <w:rsid w:val="00074B9C"/>
    <w:rsid w:val="00074FC7"/>
    <w:rsid w:val="0007558B"/>
    <w:rsid w:val="000757EC"/>
    <w:rsid w:val="00075807"/>
    <w:rsid w:val="00075A16"/>
    <w:rsid w:val="00075D78"/>
    <w:rsid w:val="000772CF"/>
    <w:rsid w:val="000779F5"/>
    <w:rsid w:val="00077ED6"/>
    <w:rsid w:val="0008046E"/>
    <w:rsid w:val="0008070B"/>
    <w:rsid w:val="000810AC"/>
    <w:rsid w:val="00081A02"/>
    <w:rsid w:val="00081A36"/>
    <w:rsid w:val="00081D46"/>
    <w:rsid w:val="00082231"/>
    <w:rsid w:val="00082897"/>
    <w:rsid w:val="0008292D"/>
    <w:rsid w:val="00082CF9"/>
    <w:rsid w:val="00082F61"/>
    <w:rsid w:val="00082FDA"/>
    <w:rsid w:val="00083E50"/>
    <w:rsid w:val="00083F1B"/>
    <w:rsid w:val="00084D88"/>
    <w:rsid w:val="000854A0"/>
    <w:rsid w:val="000861AA"/>
    <w:rsid w:val="000864C2"/>
    <w:rsid w:val="000865BD"/>
    <w:rsid w:val="00086852"/>
    <w:rsid w:val="00086976"/>
    <w:rsid w:val="00086AF4"/>
    <w:rsid w:val="00087204"/>
    <w:rsid w:val="000878BE"/>
    <w:rsid w:val="00087958"/>
    <w:rsid w:val="00087B4E"/>
    <w:rsid w:val="000903E1"/>
    <w:rsid w:val="00090756"/>
    <w:rsid w:val="000907CF"/>
    <w:rsid w:val="0009082A"/>
    <w:rsid w:val="00090836"/>
    <w:rsid w:val="00090B57"/>
    <w:rsid w:val="00091C85"/>
    <w:rsid w:val="00092BB7"/>
    <w:rsid w:val="00092D38"/>
    <w:rsid w:val="00093617"/>
    <w:rsid w:val="0009377B"/>
    <w:rsid w:val="00094541"/>
    <w:rsid w:val="0009550E"/>
    <w:rsid w:val="00095581"/>
    <w:rsid w:val="00095F98"/>
    <w:rsid w:val="000966AA"/>
    <w:rsid w:val="000966F5"/>
    <w:rsid w:val="000971CC"/>
    <w:rsid w:val="00097BF8"/>
    <w:rsid w:val="00097C72"/>
    <w:rsid w:val="000A00FA"/>
    <w:rsid w:val="000A09C8"/>
    <w:rsid w:val="000A0D08"/>
    <w:rsid w:val="000A0F72"/>
    <w:rsid w:val="000A16C4"/>
    <w:rsid w:val="000A1FF3"/>
    <w:rsid w:val="000A20C9"/>
    <w:rsid w:val="000A212A"/>
    <w:rsid w:val="000A2283"/>
    <w:rsid w:val="000A2583"/>
    <w:rsid w:val="000A2820"/>
    <w:rsid w:val="000A2E25"/>
    <w:rsid w:val="000A32BC"/>
    <w:rsid w:val="000A3B36"/>
    <w:rsid w:val="000A3CCD"/>
    <w:rsid w:val="000A3D94"/>
    <w:rsid w:val="000A4951"/>
    <w:rsid w:val="000A4A2F"/>
    <w:rsid w:val="000A4C27"/>
    <w:rsid w:val="000A5824"/>
    <w:rsid w:val="000A5D7F"/>
    <w:rsid w:val="000A62E0"/>
    <w:rsid w:val="000A6317"/>
    <w:rsid w:val="000A678E"/>
    <w:rsid w:val="000A7C29"/>
    <w:rsid w:val="000A7F3A"/>
    <w:rsid w:val="000A7F82"/>
    <w:rsid w:val="000B058F"/>
    <w:rsid w:val="000B0647"/>
    <w:rsid w:val="000B095A"/>
    <w:rsid w:val="000B0B99"/>
    <w:rsid w:val="000B14FB"/>
    <w:rsid w:val="000B1794"/>
    <w:rsid w:val="000B2208"/>
    <w:rsid w:val="000B2219"/>
    <w:rsid w:val="000B272F"/>
    <w:rsid w:val="000B2D1B"/>
    <w:rsid w:val="000B35D2"/>
    <w:rsid w:val="000B4467"/>
    <w:rsid w:val="000B4BC7"/>
    <w:rsid w:val="000B4D00"/>
    <w:rsid w:val="000B4DB9"/>
    <w:rsid w:val="000B52C0"/>
    <w:rsid w:val="000B5AAB"/>
    <w:rsid w:val="000B5D5A"/>
    <w:rsid w:val="000B5D6F"/>
    <w:rsid w:val="000B5F1A"/>
    <w:rsid w:val="000B6209"/>
    <w:rsid w:val="000B65DE"/>
    <w:rsid w:val="000B6AB4"/>
    <w:rsid w:val="000B713C"/>
    <w:rsid w:val="000C09AC"/>
    <w:rsid w:val="000C0D20"/>
    <w:rsid w:val="000C1004"/>
    <w:rsid w:val="000C1119"/>
    <w:rsid w:val="000C1593"/>
    <w:rsid w:val="000C2311"/>
    <w:rsid w:val="000C2346"/>
    <w:rsid w:val="000C25DF"/>
    <w:rsid w:val="000C273A"/>
    <w:rsid w:val="000C3F0A"/>
    <w:rsid w:val="000C4E8E"/>
    <w:rsid w:val="000C4FD0"/>
    <w:rsid w:val="000C553D"/>
    <w:rsid w:val="000C56B4"/>
    <w:rsid w:val="000C5959"/>
    <w:rsid w:val="000C5AB5"/>
    <w:rsid w:val="000C613D"/>
    <w:rsid w:val="000C6E2E"/>
    <w:rsid w:val="000C7311"/>
    <w:rsid w:val="000C73BB"/>
    <w:rsid w:val="000C74F4"/>
    <w:rsid w:val="000C767F"/>
    <w:rsid w:val="000D09C5"/>
    <w:rsid w:val="000D1A67"/>
    <w:rsid w:val="000D1ECA"/>
    <w:rsid w:val="000D2C99"/>
    <w:rsid w:val="000D2FA0"/>
    <w:rsid w:val="000D463D"/>
    <w:rsid w:val="000D4886"/>
    <w:rsid w:val="000D4A9F"/>
    <w:rsid w:val="000D4CAF"/>
    <w:rsid w:val="000D5142"/>
    <w:rsid w:val="000D5A44"/>
    <w:rsid w:val="000D5B5C"/>
    <w:rsid w:val="000D5E3D"/>
    <w:rsid w:val="000D626B"/>
    <w:rsid w:val="000D63D6"/>
    <w:rsid w:val="000D6AE3"/>
    <w:rsid w:val="000D6B32"/>
    <w:rsid w:val="000D6D09"/>
    <w:rsid w:val="000D7BB8"/>
    <w:rsid w:val="000E1057"/>
    <w:rsid w:val="000E1372"/>
    <w:rsid w:val="000E1735"/>
    <w:rsid w:val="000E1D99"/>
    <w:rsid w:val="000E1ED4"/>
    <w:rsid w:val="000E210B"/>
    <w:rsid w:val="000E3006"/>
    <w:rsid w:val="000E317F"/>
    <w:rsid w:val="000E372E"/>
    <w:rsid w:val="000E39EC"/>
    <w:rsid w:val="000E3A13"/>
    <w:rsid w:val="000E3ED2"/>
    <w:rsid w:val="000E41B8"/>
    <w:rsid w:val="000E4B8C"/>
    <w:rsid w:val="000E5712"/>
    <w:rsid w:val="000E5765"/>
    <w:rsid w:val="000E5A0B"/>
    <w:rsid w:val="000E5D79"/>
    <w:rsid w:val="000E6166"/>
    <w:rsid w:val="000E6433"/>
    <w:rsid w:val="000E64AE"/>
    <w:rsid w:val="000E6617"/>
    <w:rsid w:val="000E663F"/>
    <w:rsid w:val="000E70DC"/>
    <w:rsid w:val="000E70FA"/>
    <w:rsid w:val="000E7271"/>
    <w:rsid w:val="000E7510"/>
    <w:rsid w:val="000E7960"/>
    <w:rsid w:val="000F011A"/>
    <w:rsid w:val="000F0BA7"/>
    <w:rsid w:val="000F0C03"/>
    <w:rsid w:val="000F160A"/>
    <w:rsid w:val="000F1B40"/>
    <w:rsid w:val="000F2A42"/>
    <w:rsid w:val="000F2E9E"/>
    <w:rsid w:val="000F3134"/>
    <w:rsid w:val="000F34B4"/>
    <w:rsid w:val="000F44D4"/>
    <w:rsid w:val="000F450D"/>
    <w:rsid w:val="000F4787"/>
    <w:rsid w:val="000F4D66"/>
    <w:rsid w:val="000F509B"/>
    <w:rsid w:val="000F5356"/>
    <w:rsid w:val="000F5A8D"/>
    <w:rsid w:val="000F5C1F"/>
    <w:rsid w:val="000F5E18"/>
    <w:rsid w:val="000F60EE"/>
    <w:rsid w:val="000F61AB"/>
    <w:rsid w:val="000F6381"/>
    <w:rsid w:val="000F6635"/>
    <w:rsid w:val="000F6B2C"/>
    <w:rsid w:val="000F72A0"/>
    <w:rsid w:val="000F78DF"/>
    <w:rsid w:val="000F7BDE"/>
    <w:rsid w:val="001000C5"/>
    <w:rsid w:val="0010135C"/>
    <w:rsid w:val="00101A57"/>
    <w:rsid w:val="00102425"/>
    <w:rsid w:val="001024B8"/>
    <w:rsid w:val="00103641"/>
    <w:rsid w:val="00103A5C"/>
    <w:rsid w:val="001045A6"/>
    <w:rsid w:val="00104879"/>
    <w:rsid w:val="001048D9"/>
    <w:rsid w:val="00104A27"/>
    <w:rsid w:val="00105244"/>
    <w:rsid w:val="0010556F"/>
    <w:rsid w:val="00105C8F"/>
    <w:rsid w:val="0010621F"/>
    <w:rsid w:val="001064CD"/>
    <w:rsid w:val="001071B2"/>
    <w:rsid w:val="00107389"/>
    <w:rsid w:val="001074D6"/>
    <w:rsid w:val="001076D3"/>
    <w:rsid w:val="00107720"/>
    <w:rsid w:val="001078E3"/>
    <w:rsid w:val="00107B7C"/>
    <w:rsid w:val="001102A4"/>
    <w:rsid w:val="001103E3"/>
    <w:rsid w:val="00110A9C"/>
    <w:rsid w:val="0011179D"/>
    <w:rsid w:val="00112231"/>
    <w:rsid w:val="0011253E"/>
    <w:rsid w:val="00112CFC"/>
    <w:rsid w:val="001131E5"/>
    <w:rsid w:val="0011390F"/>
    <w:rsid w:val="00114D78"/>
    <w:rsid w:val="00114D9E"/>
    <w:rsid w:val="00114FB9"/>
    <w:rsid w:val="001158DB"/>
    <w:rsid w:val="00115F03"/>
    <w:rsid w:val="001160C2"/>
    <w:rsid w:val="0011621C"/>
    <w:rsid w:val="00116511"/>
    <w:rsid w:val="00116A69"/>
    <w:rsid w:val="0011779A"/>
    <w:rsid w:val="00117A1F"/>
    <w:rsid w:val="001202EC"/>
    <w:rsid w:val="00120428"/>
    <w:rsid w:val="00121178"/>
    <w:rsid w:val="001217DA"/>
    <w:rsid w:val="00121ED7"/>
    <w:rsid w:val="00121F20"/>
    <w:rsid w:val="0012308D"/>
    <w:rsid w:val="00123444"/>
    <w:rsid w:val="00123CBC"/>
    <w:rsid w:val="00125868"/>
    <w:rsid w:val="00125E5A"/>
    <w:rsid w:val="00125F1D"/>
    <w:rsid w:val="00126002"/>
    <w:rsid w:val="00126D67"/>
    <w:rsid w:val="00130436"/>
    <w:rsid w:val="00130B1D"/>
    <w:rsid w:val="00131676"/>
    <w:rsid w:val="00131BDA"/>
    <w:rsid w:val="00131E7F"/>
    <w:rsid w:val="00131F24"/>
    <w:rsid w:val="00131F42"/>
    <w:rsid w:val="001328C2"/>
    <w:rsid w:val="00132B21"/>
    <w:rsid w:val="00132D2F"/>
    <w:rsid w:val="00132F07"/>
    <w:rsid w:val="001334A6"/>
    <w:rsid w:val="00133800"/>
    <w:rsid w:val="0013396B"/>
    <w:rsid w:val="00134D17"/>
    <w:rsid w:val="00134FA7"/>
    <w:rsid w:val="001352B2"/>
    <w:rsid w:val="001357F1"/>
    <w:rsid w:val="0013597C"/>
    <w:rsid w:val="00135D21"/>
    <w:rsid w:val="00135DFD"/>
    <w:rsid w:val="00136165"/>
    <w:rsid w:val="00136398"/>
    <w:rsid w:val="001366C4"/>
    <w:rsid w:val="00136F9A"/>
    <w:rsid w:val="00136FD2"/>
    <w:rsid w:val="0013756E"/>
    <w:rsid w:val="0013782C"/>
    <w:rsid w:val="001378D8"/>
    <w:rsid w:val="00140487"/>
    <w:rsid w:val="00140999"/>
    <w:rsid w:val="00140E70"/>
    <w:rsid w:val="00140FA8"/>
    <w:rsid w:val="001414A2"/>
    <w:rsid w:val="001418E7"/>
    <w:rsid w:val="00141AB1"/>
    <w:rsid w:val="00141FE1"/>
    <w:rsid w:val="001422D4"/>
    <w:rsid w:val="00142FEB"/>
    <w:rsid w:val="001431BA"/>
    <w:rsid w:val="00143A2D"/>
    <w:rsid w:val="00143C28"/>
    <w:rsid w:val="00143CB3"/>
    <w:rsid w:val="00143D86"/>
    <w:rsid w:val="00143E29"/>
    <w:rsid w:val="00144203"/>
    <w:rsid w:val="00145017"/>
    <w:rsid w:val="001456A2"/>
    <w:rsid w:val="001457D2"/>
    <w:rsid w:val="00145A41"/>
    <w:rsid w:val="00145B38"/>
    <w:rsid w:val="00145DF6"/>
    <w:rsid w:val="0014606E"/>
    <w:rsid w:val="001465A3"/>
    <w:rsid w:val="001476B6"/>
    <w:rsid w:val="00150465"/>
    <w:rsid w:val="001507E9"/>
    <w:rsid w:val="00151675"/>
    <w:rsid w:val="001517CA"/>
    <w:rsid w:val="00151B32"/>
    <w:rsid w:val="00151B5A"/>
    <w:rsid w:val="0015207B"/>
    <w:rsid w:val="001523E0"/>
    <w:rsid w:val="0015243A"/>
    <w:rsid w:val="00152ACF"/>
    <w:rsid w:val="00152DA5"/>
    <w:rsid w:val="00152EEE"/>
    <w:rsid w:val="001532B3"/>
    <w:rsid w:val="00153DDD"/>
    <w:rsid w:val="00153E0A"/>
    <w:rsid w:val="001540AB"/>
    <w:rsid w:val="00154513"/>
    <w:rsid w:val="00154635"/>
    <w:rsid w:val="00155138"/>
    <w:rsid w:val="0015596C"/>
    <w:rsid w:val="00156272"/>
    <w:rsid w:val="0015695A"/>
    <w:rsid w:val="00156BCF"/>
    <w:rsid w:val="00156E57"/>
    <w:rsid w:val="00156E76"/>
    <w:rsid w:val="00157435"/>
    <w:rsid w:val="001574CA"/>
    <w:rsid w:val="00160887"/>
    <w:rsid w:val="00160D89"/>
    <w:rsid w:val="00161071"/>
    <w:rsid w:val="001619B1"/>
    <w:rsid w:val="00161CF2"/>
    <w:rsid w:val="00161EA6"/>
    <w:rsid w:val="00161F5B"/>
    <w:rsid w:val="0016203A"/>
    <w:rsid w:val="001623AC"/>
    <w:rsid w:val="0016272A"/>
    <w:rsid w:val="00162799"/>
    <w:rsid w:val="001631AE"/>
    <w:rsid w:val="00163570"/>
    <w:rsid w:val="00163960"/>
    <w:rsid w:val="00163B6D"/>
    <w:rsid w:val="001647E9"/>
    <w:rsid w:val="00164870"/>
    <w:rsid w:val="00164B25"/>
    <w:rsid w:val="00164D33"/>
    <w:rsid w:val="00164E7F"/>
    <w:rsid w:val="001652E3"/>
    <w:rsid w:val="00166F82"/>
    <w:rsid w:val="001672FC"/>
    <w:rsid w:val="00167540"/>
    <w:rsid w:val="0017010C"/>
    <w:rsid w:val="0017061B"/>
    <w:rsid w:val="00170771"/>
    <w:rsid w:val="0017079B"/>
    <w:rsid w:val="00170C40"/>
    <w:rsid w:val="00171598"/>
    <w:rsid w:val="0017187C"/>
    <w:rsid w:val="00171E40"/>
    <w:rsid w:val="00172235"/>
    <w:rsid w:val="00172698"/>
    <w:rsid w:val="00172A27"/>
    <w:rsid w:val="0017385C"/>
    <w:rsid w:val="00173C2E"/>
    <w:rsid w:val="001746BD"/>
    <w:rsid w:val="00174B13"/>
    <w:rsid w:val="00174B3A"/>
    <w:rsid w:val="00174F73"/>
    <w:rsid w:val="0017504D"/>
    <w:rsid w:val="00175213"/>
    <w:rsid w:val="0017525C"/>
    <w:rsid w:val="0017671A"/>
    <w:rsid w:val="00176D1B"/>
    <w:rsid w:val="00177422"/>
    <w:rsid w:val="00177DF2"/>
    <w:rsid w:val="001823E2"/>
    <w:rsid w:val="00182456"/>
    <w:rsid w:val="00183177"/>
    <w:rsid w:val="00184590"/>
    <w:rsid w:val="00184853"/>
    <w:rsid w:val="0018497F"/>
    <w:rsid w:val="00185288"/>
    <w:rsid w:val="00185D29"/>
    <w:rsid w:val="001860CD"/>
    <w:rsid w:val="001864C3"/>
    <w:rsid w:val="00186A2C"/>
    <w:rsid w:val="00186DF4"/>
    <w:rsid w:val="001870D1"/>
    <w:rsid w:val="001873D2"/>
    <w:rsid w:val="00187638"/>
    <w:rsid w:val="0018781E"/>
    <w:rsid w:val="00187C7E"/>
    <w:rsid w:val="00187E19"/>
    <w:rsid w:val="00190EA8"/>
    <w:rsid w:val="001910DA"/>
    <w:rsid w:val="00191760"/>
    <w:rsid w:val="001917F0"/>
    <w:rsid w:val="00191861"/>
    <w:rsid w:val="0019262D"/>
    <w:rsid w:val="00192B65"/>
    <w:rsid w:val="0019318E"/>
    <w:rsid w:val="00193FE7"/>
    <w:rsid w:val="001942E3"/>
    <w:rsid w:val="00194411"/>
    <w:rsid w:val="00194681"/>
    <w:rsid w:val="00195532"/>
    <w:rsid w:val="001956FF"/>
    <w:rsid w:val="00196CB3"/>
    <w:rsid w:val="00196E25"/>
    <w:rsid w:val="00196E42"/>
    <w:rsid w:val="0019710E"/>
    <w:rsid w:val="00197E8A"/>
    <w:rsid w:val="00197E8D"/>
    <w:rsid w:val="001A0BC4"/>
    <w:rsid w:val="001A1158"/>
    <w:rsid w:val="001A1488"/>
    <w:rsid w:val="001A1636"/>
    <w:rsid w:val="001A1B35"/>
    <w:rsid w:val="001A1C76"/>
    <w:rsid w:val="001A1DE9"/>
    <w:rsid w:val="001A2040"/>
    <w:rsid w:val="001A21F1"/>
    <w:rsid w:val="001A25B6"/>
    <w:rsid w:val="001A25F4"/>
    <w:rsid w:val="001A447D"/>
    <w:rsid w:val="001A48A2"/>
    <w:rsid w:val="001A4A33"/>
    <w:rsid w:val="001A5188"/>
    <w:rsid w:val="001A637D"/>
    <w:rsid w:val="001A6E2C"/>
    <w:rsid w:val="001A6F61"/>
    <w:rsid w:val="001A7328"/>
    <w:rsid w:val="001A7677"/>
    <w:rsid w:val="001A7B57"/>
    <w:rsid w:val="001A7DBA"/>
    <w:rsid w:val="001A7E31"/>
    <w:rsid w:val="001A7F6F"/>
    <w:rsid w:val="001B0053"/>
    <w:rsid w:val="001B0B28"/>
    <w:rsid w:val="001B0D13"/>
    <w:rsid w:val="001B12BC"/>
    <w:rsid w:val="001B12D3"/>
    <w:rsid w:val="001B1847"/>
    <w:rsid w:val="001B194E"/>
    <w:rsid w:val="001B2386"/>
    <w:rsid w:val="001B27F1"/>
    <w:rsid w:val="001B30BD"/>
    <w:rsid w:val="001B34D4"/>
    <w:rsid w:val="001B3769"/>
    <w:rsid w:val="001B5BE9"/>
    <w:rsid w:val="001B6894"/>
    <w:rsid w:val="001B715D"/>
    <w:rsid w:val="001B72B8"/>
    <w:rsid w:val="001B743B"/>
    <w:rsid w:val="001B7583"/>
    <w:rsid w:val="001B763A"/>
    <w:rsid w:val="001B7B52"/>
    <w:rsid w:val="001C0031"/>
    <w:rsid w:val="001C0994"/>
    <w:rsid w:val="001C1BA9"/>
    <w:rsid w:val="001C2650"/>
    <w:rsid w:val="001C2946"/>
    <w:rsid w:val="001C3494"/>
    <w:rsid w:val="001C3D0F"/>
    <w:rsid w:val="001C4883"/>
    <w:rsid w:val="001C4FD4"/>
    <w:rsid w:val="001C52AF"/>
    <w:rsid w:val="001C592B"/>
    <w:rsid w:val="001C6299"/>
    <w:rsid w:val="001C6330"/>
    <w:rsid w:val="001C653F"/>
    <w:rsid w:val="001C69B3"/>
    <w:rsid w:val="001C6C39"/>
    <w:rsid w:val="001C76F4"/>
    <w:rsid w:val="001C78C4"/>
    <w:rsid w:val="001D096B"/>
    <w:rsid w:val="001D11DD"/>
    <w:rsid w:val="001D18EF"/>
    <w:rsid w:val="001D2D9E"/>
    <w:rsid w:val="001D2DD7"/>
    <w:rsid w:val="001D469D"/>
    <w:rsid w:val="001D51A4"/>
    <w:rsid w:val="001D5557"/>
    <w:rsid w:val="001D5595"/>
    <w:rsid w:val="001D5B6F"/>
    <w:rsid w:val="001D6003"/>
    <w:rsid w:val="001D628C"/>
    <w:rsid w:val="001D6761"/>
    <w:rsid w:val="001D6C03"/>
    <w:rsid w:val="001D6CA1"/>
    <w:rsid w:val="001D7874"/>
    <w:rsid w:val="001D7BFF"/>
    <w:rsid w:val="001D7F22"/>
    <w:rsid w:val="001E014B"/>
    <w:rsid w:val="001E12D1"/>
    <w:rsid w:val="001E17A6"/>
    <w:rsid w:val="001E17C8"/>
    <w:rsid w:val="001E1849"/>
    <w:rsid w:val="001E26D1"/>
    <w:rsid w:val="001E2E5A"/>
    <w:rsid w:val="001E2EE5"/>
    <w:rsid w:val="001E45A2"/>
    <w:rsid w:val="001E4FC1"/>
    <w:rsid w:val="001E52DB"/>
    <w:rsid w:val="001E552C"/>
    <w:rsid w:val="001E5C24"/>
    <w:rsid w:val="001E6374"/>
    <w:rsid w:val="001E66F5"/>
    <w:rsid w:val="001E6C11"/>
    <w:rsid w:val="001E6E2B"/>
    <w:rsid w:val="001E71BF"/>
    <w:rsid w:val="001E72CA"/>
    <w:rsid w:val="001E7B46"/>
    <w:rsid w:val="001F049F"/>
    <w:rsid w:val="001F0DC8"/>
    <w:rsid w:val="001F0F17"/>
    <w:rsid w:val="001F11B7"/>
    <w:rsid w:val="001F11E8"/>
    <w:rsid w:val="001F1C75"/>
    <w:rsid w:val="001F20A0"/>
    <w:rsid w:val="001F245C"/>
    <w:rsid w:val="001F30A1"/>
    <w:rsid w:val="001F32C9"/>
    <w:rsid w:val="001F3347"/>
    <w:rsid w:val="001F3B92"/>
    <w:rsid w:val="001F419D"/>
    <w:rsid w:val="001F49BC"/>
    <w:rsid w:val="001F4D41"/>
    <w:rsid w:val="001F5998"/>
    <w:rsid w:val="001F59AB"/>
    <w:rsid w:val="001F6117"/>
    <w:rsid w:val="001F6924"/>
    <w:rsid w:val="001F69E4"/>
    <w:rsid w:val="001F6DFB"/>
    <w:rsid w:val="001F6E6E"/>
    <w:rsid w:val="001F7C67"/>
    <w:rsid w:val="0020001A"/>
    <w:rsid w:val="00200434"/>
    <w:rsid w:val="00200936"/>
    <w:rsid w:val="00202F2E"/>
    <w:rsid w:val="00203E0E"/>
    <w:rsid w:val="002046B3"/>
    <w:rsid w:val="00204D9E"/>
    <w:rsid w:val="00204DC3"/>
    <w:rsid w:val="00205E51"/>
    <w:rsid w:val="00206966"/>
    <w:rsid w:val="002069CC"/>
    <w:rsid w:val="0020700F"/>
    <w:rsid w:val="0020705E"/>
    <w:rsid w:val="00210788"/>
    <w:rsid w:val="0021112C"/>
    <w:rsid w:val="002115CB"/>
    <w:rsid w:val="00211CC3"/>
    <w:rsid w:val="002125B4"/>
    <w:rsid w:val="0021335D"/>
    <w:rsid w:val="002136E4"/>
    <w:rsid w:val="00213FFB"/>
    <w:rsid w:val="0021405C"/>
    <w:rsid w:val="002144A6"/>
    <w:rsid w:val="00214CB5"/>
    <w:rsid w:val="002155B8"/>
    <w:rsid w:val="002158D5"/>
    <w:rsid w:val="00215BBE"/>
    <w:rsid w:val="00216583"/>
    <w:rsid w:val="0021717E"/>
    <w:rsid w:val="00217936"/>
    <w:rsid w:val="00221E79"/>
    <w:rsid w:val="00222B9C"/>
    <w:rsid w:val="00222C51"/>
    <w:rsid w:val="00222EA6"/>
    <w:rsid w:val="00223A10"/>
    <w:rsid w:val="00224326"/>
    <w:rsid w:val="00224839"/>
    <w:rsid w:val="002249B2"/>
    <w:rsid w:val="00224DBE"/>
    <w:rsid w:val="002256A7"/>
    <w:rsid w:val="002259EA"/>
    <w:rsid w:val="00225C2E"/>
    <w:rsid w:val="00225E7A"/>
    <w:rsid w:val="0022602D"/>
    <w:rsid w:val="00226071"/>
    <w:rsid w:val="00226574"/>
    <w:rsid w:val="00226BCA"/>
    <w:rsid w:val="002278EC"/>
    <w:rsid w:val="00227BCE"/>
    <w:rsid w:val="0023058D"/>
    <w:rsid w:val="00230701"/>
    <w:rsid w:val="00230C27"/>
    <w:rsid w:val="00231621"/>
    <w:rsid w:val="00231626"/>
    <w:rsid w:val="0023191F"/>
    <w:rsid w:val="00231B16"/>
    <w:rsid w:val="00231E3A"/>
    <w:rsid w:val="002322FD"/>
    <w:rsid w:val="0023280E"/>
    <w:rsid w:val="00232D9E"/>
    <w:rsid w:val="00232ECA"/>
    <w:rsid w:val="00233A34"/>
    <w:rsid w:val="00233C44"/>
    <w:rsid w:val="00233CC0"/>
    <w:rsid w:val="00233EC1"/>
    <w:rsid w:val="00233FED"/>
    <w:rsid w:val="00234564"/>
    <w:rsid w:val="00234CB9"/>
    <w:rsid w:val="00235537"/>
    <w:rsid w:val="0023554B"/>
    <w:rsid w:val="0023689B"/>
    <w:rsid w:val="00236A9E"/>
    <w:rsid w:val="00236BB5"/>
    <w:rsid w:val="00237244"/>
    <w:rsid w:val="0023756C"/>
    <w:rsid w:val="002377D1"/>
    <w:rsid w:val="00237C0D"/>
    <w:rsid w:val="00237DB1"/>
    <w:rsid w:val="002415AF"/>
    <w:rsid w:val="00241DD8"/>
    <w:rsid w:val="00242208"/>
    <w:rsid w:val="00242B85"/>
    <w:rsid w:val="00242D19"/>
    <w:rsid w:val="00243408"/>
    <w:rsid w:val="002437F3"/>
    <w:rsid w:val="00243B0B"/>
    <w:rsid w:val="00244356"/>
    <w:rsid w:val="0024445A"/>
    <w:rsid w:val="002448B2"/>
    <w:rsid w:val="00244AF6"/>
    <w:rsid w:val="00244DD2"/>
    <w:rsid w:val="002453CC"/>
    <w:rsid w:val="00245AC3"/>
    <w:rsid w:val="002461C9"/>
    <w:rsid w:val="00247351"/>
    <w:rsid w:val="0024745F"/>
    <w:rsid w:val="0024750D"/>
    <w:rsid w:val="00247E7B"/>
    <w:rsid w:val="0025026D"/>
    <w:rsid w:val="002502AE"/>
    <w:rsid w:val="002506BC"/>
    <w:rsid w:val="00250AEE"/>
    <w:rsid w:val="002512A3"/>
    <w:rsid w:val="00251A30"/>
    <w:rsid w:val="00251E17"/>
    <w:rsid w:val="002524C0"/>
    <w:rsid w:val="002527C9"/>
    <w:rsid w:val="002527F8"/>
    <w:rsid w:val="00252CEA"/>
    <w:rsid w:val="00253618"/>
    <w:rsid w:val="0025372D"/>
    <w:rsid w:val="00253BFC"/>
    <w:rsid w:val="00254345"/>
    <w:rsid w:val="0025481C"/>
    <w:rsid w:val="00254FA2"/>
    <w:rsid w:val="0025543B"/>
    <w:rsid w:val="002554C1"/>
    <w:rsid w:val="002557CD"/>
    <w:rsid w:val="00256132"/>
    <w:rsid w:val="00256D02"/>
    <w:rsid w:val="0025768C"/>
    <w:rsid w:val="002605D7"/>
    <w:rsid w:val="002607E2"/>
    <w:rsid w:val="002613F0"/>
    <w:rsid w:val="002615E4"/>
    <w:rsid w:val="0026180A"/>
    <w:rsid w:val="00261BC9"/>
    <w:rsid w:val="00261DD7"/>
    <w:rsid w:val="00262BA7"/>
    <w:rsid w:val="00262FF7"/>
    <w:rsid w:val="00263822"/>
    <w:rsid w:val="00264557"/>
    <w:rsid w:val="00264D4D"/>
    <w:rsid w:val="00264F20"/>
    <w:rsid w:val="00265026"/>
    <w:rsid w:val="002667CD"/>
    <w:rsid w:val="00266A04"/>
    <w:rsid w:val="00266AD0"/>
    <w:rsid w:val="00266E12"/>
    <w:rsid w:val="00267565"/>
    <w:rsid w:val="00267CF3"/>
    <w:rsid w:val="00267F85"/>
    <w:rsid w:val="00270400"/>
    <w:rsid w:val="00270FCB"/>
    <w:rsid w:val="002721F4"/>
    <w:rsid w:val="00273070"/>
    <w:rsid w:val="00273614"/>
    <w:rsid w:val="00274419"/>
    <w:rsid w:val="0027461E"/>
    <w:rsid w:val="00275307"/>
    <w:rsid w:val="002757BB"/>
    <w:rsid w:val="002763C4"/>
    <w:rsid w:val="00276546"/>
    <w:rsid w:val="00276772"/>
    <w:rsid w:val="00276790"/>
    <w:rsid w:val="00276C7C"/>
    <w:rsid w:val="002775C0"/>
    <w:rsid w:val="00277A9D"/>
    <w:rsid w:val="00277BBB"/>
    <w:rsid w:val="0028041F"/>
    <w:rsid w:val="002805AB"/>
    <w:rsid w:val="00280646"/>
    <w:rsid w:val="00281AE6"/>
    <w:rsid w:val="00283149"/>
    <w:rsid w:val="00283328"/>
    <w:rsid w:val="00283A58"/>
    <w:rsid w:val="00283BF5"/>
    <w:rsid w:val="00283DB6"/>
    <w:rsid w:val="0028413B"/>
    <w:rsid w:val="00284204"/>
    <w:rsid w:val="0028456B"/>
    <w:rsid w:val="00284673"/>
    <w:rsid w:val="0028472A"/>
    <w:rsid w:val="00284730"/>
    <w:rsid w:val="00284A3B"/>
    <w:rsid w:val="00284BC4"/>
    <w:rsid w:val="00284CA2"/>
    <w:rsid w:val="00285D4F"/>
    <w:rsid w:val="00285EA7"/>
    <w:rsid w:val="0028625A"/>
    <w:rsid w:val="002864FC"/>
    <w:rsid w:val="00286974"/>
    <w:rsid w:val="00286AC9"/>
    <w:rsid w:val="00286BAF"/>
    <w:rsid w:val="00286F74"/>
    <w:rsid w:val="00287129"/>
    <w:rsid w:val="0028743D"/>
    <w:rsid w:val="00287F97"/>
    <w:rsid w:val="00291773"/>
    <w:rsid w:val="00291BE8"/>
    <w:rsid w:val="0029203E"/>
    <w:rsid w:val="00292317"/>
    <w:rsid w:val="00292A43"/>
    <w:rsid w:val="0029332F"/>
    <w:rsid w:val="002939A1"/>
    <w:rsid w:val="00293EA7"/>
    <w:rsid w:val="0029456D"/>
    <w:rsid w:val="00294BCB"/>
    <w:rsid w:val="002952E3"/>
    <w:rsid w:val="002959D1"/>
    <w:rsid w:val="00295B88"/>
    <w:rsid w:val="002962B6"/>
    <w:rsid w:val="00296DED"/>
    <w:rsid w:val="002978CF"/>
    <w:rsid w:val="002A0109"/>
    <w:rsid w:val="002A04F2"/>
    <w:rsid w:val="002A0525"/>
    <w:rsid w:val="002A0C68"/>
    <w:rsid w:val="002A1390"/>
    <w:rsid w:val="002A168C"/>
    <w:rsid w:val="002A1868"/>
    <w:rsid w:val="002A1E9C"/>
    <w:rsid w:val="002A2FDF"/>
    <w:rsid w:val="002A3DC7"/>
    <w:rsid w:val="002A497F"/>
    <w:rsid w:val="002A5160"/>
    <w:rsid w:val="002A54AA"/>
    <w:rsid w:val="002A662F"/>
    <w:rsid w:val="002A688D"/>
    <w:rsid w:val="002A6DD7"/>
    <w:rsid w:val="002A71A1"/>
    <w:rsid w:val="002A7C3B"/>
    <w:rsid w:val="002A7FD3"/>
    <w:rsid w:val="002B0D83"/>
    <w:rsid w:val="002B1157"/>
    <w:rsid w:val="002B1FD1"/>
    <w:rsid w:val="002B2868"/>
    <w:rsid w:val="002B2869"/>
    <w:rsid w:val="002B2915"/>
    <w:rsid w:val="002B43C9"/>
    <w:rsid w:val="002B4572"/>
    <w:rsid w:val="002B49E2"/>
    <w:rsid w:val="002B4EF3"/>
    <w:rsid w:val="002B5275"/>
    <w:rsid w:val="002B5580"/>
    <w:rsid w:val="002B5873"/>
    <w:rsid w:val="002B6046"/>
    <w:rsid w:val="002B639E"/>
    <w:rsid w:val="002B6691"/>
    <w:rsid w:val="002B69DB"/>
    <w:rsid w:val="002B6EBF"/>
    <w:rsid w:val="002B73D5"/>
    <w:rsid w:val="002B769C"/>
    <w:rsid w:val="002B7B00"/>
    <w:rsid w:val="002B7C44"/>
    <w:rsid w:val="002B7E30"/>
    <w:rsid w:val="002B7F19"/>
    <w:rsid w:val="002C097C"/>
    <w:rsid w:val="002C0C68"/>
    <w:rsid w:val="002C0EB3"/>
    <w:rsid w:val="002C1474"/>
    <w:rsid w:val="002C236E"/>
    <w:rsid w:val="002C2B17"/>
    <w:rsid w:val="002C30A6"/>
    <w:rsid w:val="002C361B"/>
    <w:rsid w:val="002C3CDF"/>
    <w:rsid w:val="002C4360"/>
    <w:rsid w:val="002C52A2"/>
    <w:rsid w:val="002C56BF"/>
    <w:rsid w:val="002C57EC"/>
    <w:rsid w:val="002C58F7"/>
    <w:rsid w:val="002C5FC7"/>
    <w:rsid w:val="002C698F"/>
    <w:rsid w:val="002C6BF2"/>
    <w:rsid w:val="002C6D73"/>
    <w:rsid w:val="002C6E35"/>
    <w:rsid w:val="002C7388"/>
    <w:rsid w:val="002D09B4"/>
    <w:rsid w:val="002D0D05"/>
    <w:rsid w:val="002D0E22"/>
    <w:rsid w:val="002D127A"/>
    <w:rsid w:val="002D1B18"/>
    <w:rsid w:val="002D2BE6"/>
    <w:rsid w:val="002D3038"/>
    <w:rsid w:val="002D34F0"/>
    <w:rsid w:val="002D36A7"/>
    <w:rsid w:val="002D3848"/>
    <w:rsid w:val="002D3AB2"/>
    <w:rsid w:val="002D3D8C"/>
    <w:rsid w:val="002D3DD0"/>
    <w:rsid w:val="002D40E4"/>
    <w:rsid w:val="002D468D"/>
    <w:rsid w:val="002D4CDA"/>
    <w:rsid w:val="002D4DDF"/>
    <w:rsid w:val="002D5055"/>
    <w:rsid w:val="002D557A"/>
    <w:rsid w:val="002D5670"/>
    <w:rsid w:val="002D59FA"/>
    <w:rsid w:val="002D622B"/>
    <w:rsid w:val="002D6413"/>
    <w:rsid w:val="002D6DEB"/>
    <w:rsid w:val="002D7872"/>
    <w:rsid w:val="002D7BDE"/>
    <w:rsid w:val="002E007A"/>
    <w:rsid w:val="002E0244"/>
    <w:rsid w:val="002E0992"/>
    <w:rsid w:val="002E0A51"/>
    <w:rsid w:val="002E0AF4"/>
    <w:rsid w:val="002E0E6D"/>
    <w:rsid w:val="002E1137"/>
    <w:rsid w:val="002E13E6"/>
    <w:rsid w:val="002E1E7A"/>
    <w:rsid w:val="002E1F3A"/>
    <w:rsid w:val="002E1FB2"/>
    <w:rsid w:val="002E204B"/>
    <w:rsid w:val="002E2951"/>
    <w:rsid w:val="002E298A"/>
    <w:rsid w:val="002E33A0"/>
    <w:rsid w:val="002E34A5"/>
    <w:rsid w:val="002E3868"/>
    <w:rsid w:val="002E4BD8"/>
    <w:rsid w:val="002E4F50"/>
    <w:rsid w:val="002E5012"/>
    <w:rsid w:val="002E51AF"/>
    <w:rsid w:val="002E54C7"/>
    <w:rsid w:val="002E573A"/>
    <w:rsid w:val="002E58BD"/>
    <w:rsid w:val="002E5BCD"/>
    <w:rsid w:val="002E5C1F"/>
    <w:rsid w:val="002E6991"/>
    <w:rsid w:val="002E6A9D"/>
    <w:rsid w:val="002E6E48"/>
    <w:rsid w:val="002E779F"/>
    <w:rsid w:val="002E7AFF"/>
    <w:rsid w:val="002F03A2"/>
    <w:rsid w:val="002F0548"/>
    <w:rsid w:val="002F08B3"/>
    <w:rsid w:val="002F124D"/>
    <w:rsid w:val="002F180C"/>
    <w:rsid w:val="002F1FDA"/>
    <w:rsid w:val="002F24AC"/>
    <w:rsid w:val="002F2CF0"/>
    <w:rsid w:val="002F30AD"/>
    <w:rsid w:val="002F32CB"/>
    <w:rsid w:val="002F3327"/>
    <w:rsid w:val="002F343B"/>
    <w:rsid w:val="002F3B16"/>
    <w:rsid w:val="002F3CF7"/>
    <w:rsid w:val="002F558B"/>
    <w:rsid w:val="002F563E"/>
    <w:rsid w:val="002F5AD3"/>
    <w:rsid w:val="002F5CD0"/>
    <w:rsid w:val="002F74F7"/>
    <w:rsid w:val="002F78A9"/>
    <w:rsid w:val="0030049D"/>
    <w:rsid w:val="003006EB"/>
    <w:rsid w:val="00300794"/>
    <w:rsid w:val="00300ADE"/>
    <w:rsid w:val="00301288"/>
    <w:rsid w:val="003016A9"/>
    <w:rsid w:val="00301978"/>
    <w:rsid w:val="00302F30"/>
    <w:rsid w:val="00303209"/>
    <w:rsid w:val="0030332C"/>
    <w:rsid w:val="00303D2C"/>
    <w:rsid w:val="00303E36"/>
    <w:rsid w:val="00304615"/>
    <w:rsid w:val="00304678"/>
    <w:rsid w:val="003046B5"/>
    <w:rsid w:val="00304AB9"/>
    <w:rsid w:val="003051C2"/>
    <w:rsid w:val="00305AC1"/>
    <w:rsid w:val="00305D3D"/>
    <w:rsid w:val="003061DB"/>
    <w:rsid w:val="003062F0"/>
    <w:rsid w:val="003069F5"/>
    <w:rsid w:val="00306F97"/>
    <w:rsid w:val="0031112C"/>
    <w:rsid w:val="0031115E"/>
    <w:rsid w:val="003113ED"/>
    <w:rsid w:val="00311A49"/>
    <w:rsid w:val="00311AB5"/>
    <w:rsid w:val="00311F18"/>
    <w:rsid w:val="00312296"/>
    <w:rsid w:val="0031256C"/>
    <w:rsid w:val="00312A7F"/>
    <w:rsid w:val="00312DF9"/>
    <w:rsid w:val="003135E2"/>
    <w:rsid w:val="0031398E"/>
    <w:rsid w:val="003140EB"/>
    <w:rsid w:val="0031413D"/>
    <w:rsid w:val="0031458F"/>
    <w:rsid w:val="00314F0E"/>
    <w:rsid w:val="00315BB2"/>
    <w:rsid w:val="00315D8A"/>
    <w:rsid w:val="00317672"/>
    <w:rsid w:val="0032024A"/>
    <w:rsid w:val="0032081C"/>
    <w:rsid w:val="003213D2"/>
    <w:rsid w:val="003215B7"/>
    <w:rsid w:val="00321D8E"/>
    <w:rsid w:val="00322601"/>
    <w:rsid w:val="003226DA"/>
    <w:rsid w:val="00322970"/>
    <w:rsid w:val="003234F6"/>
    <w:rsid w:val="00323BE7"/>
    <w:rsid w:val="00323CDD"/>
    <w:rsid w:val="00323E85"/>
    <w:rsid w:val="00325595"/>
    <w:rsid w:val="0032586F"/>
    <w:rsid w:val="00325928"/>
    <w:rsid w:val="00326065"/>
    <w:rsid w:val="00327ABD"/>
    <w:rsid w:val="003300B9"/>
    <w:rsid w:val="003303F0"/>
    <w:rsid w:val="00330716"/>
    <w:rsid w:val="00330961"/>
    <w:rsid w:val="00330CA2"/>
    <w:rsid w:val="003311B6"/>
    <w:rsid w:val="00331379"/>
    <w:rsid w:val="0033152C"/>
    <w:rsid w:val="00331B8F"/>
    <w:rsid w:val="0033226B"/>
    <w:rsid w:val="003326B4"/>
    <w:rsid w:val="00332863"/>
    <w:rsid w:val="00332A1F"/>
    <w:rsid w:val="00332CEB"/>
    <w:rsid w:val="00332E0C"/>
    <w:rsid w:val="00332FAC"/>
    <w:rsid w:val="003330B3"/>
    <w:rsid w:val="003330FF"/>
    <w:rsid w:val="0033312B"/>
    <w:rsid w:val="0033413A"/>
    <w:rsid w:val="003343FB"/>
    <w:rsid w:val="003349DE"/>
    <w:rsid w:val="00334F98"/>
    <w:rsid w:val="00335303"/>
    <w:rsid w:val="00335678"/>
    <w:rsid w:val="00335767"/>
    <w:rsid w:val="0033684D"/>
    <w:rsid w:val="003368EC"/>
    <w:rsid w:val="00337841"/>
    <w:rsid w:val="00337B42"/>
    <w:rsid w:val="00340EBA"/>
    <w:rsid w:val="003411D0"/>
    <w:rsid w:val="003417D3"/>
    <w:rsid w:val="00341B42"/>
    <w:rsid w:val="00341CDE"/>
    <w:rsid w:val="00342145"/>
    <w:rsid w:val="0034234A"/>
    <w:rsid w:val="00342A59"/>
    <w:rsid w:val="00342DD3"/>
    <w:rsid w:val="003431E2"/>
    <w:rsid w:val="0034348F"/>
    <w:rsid w:val="003437CA"/>
    <w:rsid w:val="003446A6"/>
    <w:rsid w:val="00344948"/>
    <w:rsid w:val="003449B7"/>
    <w:rsid w:val="00344B2A"/>
    <w:rsid w:val="0034553C"/>
    <w:rsid w:val="00345612"/>
    <w:rsid w:val="0034585A"/>
    <w:rsid w:val="0034618D"/>
    <w:rsid w:val="0034774D"/>
    <w:rsid w:val="00347E15"/>
    <w:rsid w:val="003500FE"/>
    <w:rsid w:val="00350191"/>
    <w:rsid w:val="003503E4"/>
    <w:rsid w:val="00350604"/>
    <w:rsid w:val="00350657"/>
    <w:rsid w:val="00350CA3"/>
    <w:rsid w:val="00351374"/>
    <w:rsid w:val="003516A1"/>
    <w:rsid w:val="00352CC6"/>
    <w:rsid w:val="00352E5C"/>
    <w:rsid w:val="00353645"/>
    <w:rsid w:val="00353CF4"/>
    <w:rsid w:val="0035400A"/>
    <w:rsid w:val="0035411C"/>
    <w:rsid w:val="0035417F"/>
    <w:rsid w:val="0035527E"/>
    <w:rsid w:val="0035527F"/>
    <w:rsid w:val="00355694"/>
    <w:rsid w:val="00355D4D"/>
    <w:rsid w:val="00356630"/>
    <w:rsid w:val="00356653"/>
    <w:rsid w:val="00356975"/>
    <w:rsid w:val="00356BEB"/>
    <w:rsid w:val="00356F95"/>
    <w:rsid w:val="0035743F"/>
    <w:rsid w:val="00357548"/>
    <w:rsid w:val="00357BE2"/>
    <w:rsid w:val="00357C07"/>
    <w:rsid w:val="00360879"/>
    <w:rsid w:val="00361183"/>
    <w:rsid w:val="0036170C"/>
    <w:rsid w:val="00361B36"/>
    <w:rsid w:val="00361D66"/>
    <w:rsid w:val="00362BD9"/>
    <w:rsid w:val="00363ACF"/>
    <w:rsid w:val="003641C0"/>
    <w:rsid w:val="00364270"/>
    <w:rsid w:val="00364831"/>
    <w:rsid w:val="003648BD"/>
    <w:rsid w:val="00364C90"/>
    <w:rsid w:val="003655AD"/>
    <w:rsid w:val="00365A49"/>
    <w:rsid w:val="003666A9"/>
    <w:rsid w:val="00366E0F"/>
    <w:rsid w:val="00367BDA"/>
    <w:rsid w:val="00370100"/>
    <w:rsid w:val="00370689"/>
    <w:rsid w:val="00371130"/>
    <w:rsid w:val="0037191B"/>
    <w:rsid w:val="003724BC"/>
    <w:rsid w:val="00372DE0"/>
    <w:rsid w:val="003737B1"/>
    <w:rsid w:val="00373843"/>
    <w:rsid w:val="00373FAF"/>
    <w:rsid w:val="003746EB"/>
    <w:rsid w:val="00375064"/>
    <w:rsid w:val="0037541C"/>
    <w:rsid w:val="00376347"/>
    <w:rsid w:val="00376B73"/>
    <w:rsid w:val="00376E12"/>
    <w:rsid w:val="0037732F"/>
    <w:rsid w:val="00377C65"/>
    <w:rsid w:val="00377D7B"/>
    <w:rsid w:val="00377DD2"/>
    <w:rsid w:val="00377F49"/>
    <w:rsid w:val="00380319"/>
    <w:rsid w:val="00380645"/>
    <w:rsid w:val="00380A2D"/>
    <w:rsid w:val="00381A72"/>
    <w:rsid w:val="003827B9"/>
    <w:rsid w:val="00382857"/>
    <w:rsid w:val="003832EC"/>
    <w:rsid w:val="00383349"/>
    <w:rsid w:val="00383503"/>
    <w:rsid w:val="0038351D"/>
    <w:rsid w:val="003838C9"/>
    <w:rsid w:val="00383E82"/>
    <w:rsid w:val="003841EB"/>
    <w:rsid w:val="00384676"/>
    <w:rsid w:val="00384BE5"/>
    <w:rsid w:val="003857C3"/>
    <w:rsid w:val="003858FC"/>
    <w:rsid w:val="00385AF0"/>
    <w:rsid w:val="00385CA8"/>
    <w:rsid w:val="00385F1E"/>
    <w:rsid w:val="00386B1C"/>
    <w:rsid w:val="00386B6C"/>
    <w:rsid w:val="003870F4"/>
    <w:rsid w:val="0038750D"/>
    <w:rsid w:val="00387FE3"/>
    <w:rsid w:val="0039056A"/>
    <w:rsid w:val="00390857"/>
    <w:rsid w:val="00392399"/>
    <w:rsid w:val="00392A45"/>
    <w:rsid w:val="0039317A"/>
    <w:rsid w:val="0039389F"/>
    <w:rsid w:val="00393B20"/>
    <w:rsid w:val="003940B4"/>
    <w:rsid w:val="00394100"/>
    <w:rsid w:val="00394728"/>
    <w:rsid w:val="00394818"/>
    <w:rsid w:val="00395086"/>
    <w:rsid w:val="003955B2"/>
    <w:rsid w:val="00395D68"/>
    <w:rsid w:val="00395FA1"/>
    <w:rsid w:val="0039687C"/>
    <w:rsid w:val="003972DC"/>
    <w:rsid w:val="003975F7"/>
    <w:rsid w:val="00397A36"/>
    <w:rsid w:val="00397B10"/>
    <w:rsid w:val="00397D73"/>
    <w:rsid w:val="003A092C"/>
    <w:rsid w:val="003A0F5C"/>
    <w:rsid w:val="003A1CE0"/>
    <w:rsid w:val="003A2462"/>
    <w:rsid w:val="003A29DD"/>
    <w:rsid w:val="003A2B37"/>
    <w:rsid w:val="003A2CA9"/>
    <w:rsid w:val="003A34A3"/>
    <w:rsid w:val="003A37E9"/>
    <w:rsid w:val="003A441C"/>
    <w:rsid w:val="003A4BF3"/>
    <w:rsid w:val="003A4D4C"/>
    <w:rsid w:val="003A598A"/>
    <w:rsid w:val="003A6320"/>
    <w:rsid w:val="003A637B"/>
    <w:rsid w:val="003A643C"/>
    <w:rsid w:val="003A67DC"/>
    <w:rsid w:val="003A69F7"/>
    <w:rsid w:val="003A6A1D"/>
    <w:rsid w:val="003A6A5B"/>
    <w:rsid w:val="003A6E4C"/>
    <w:rsid w:val="003A7EF2"/>
    <w:rsid w:val="003B0539"/>
    <w:rsid w:val="003B1006"/>
    <w:rsid w:val="003B12CD"/>
    <w:rsid w:val="003B18BC"/>
    <w:rsid w:val="003B1AD4"/>
    <w:rsid w:val="003B1E8E"/>
    <w:rsid w:val="003B1EF8"/>
    <w:rsid w:val="003B2FE3"/>
    <w:rsid w:val="003B3437"/>
    <w:rsid w:val="003B3CED"/>
    <w:rsid w:val="003B3DB3"/>
    <w:rsid w:val="003B420D"/>
    <w:rsid w:val="003B4D3C"/>
    <w:rsid w:val="003B53E9"/>
    <w:rsid w:val="003B5820"/>
    <w:rsid w:val="003B5FB3"/>
    <w:rsid w:val="003B64A3"/>
    <w:rsid w:val="003B6914"/>
    <w:rsid w:val="003B6D2F"/>
    <w:rsid w:val="003B6E6F"/>
    <w:rsid w:val="003B6F61"/>
    <w:rsid w:val="003B742B"/>
    <w:rsid w:val="003C05C6"/>
    <w:rsid w:val="003C0E3B"/>
    <w:rsid w:val="003C0FA6"/>
    <w:rsid w:val="003C1815"/>
    <w:rsid w:val="003C2032"/>
    <w:rsid w:val="003C20BC"/>
    <w:rsid w:val="003C27D0"/>
    <w:rsid w:val="003C2D70"/>
    <w:rsid w:val="003C2F45"/>
    <w:rsid w:val="003C3047"/>
    <w:rsid w:val="003C331F"/>
    <w:rsid w:val="003C348F"/>
    <w:rsid w:val="003C380B"/>
    <w:rsid w:val="003C3AF3"/>
    <w:rsid w:val="003C3CFE"/>
    <w:rsid w:val="003C411F"/>
    <w:rsid w:val="003C424B"/>
    <w:rsid w:val="003C5413"/>
    <w:rsid w:val="003C5A5B"/>
    <w:rsid w:val="003C5FE1"/>
    <w:rsid w:val="003C64DA"/>
    <w:rsid w:val="003C67F7"/>
    <w:rsid w:val="003C6C16"/>
    <w:rsid w:val="003C6EF8"/>
    <w:rsid w:val="003C77AE"/>
    <w:rsid w:val="003C782C"/>
    <w:rsid w:val="003C7DB0"/>
    <w:rsid w:val="003D034D"/>
    <w:rsid w:val="003D067E"/>
    <w:rsid w:val="003D1530"/>
    <w:rsid w:val="003D18BF"/>
    <w:rsid w:val="003D1C7D"/>
    <w:rsid w:val="003D2420"/>
    <w:rsid w:val="003D242C"/>
    <w:rsid w:val="003D26F0"/>
    <w:rsid w:val="003D2B14"/>
    <w:rsid w:val="003D2DB5"/>
    <w:rsid w:val="003D401A"/>
    <w:rsid w:val="003D4074"/>
    <w:rsid w:val="003D41C2"/>
    <w:rsid w:val="003D42FE"/>
    <w:rsid w:val="003D4FE7"/>
    <w:rsid w:val="003D563B"/>
    <w:rsid w:val="003D5E0E"/>
    <w:rsid w:val="003D654B"/>
    <w:rsid w:val="003D65CB"/>
    <w:rsid w:val="003D6922"/>
    <w:rsid w:val="003D69B3"/>
    <w:rsid w:val="003D70B4"/>
    <w:rsid w:val="003D7292"/>
    <w:rsid w:val="003D794D"/>
    <w:rsid w:val="003D7A13"/>
    <w:rsid w:val="003D7C1C"/>
    <w:rsid w:val="003E0243"/>
    <w:rsid w:val="003E04C5"/>
    <w:rsid w:val="003E0535"/>
    <w:rsid w:val="003E0CCF"/>
    <w:rsid w:val="003E117B"/>
    <w:rsid w:val="003E1548"/>
    <w:rsid w:val="003E164A"/>
    <w:rsid w:val="003E1C65"/>
    <w:rsid w:val="003E1CE1"/>
    <w:rsid w:val="003E1FC9"/>
    <w:rsid w:val="003E3058"/>
    <w:rsid w:val="003E31F6"/>
    <w:rsid w:val="003E33F7"/>
    <w:rsid w:val="003E3423"/>
    <w:rsid w:val="003E3769"/>
    <w:rsid w:val="003E3D60"/>
    <w:rsid w:val="003E43E0"/>
    <w:rsid w:val="003E4726"/>
    <w:rsid w:val="003E49F3"/>
    <w:rsid w:val="003E5374"/>
    <w:rsid w:val="003E5DD3"/>
    <w:rsid w:val="003E5EB6"/>
    <w:rsid w:val="003E614D"/>
    <w:rsid w:val="003E62A8"/>
    <w:rsid w:val="003E6EA1"/>
    <w:rsid w:val="003E76A9"/>
    <w:rsid w:val="003E774F"/>
    <w:rsid w:val="003E7E80"/>
    <w:rsid w:val="003F0809"/>
    <w:rsid w:val="003F0BC4"/>
    <w:rsid w:val="003F1932"/>
    <w:rsid w:val="003F253F"/>
    <w:rsid w:val="003F261F"/>
    <w:rsid w:val="003F2876"/>
    <w:rsid w:val="003F2D58"/>
    <w:rsid w:val="003F2D8C"/>
    <w:rsid w:val="003F32FB"/>
    <w:rsid w:val="003F37FA"/>
    <w:rsid w:val="003F38B7"/>
    <w:rsid w:val="003F3B65"/>
    <w:rsid w:val="003F43DF"/>
    <w:rsid w:val="003F4CA0"/>
    <w:rsid w:val="003F4F97"/>
    <w:rsid w:val="003F51F2"/>
    <w:rsid w:val="003F547C"/>
    <w:rsid w:val="003F56EF"/>
    <w:rsid w:val="003F59C5"/>
    <w:rsid w:val="003F5FF9"/>
    <w:rsid w:val="003F6A8C"/>
    <w:rsid w:val="003F6AD0"/>
    <w:rsid w:val="003F7367"/>
    <w:rsid w:val="003F755C"/>
    <w:rsid w:val="003F78C3"/>
    <w:rsid w:val="003F79B7"/>
    <w:rsid w:val="003F7E8C"/>
    <w:rsid w:val="00400329"/>
    <w:rsid w:val="00400472"/>
    <w:rsid w:val="004005CF"/>
    <w:rsid w:val="004008EC"/>
    <w:rsid w:val="00400F60"/>
    <w:rsid w:val="00401F87"/>
    <w:rsid w:val="00402392"/>
    <w:rsid w:val="00402627"/>
    <w:rsid w:val="00402D53"/>
    <w:rsid w:val="004031BC"/>
    <w:rsid w:val="004033DE"/>
    <w:rsid w:val="00403646"/>
    <w:rsid w:val="004038D7"/>
    <w:rsid w:val="00403A4D"/>
    <w:rsid w:val="004043D3"/>
    <w:rsid w:val="004045DC"/>
    <w:rsid w:val="00405452"/>
    <w:rsid w:val="004054AA"/>
    <w:rsid w:val="00405B34"/>
    <w:rsid w:val="00405BA8"/>
    <w:rsid w:val="00405F24"/>
    <w:rsid w:val="004063C6"/>
    <w:rsid w:val="00406C81"/>
    <w:rsid w:val="00406CB0"/>
    <w:rsid w:val="00406F01"/>
    <w:rsid w:val="00406FE9"/>
    <w:rsid w:val="00406FEC"/>
    <w:rsid w:val="004071FB"/>
    <w:rsid w:val="00407270"/>
    <w:rsid w:val="0040756D"/>
    <w:rsid w:val="00407614"/>
    <w:rsid w:val="00407CF2"/>
    <w:rsid w:val="00410DD4"/>
    <w:rsid w:val="00410E9A"/>
    <w:rsid w:val="00411528"/>
    <w:rsid w:val="00411575"/>
    <w:rsid w:val="00411651"/>
    <w:rsid w:val="0041192D"/>
    <w:rsid w:val="00411EB6"/>
    <w:rsid w:val="004120E1"/>
    <w:rsid w:val="0041262D"/>
    <w:rsid w:val="00412DF5"/>
    <w:rsid w:val="00414484"/>
    <w:rsid w:val="00415E1F"/>
    <w:rsid w:val="00415FC7"/>
    <w:rsid w:val="004165DE"/>
    <w:rsid w:val="00416790"/>
    <w:rsid w:val="00416D50"/>
    <w:rsid w:val="00416FD5"/>
    <w:rsid w:val="00417772"/>
    <w:rsid w:val="00417869"/>
    <w:rsid w:val="004178A8"/>
    <w:rsid w:val="004203E1"/>
    <w:rsid w:val="004207AC"/>
    <w:rsid w:val="00420A26"/>
    <w:rsid w:val="00420E6A"/>
    <w:rsid w:val="00421013"/>
    <w:rsid w:val="004211D6"/>
    <w:rsid w:val="00421DFB"/>
    <w:rsid w:val="00421F0A"/>
    <w:rsid w:val="00421F53"/>
    <w:rsid w:val="004221E4"/>
    <w:rsid w:val="00422638"/>
    <w:rsid w:val="0042286F"/>
    <w:rsid w:val="004230C8"/>
    <w:rsid w:val="00424755"/>
    <w:rsid w:val="00425A9E"/>
    <w:rsid w:val="004260D6"/>
    <w:rsid w:val="00426341"/>
    <w:rsid w:val="004266A9"/>
    <w:rsid w:val="004266EB"/>
    <w:rsid w:val="004269DD"/>
    <w:rsid w:val="00426D6B"/>
    <w:rsid w:val="00426DF2"/>
    <w:rsid w:val="0042734F"/>
    <w:rsid w:val="004274F6"/>
    <w:rsid w:val="00430041"/>
    <w:rsid w:val="00430134"/>
    <w:rsid w:val="004302E0"/>
    <w:rsid w:val="00430422"/>
    <w:rsid w:val="00431E6C"/>
    <w:rsid w:val="00432481"/>
    <w:rsid w:val="0043252B"/>
    <w:rsid w:val="00432CBC"/>
    <w:rsid w:val="00432F84"/>
    <w:rsid w:val="00433192"/>
    <w:rsid w:val="004331A6"/>
    <w:rsid w:val="00433546"/>
    <w:rsid w:val="00433A88"/>
    <w:rsid w:val="00433CE7"/>
    <w:rsid w:val="00433E52"/>
    <w:rsid w:val="00434CE3"/>
    <w:rsid w:val="00435EC7"/>
    <w:rsid w:val="004360E4"/>
    <w:rsid w:val="00436432"/>
    <w:rsid w:val="00436801"/>
    <w:rsid w:val="00436811"/>
    <w:rsid w:val="0043789C"/>
    <w:rsid w:val="00437C3C"/>
    <w:rsid w:val="00440E9D"/>
    <w:rsid w:val="00440F68"/>
    <w:rsid w:val="004410EF"/>
    <w:rsid w:val="004418DA"/>
    <w:rsid w:val="0044190A"/>
    <w:rsid w:val="00441B3C"/>
    <w:rsid w:val="00441C89"/>
    <w:rsid w:val="0044235E"/>
    <w:rsid w:val="00442596"/>
    <w:rsid w:val="00443E1C"/>
    <w:rsid w:val="0044507B"/>
    <w:rsid w:val="00445418"/>
    <w:rsid w:val="004454A5"/>
    <w:rsid w:val="004456D2"/>
    <w:rsid w:val="004456DC"/>
    <w:rsid w:val="004462C6"/>
    <w:rsid w:val="00446947"/>
    <w:rsid w:val="00446EB7"/>
    <w:rsid w:val="00447262"/>
    <w:rsid w:val="00447B5E"/>
    <w:rsid w:val="004504E3"/>
    <w:rsid w:val="004505CF"/>
    <w:rsid w:val="0045071B"/>
    <w:rsid w:val="0045073E"/>
    <w:rsid w:val="004511F0"/>
    <w:rsid w:val="00451256"/>
    <w:rsid w:val="00451613"/>
    <w:rsid w:val="004517B0"/>
    <w:rsid w:val="00452303"/>
    <w:rsid w:val="00452738"/>
    <w:rsid w:val="0045279B"/>
    <w:rsid w:val="00452FA7"/>
    <w:rsid w:val="004532F0"/>
    <w:rsid w:val="00453524"/>
    <w:rsid w:val="004535C7"/>
    <w:rsid w:val="00453797"/>
    <w:rsid w:val="00453AF3"/>
    <w:rsid w:val="004546A9"/>
    <w:rsid w:val="00454C75"/>
    <w:rsid w:val="00454C96"/>
    <w:rsid w:val="00455577"/>
    <w:rsid w:val="00455A31"/>
    <w:rsid w:val="00455FEC"/>
    <w:rsid w:val="00456005"/>
    <w:rsid w:val="00456091"/>
    <w:rsid w:val="004562DE"/>
    <w:rsid w:val="00456EB4"/>
    <w:rsid w:val="00456F46"/>
    <w:rsid w:val="00457798"/>
    <w:rsid w:val="00457C9C"/>
    <w:rsid w:val="00457D53"/>
    <w:rsid w:val="00457D54"/>
    <w:rsid w:val="0046000C"/>
    <w:rsid w:val="004603A3"/>
    <w:rsid w:val="004607D4"/>
    <w:rsid w:val="004612D8"/>
    <w:rsid w:val="004614F9"/>
    <w:rsid w:val="00461F6F"/>
    <w:rsid w:val="004622FA"/>
    <w:rsid w:val="0046290C"/>
    <w:rsid w:val="00462AD1"/>
    <w:rsid w:val="00463595"/>
    <w:rsid w:val="00465052"/>
    <w:rsid w:val="00466321"/>
    <w:rsid w:val="00467018"/>
    <w:rsid w:val="004679F8"/>
    <w:rsid w:val="0047027A"/>
    <w:rsid w:val="004707FD"/>
    <w:rsid w:val="00470D4E"/>
    <w:rsid w:val="004718AC"/>
    <w:rsid w:val="00472CCA"/>
    <w:rsid w:val="00473574"/>
    <w:rsid w:val="004737FE"/>
    <w:rsid w:val="00473ED2"/>
    <w:rsid w:val="004745C5"/>
    <w:rsid w:val="004745C9"/>
    <w:rsid w:val="0047498B"/>
    <w:rsid w:val="00474C93"/>
    <w:rsid w:val="00474D62"/>
    <w:rsid w:val="0047584E"/>
    <w:rsid w:val="00475944"/>
    <w:rsid w:val="00475C25"/>
    <w:rsid w:val="00475E47"/>
    <w:rsid w:val="00475FE5"/>
    <w:rsid w:val="004762BE"/>
    <w:rsid w:val="0048020B"/>
    <w:rsid w:val="00480CC3"/>
    <w:rsid w:val="00480F7E"/>
    <w:rsid w:val="004812CD"/>
    <w:rsid w:val="0048166D"/>
    <w:rsid w:val="004826B4"/>
    <w:rsid w:val="00482EAB"/>
    <w:rsid w:val="00482F84"/>
    <w:rsid w:val="004830E7"/>
    <w:rsid w:val="00483302"/>
    <w:rsid w:val="00483650"/>
    <w:rsid w:val="004837AC"/>
    <w:rsid w:val="00483C8B"/>
    <w:rsid w:val="00484B9B"/>
    <w:rsid w:val="00484C1E"/>
    <w:rsid w:val="00484FBF"/>
    <w:rsid w:val="0048510B"/>
    <w:rsid w:val="0048522D"/>
    <w:rsid w:val="0048527C"/>
    <w:rsid w:val="004854B5"/>
    <w:rsid w:val="004855F6"/>
    <w:rsid w:val="0048592F"/>
    <w:rsid w:val="004859A2"/>
    <w:rsid w:val="004863E6"/>
    <w:rsid w:val="0048661E"/>
    <w:rsid w:val="004874E4"/>
    <w:rsid w:val="0049058D"/>
    <w:rsid w:val="00491ABD"/>
    <w:rsid w:val="0049226E"/>
    <w:rsid w:val="0049299E"/>
    <w:rsid w:val="00492F6C"/>
    <w:rsid w:val="004933A7"/>
    <w:rsid w:val="004933D0"/>
    <w:rsid w:val="00493991"/>
    <w:rsid w:val="00493FC0"/>
    <w:rsid w:val="004945A5"/>
    <w:rsid w:val="00494670"/>
    <w:rsid w:val="00494D23"/>
    <w:rsid w:val="00494F95"/>
    <w:rsid w:val="00495A02"/>
    <w:rsid w:val="004975E0"/>
    <w:rsid w:val="004975FF"/>
    <w:rsid w:val="004A01AF"/>
    <w:rsid w:val="004A055D"/>
    <w:rsid w:val="004A08AE"/>
    <w:rsid w:val="004A0EDD"/>
    <w:rsid w:val="004A12E5"/>
    <w:rsid w:val="004A1D83"/>
    <w:rsid w:val="004A2205"/>
    <w:rsid w:val="004A2E2F"/>
    <w:rsid w:val="004A3823"/>
    <w:rsid w:val="004A39DF"/>
    <w:rsid w:val="004A3DF6"/>
    <w:rsid w:val="004A42B7"/>
    <w:rsid w:val="004A49EC"/>
    <w:rsid w:val="004A4E69"/>
    <w:rsid w:val="004A51C8"/>
    <w:rsid w:val="004A5760"/>
    <w:rsid w:val="004A5DD7"/>
    <w:rsid w:val="004A622F"/>
    <w:rsid w:val="004A6EA3"/>
    <w:rsid w:val="004A716D"/>
    <w:rsid w:val="004A7822"/>
    <w:rsid w:val="004A7BA1"/>
    <w:rsid w:val="004B040F"/>
    <w:rsid w:val="004B0D68"/>
    <w:rsid w:val="004B10C5"/>
    <w:rsid w:val="004B15CC"/>
    <w:rsid w:val="004B2009"/>
    <w:rsid w:val="004B2053"/>
    <w:rsid w:val="004B214D"/>
    <w:rsid w:val="004B2703"/>
    <w:rsid w:val="004B2866"/>
    <w:rsid w:val="004B3318"/>
    <w:rsid w:val="004B3360"/>
    <w:rsid w:val="004B3420"/>
    <w:rsid w:val="004B3D95"/>
    <w:rsid w:val="004B429C"/>
    <w:rsid w:val="004B4682"/>
    <w:rsid w:val="004B4751"/>
    <w:rsid w:val="004B5159"/>
    <w:rsid w:val="004B546D"/>
    <w:rsid w:val="004B5D2F"/>
    <w:rsid w:val="004B5E12"/>
    <w:rsid w:val="004B67FE"/>
    <w:rsid w:val="004B7047"/>
    <w:rsid w:val="004B7131"/>
    <w:rsid w:val="004B7457"/>
    <w:rsid w:val="004C022A"/>
    <w:rsid w:val="004C035B"/>
    <w:rsid w:val="004C03E1"/>
    <w:rsid w:val="004C0A08"/>
    <w:rsid w:val="004C0E33"/>
    <w:rsid w:val="004C1EE5"/>
    <w:rsid w:val="004C2248"/>
    <w:rsid w:val="004C24A0"/>
    <w:rsid w:val="004C2561"/>
    <w:rsid w:val="004C2D66"/>
    <w:rsid w:val="004C2E40"/>
    <w:rsid w:val="004C315E"/>
    <w:rsid w:val="004C398C"/>
    <w:rsid w:val="004C3F94"/>
    <w:rsid w:val="004C4060"/>
    <w:rsid w:val="004C6436"/>
    <w:rsid w:val="004C680F"/>
    <w:rsid w:val="004C73F2"/>
    <w:rsid w:val="004C75F1"/>
    <w:rsid w:val="004C79F0"/>
    <w:rsid w:val="004C7F62"/>
    <w:rsid w:val="004D0653"/>
    <w:rsid w:val="004D06E1"/>
    <w:rsid w:val="004D0BBA"/>
    <w:rsid w:val="004D114E"/>
    <w:rsid w:val="004D1401"/>
    <w:rsid w:val="004D2682"/>
    <w:rsid w:val="004D2F8D"/>
    <w:rsid w:val="004D3112"/>
    <w:rsid w:val="004D3348"/>
    <w:rsid w:val="004D3505"/>
    <w:rsid w:val="004D3F89"/>
    <w:rsid w:val="004D3FF8"/>
    <w:rsid w:val="004D51EB"/>
    <w:rsid w:val="004D537F"/>
    <w:rsid w:val="004D5919"/>
    <w:rsid w:val="004D5A62"/>
    <w:rsid w:val="004D5AD8"/>
    <w:rsid w:val="004D665D"/>
    <w:rsid w:val="004D6EC7"/>
    <w:rsid w:val="004D6F6D"/>
    <w:rsid w:val="004D76BB"/>
    <w:rsid w:val="004E0604"/>
    <w:rsid w:val="004E0C3B"/>
    <w:rsid w:val="004E187F"/>
    <w:rsid w:val="004E1A68"/>
    <w:rsid w:val="004E26AB"/>
    <w:rsid w:val="004E26B0"/>
    <w:rsid w:val="004E35B2"/>
    <w:rsid w:val="004E39E1"/>
    <w:rsid w:val="004E39EC"/>
    <w:rsid w:val="004E46A3"/>
    <w:rsid w:val="004E49A9"/>
    <w:rsid w:val="004E4D58"/>
    <w:rsid w:val="004E606C"/>
    <w:rsid w:val="004E6162"/>
    <w:rsid w:val="004E63F5"/>
    <w:rsid w:val="004E66EE"/>
    <w:rsid w:val="004E681D"/>
    <w:rsid w:val="004E6946"/>
    <w:rsid w:val="004E6BC7"/>
    <w:rsid w:val="004E6CBD"/>
    <w:rsid w:val="004E6D5D"/>
    <w:rsid w:val="004E7547"/>
    <w:rsid w:val="004F0004"/>
    <w:rsid w:val="004F070A"/>
    <w:rsid w:val="004F0781"/>
    <w:rsid w:val="004F0B31"/>
    <w:rsid w:val="004F0F04"/>
    <w:rsid w:val="004F0FF6"/>
    <w:rsid w:val="004F10DD"/>
    <w:rsid w:val="004F1133"/>
    <w:rsid w:val="004F198C"/>
    <w:rsid w:val="004F1AD8"/>
    <w:rsid w:val="004F23C8"/>
    <w:rsid w:val="004F2BE6"/>
    <w:rsid w:val="004F2D3A"/>
    <w:rsid w:val="004F2EA3"/>
    <w:rsid w:val="004F3746"/>
    <w:rsid w:val="004F390B"/>
    <w:rsid w:val="004F416E"/>
    <w:rsid w:val="004F4BFB"/>
    <w:rsid w:val="004F4EB2"/>
    <w:rsid w:val="004F5198"/>
    <w:rsid w:val="004F53F2"/>
    <w:rsid w:val="004F6288"/>
    <w:rsid w:val="004F64FA"/>
    <w:rsid w:val="004F67DC"/>
    <w:rsid w:val="004F68E3"/>
    <w:rsid w:val="004F6D87"/>
    <w:rsid w:val="004F72E5"/>
    <w:rsid w:val="004F7FA1"/>
    <w:rsid w:val="004F7FFC"/>
    <w:rsid w:val="00500059"/>
    <w:rsid w:val="00500135"/>
    <w:rsid w:val="00501D2C"/>
    <w:rsid w:val="0050277E"/>
    <w:rsid w:val="00502B04"/>
    <w:rsid w:val="00502F9D"/>
    <w:rsid w:val="005035FA"/>
    <w:rsid w:val="005039CB"/>
    <w:rsid w:val="00504266"/>
    <w:rsid w:val="00504994"/>
    <w:rsid w:val="00504F23"/>
    <w:rsid w:val="00505147"/>
    <w:rsid w:val="0050558F"/>
    <w:rsid w:val="00505687"/>
    <w:rsid w:val="00505896"/>
    <w:rsid w:val="00505E89"/>
    <w:rsid w:val="00505F99"/>
    <w:rsid w:val="00506286"/>
    <w:rsid w:val="005064F0"/>
    <w:rsid w:val="00506596"/>
    <w:rsid w:val="00506EE4"/>
    <w:rsid w:val="00507402"/>
    <w:rsid w:val="00507492"/>
    <w:rsid w:val="00507D3F"/>
    <w:rsid w:val="005106B3"/>
    <w:rsid w:val="00510813"/>
    <w:rsid w:val="00510AA2"/>
    <w:rsid w:val="005115AC"/>
    <w:rsid w:val="00511990"/>
    <w:rsid w:val="00511DE0"/>
    <w:rsid w:val="00512153"/>
    <w:rsid w:val="00512263"/>
    <w:rsid w:val="00512871"/>
    <w:rsid w:val="00512A16"/>
    <w:rsid w:val="00512CDD"/>
    <w:rsid w:val="00513004"/>
    <w:rsid w:val="00513196"/>
    <w:rsid w:val="00513807"/>
    <w:rsid w:val="00514870"/>
    <w:rsid w:val="00514972"/>
    <w:rsid w:val="00514B9B"/>
    <w:rsid w:val="00515485"/>
    <w:rsid w:val="00516197"/>
    <w:rsid w:val="00516311"/>
    <w:rsid w:val="00516CF9"/>
    <w:rsid w:val="00516E5A"/>
    <w:rsid w:val="0051789C"/>
    <w:rsid w:val="00517C7D"/>
    <w:rsid w:val="00517F02"/>
    <w:rsid w:val="00520510"/>
    <w:rsid w:val="0052243F"/>
    <w:rsid w:val="005224FD"/>
    <w:rsid w:val="00522550"/>
    <w:rsid w:val="00522919"/>
    <w:rsid w:val="00522C1F"/>
    <w:rsid w:val="0052336A"/>
    <w:rsid w:val="005237BD"/>
    <w:rsid w:val="00523EE4"/>
    <w:rsid w:val="0052410D"/>
    <w:rsid w:val="00524303"/>
    <w:rsid w:val="0052435B"/>
    <w:rsid w:val="005244AB"/>
    <w:rsid w:val="005246D8"/>
    <w:rsid w:val="00524C29"/>
    <w:rsid w:val="00524E3F"/>
    <w:rsid w:val="00525373"/>
    <w:rsid w:val="005258A2"/>
    <w:rsid w:val="00525EEF"/>
    <w:rsid w:val="00526274"/>
    <w:rsid w:val="00526809"/>
    <w:rsid w:val="00526937"/>
    <w:rsid w:val="00526D0D"/>
    <w:rsid w:val="00526DBB"/>
    <w:rsid w:val="00526F13"/>
    <w:rsid w:val="00527755"/>
    <w:rsid w:val="00527C50"/>
    <w:rsid w:val="005303D1"/>
    <w:rsid w:val="00530F46"/>
    <w:rsid w:val="00531165"/>
    <w:rsid w:val="00532685"/>
    <w:rsid w:val="005326D2"/>
    <w:rsid w:val="00532AC7"/>
    <w:rsid w:val="00532D5D"/>
    <w:rsid w:val="00532F2D"/>
    <w:rsid w:val="00533C40"/>
    <w:rsid w:val="005342C1"/>
    <w:rsid w:val="0053468E"/>
    <w:rsid w:val="00534CA3"/>
    <w:rsid w:val="00535407"/>
    <w:rsid w:val="00535546"/>
    <w:rsid w:val="0053600E"/>
    <w:rsid w:val="00536AC5"/>
    <w:rsid w:val="00536C51"/>
    <w:rsid w:val="005370FF"/>
    <w:rsid w:val="005371B1"/>
    <w:rsid w:val="00537435"/>
    <w:rsid w:val="0053778F"/>
    <w:rsid w:val="00537ACD"/>
    <w:rsid w:val="00537EB7"/>
    <w:rsid w:val="005401AE"/>
    <w:rsid w:val="0054072F"/>
    <w:rsid w:val="0054081D"/>
    <w:rsid w:val="00541001"/>
    <w:rsid w:val="00541644"/>
    <w:rsid w:val="0054246C"/>
    <w:rsid w:val="005425D2"/>
    <w:rsid w:val="00542E07"/>
    <w:rsid w:val="00542E89"/>
    <w:rsid w:val="00543319"/>
    <w:rsid w:val="0054363B"/>
    <w:rsid w:val="0054475C"/>
    <w:rsid w:val="00545424"/>
    <w:rsid w:val="0054580D"/>
    <w:rsid w:val="00545F79"/>
    <w:rsid w:val="00546E28"/>
    <w:rsid w:val="00550C6A"/>
    <w:rsid w:val="005515A5"/>
    <w:rsid w:val="00551968"/>
    <w:rsid w:val="00551C29"/>
    <w:rsid w:val="00552556"/>
    <w:rsid w:val="005526C2"/>
    <w:rsid w:val="00552887"/>
    <w:rsid w:val="00553127"/>
    <w:rsid w:val="00553408"/>
    <w:rsid w:val="00554301"/>
    <w:rsid w:val="005545E5"/>
    <w:rsid w:val="00554A7B"/>
    <w:rsid w:val="00554F56"/>
    <w:rsid w:val="005555F1"/>
    <w:rsid w:val="0055572C"/>
    <w:rsid w:val="00555D1C"/>
    <w:rsid w:val="00555F63"/>
    <w:rsid w:val="00556BD9"/>
    <w:rsid w:val="00557751"/>
    <w:rsid w:val="00560338"/>
    <w:rsid w:val="00560FF8"/>
    <w:rsid w:val="0056106A"/>
    <w:rsid w:val="0056107D"/>
    <w:rsid w:val="00561180"/>
    <w:rsid w:val="00564465"/>
    <w:rsid w:val="005650BE"/>
    <w:rsid w:val="00565FBE"/>
    <w:rsid w:val="005661FE"/>
    <w:rsid w:val="00566AB8"/>
    <w:rsid w:val="00566B43"/>
    <w:rsid w:val="00567F16"/>
    <w:rsid w:val="00570E0E"/>
    <w:rsid w:val="005712DD"/>
    <w:rsid w:val="005720AE"/>
    <w:rsid w:val="005720B2"/>
    <w:rsid w:val="005727F0"/>
    <w:rsid w:val="00572B02"/>
    <w:rsid w:val="0057398E"/>
    <w:rsid w:val="00573CA7"/>
    <w:rsid w:val="005744C7"/>
    <w:rsid w:val="00574CE6"/>
    <w:rsid w:val="0057592B"/>
    <w:rsid w:val="00575BE2"/>
    <w:rsid w:val="00575DC1"/>
    <w:rsid w:val="00576887"/>
    <w:rsid w:val="00576AE2"/>
    <w:rsid w:val="00576E4B"/>
    <w:rsid w:val="0057797F"/>
    <w:rsid w:val="00577BBE"/>
    <w:rsid w:val="005801C5"/>
    <w:rsid w:val="00580C34"/>
    <w:rsid w:val="0058193F"/>
    <w:rsid w:val="00581C2F"/>
    <w:rsid w:val="005829A8"/>
    <w:rsid w:val="005846E5"/>
    <w:rsid w:val="00584717"/>
    <w:rsid w:val="0058523D"/>
    <w:rsid w:val="00585350"/>
    <w:rsid w:val="005854F9"/>
    <w:rsid w:val="00585648"/>
    <w:rsid w:val="00585B63"/>
    <w:rsid w:val="00585F3B"/>
    <w:rsid w:val="0058664F"/>
    <w:rsid w:val="005869EF"/>
    <w:rsid w:val="00586F77"/>
    <w:rsid w:val="0058746F"/>
    <w:rsid w:val="00587E5A"/>
    <w:rsid w:val="00590BCB"/>
    <w:rsid w:val="0059141D"/>
    <w:rsid w:val="00591DCB"/>
    <w:rsid w:val="00591ED5"/>
    <w:rsid w:val="00592873"/>
    <w:rsid w:val="00593184"/>
    <w:rsid w:val="00593208"/>
    <w:rsid w:val="00593A8A"/>
    <w:rsid w:val="00593EC4"/>
    <w:rsid w:val="00594AEA"/>
    <w:rsid w:val="00594D77"/>
    <w:rsid w:val="005951D8"/>
    <w:rsid w:val="005959EF"/>
    <w:rsid w:val="00595A94"/>
    <w:rsid w:val="00595B31"/>
    <w:rsid w:val="005969E4"/>
    <w:rsid w:val="00596AC6"/>
    <w:rsid w:val="005972DD"/>
    <w:rsid w:val="00597907"/>
    <w:rsid w:val="00597C77"/>
    <w:rsid w:val="005A0255"/>
    <w:rsid w:val="005A0391"/>
    <w:rsid w:val="005A0519"/>
    <w:rsid w:val="005A06B7"/>
    <w:rsid w:val="005A0839"/>
    <w:rsid w:val="005A0D3D"/>
    <w:rsid w:val="005A16AE"/>
    <w:rsid w:val="005A1759"/>
    <w:rsid w:val="005A1E28"/>
    <w:rsid w:val="005A25E5"/>
    <w:rsid w:val="005A2717"/>
    <w:rsid w:val="005A2ADC"/>
    <w:rsid w:val="005A2AEC"/>
    <w:rsid w:val="005A2E2F"/>
    <w:rsid w:val="005A313E"/>
    <w:rsid w:val="005A34A3"/>
    <w:rsid w:val="005A37AF"/>
    <w:rsid w:val="005A43E2"/>
    <w:rsid w:val="005A44AA"/>
    <w:rsid w:val="005A46EA"/>
    <w:rsid w:val="005A48AC"/>
    <w:rsid w:val="005A4928"/>
    <w:rsid w:val="005A51B7"/>
    <w:rsid w:val="005A58E5"/>
    <w:rsid w:val="005A5B9B"/>
    <w:rsid w:val="005A5F59"/>
    <w:rsid w:val="005A5F95"/>
    <w:rsid w:val="005A6151"/>
    <w:rsid w:val="005A6312"/>
    <w:rsid w:val="005A6367"/>
    <w:rsid w:val="005A6563"/>
    <w:rsid w:val="005A68A7"/>
    <w:rsid w:val="005A6926"/>
    <w:rsid w:val="005A73B7"/>
    <w:rsid w:val="005A7450"/>
    <w:rsid w:val="005A752A"/>
    <w:rsid w:val="005A7EFA"/>
    <w:rsid w:val="005B14A9"/>
    <w:rsid w:val="005B2582"/>
    <w:rsid w:val="005B26CB"/>
    <w:rsid w:val="005B2A34"/>
    <w:rsid w:val="005B2C95"/>
    <w:rsid w:val="005B2D2D"/>
    <w:rsid w:val="005B2F8A"/>
    <w:rsid w:val="005B382E"/>
    <w:rsid w:val="005B3AC7"/>
    <w:rsid w:val="005B4247"/>
    <w:rsid w:val="005B4350"/>
    <w:rsid w:val="005B5348"/>
    <w:rsid w:val="005B5A5E"/>
    <w:rsid w:val="005B64DA"/>
    <w:rsid w:val="005B7411"/>
    <w:rsid w:val="005C0879"/>
    <w:rsid w:val="005C0FE9"/>
    <w:rsid w:val="005C10C6"/>
    <w:rsid w:val="005C15DD"/>
    <w:rsid w:val="005C1DED"/>
    <w:rsid w:val="005C2326"/>
    <w:rsid w:val="005C31ED"/>
    <w:rsid w:val="005C329B"/>
    <w:rsid w:val="005C3AAB"/>
    <w:rsid w:val="005C40C2"/>
    <w:rsid w:val="005C4279"/>
    <w:rsid w:val="005C43A8"/>
    <w:rsid w:val="005C43E8"/>
    <w:rsid w:val="005C4FFB"/>
    <w:rsid w:val="005C51AE"/>
    <w:rsid w:val="005C5329"/>
    <w:rsid w:val="005C56F7"/>
    <w:rsid w:val="005C5928"/>
    <w:rsid w:val="005C6998"/>
    <w:rsid w:val="005C6C03"/>
    <w:rsid w:val="005C713A"/>
    <w:rsid w:val="005C745E"/>
    <w:rsid w:val="005D05CE"/>
    <w:rsid w:val="005D0708"/>
    <w:rsid w:val="005D099B"/>
    <w:rsid w:val="005D0A20"/>
    <w:rsid w:val="005D0C67"/>
    <w:rsid w:val="005D0C7E"/>
    <w:rsid w:val="005D1557"/>
    <w:rsid w:val="005D1C97"/>
    <w:rsid w:val="005D21FC"/>
    <w:rsid w:val="005D34C6"/>
    <w:rsid w:val="005D36AB"/>
    <w:rsid w:val="005D36ED"/>
    <w:rsid w:val="005D39F9"/>
    <w:rsid w:val="005D3E8D"/>
    <w:rsid w:val="005D48F0"/>
    <w:rsid w:val="005D5872"/>
    <w:rsid w:val="005D59AF"/>
    <w:rsid w:val="005D605B"/>
    <w:rsid w:val="005D60FD"/>
    <w:rsid w:val="005D6127"/>
    <w:rsid w:val="005D647A"/>
    <w:rsid w:val="005D6581"/>
    <w:rsid w:val="005D6F92"/>
    <w:rsid w:val="005D7442"/>
    <w:rsid w:val="005D7753"/>
    <w:rsid w:val="005D7C92"/>
    <w:rsid w:val="005D7FC9"/>
    <w:rsid w:val="005E052B"/>
    <w:rsid w:val="005E0549"/>
    <w:rsid w:val="005E078C"/>
    <w:rsid w:val="005E091E"/>
    <w:rsid w:val="005E1C9C"/>
    <w:rsid w:val="005E1EB3"/>
    <w:rsid w:val="005E1EFE"/>
    <w:rsid w:val="005E2749"/>
    <w:rsid w:val="005E2B45"/>
    <w:rsid w:val="005E2EA2"/>
    <w:rsid w:val="005E3FA1"/>
    <w:rsid w:val="005E3FEA"/>
    <w:rsid w:val="005E4B21"/>
    <w:rsid w:val="005E4BFA"/>
    <w:rsid w:val="005E5164"/>
    <w:rsid w:val="005E56AD"/>
    <w:rsid w:val="005E582D"/>
    <w:rsid w:val="005E5BFF"/>
    <w:rsid w:val="005E5D45"/>
    <w:rsid w:val="005E5EA5"/>
    <w:rsid w:val="005E66AA"/>
    <w:rsid w:val="005E6EA5"/>
    <w:rsid w:val="005E70BE"/>
    <w:rsid w:val="005E7DEE"/>
    <w:rsid w:val="005E7F04"/>
    <w:rsid w:val="005F0052"/>
    <w:rsid w:val="005F01BA"/>
    <w:rsid w:val="005F0E41"/>
    <w:rsid w:val="005F15A2"/>
    <w:rsid w:val="005F1D9F"/>
    <w:rsid w:val="005F228D"/>
    <w:rsid w:val="005F24F8"/>
    <w:rsid w:val="005F31FB"/>
    <w:rsid w:val="005F33AD"/>
    <w:rsid w:val="005F3B20"/>
    <w:rsid w:val="005F44C1"/>
    <w:rsid w:val="005F4FB9"/>
    <w:rsid w:val="005F5021"/>
    <w:rsid w:val="005F55FF"/>
    <w:rsid w:val="005F5623"/>
    <w:rsid w:val="005F5876"/>
    <w:rsid w:val="005F5D14"/>
    <w:rsid w:val="005F637E"/>
    <w:rsid w:val="005F6390"/>
    <w:rsid w:val="005F6402"/>
    <w:rsid w:val="005F6AFA"/>
    <w:rsid w:val="005F74A7"/>
    <w:rsid w:val="005F7A78"/>
    <w:rsid w:val="00601C30"/>
    <w:rsid w:val="00602564"/>
    <w:rsid w:val="0060293C"/>
    <w:rsid w:val="00603767"/>
    <w:rsid w:val="00603B00"/>
    <w:rsid w:val="006043F1"/>
    <w:rsid w:val="00604B7E"/>
    <w:rsid w:val="00604DFB"/>
    <w:rsid w:val="006058DE"/>
    <w:rsid w:val="006061BD"/>
    <w:rsid w:val="006062AB"/>
    <w:rsid w:val="00606353"/>
    <w:rsid w:val="0060651B"/>
    <w:rsid w:val="00606E13"/>
    <w:rsid w:val="00607738"/>
    <w:rsid w:val="00607CD3"/>
    <w:rsid w:val="006100D8"/>
    <w:rsid w:val="00610493"/>
    <w:rsid w:val="006109E9"/>
    <w:rsid w:val="00610ACD"/>
    <w:rsid w:val="00611672"/>
    <w:rsid w:val="0061170B"/>
    <w:rsid w:val="00612192"/>
    <w:rsid w:val="00612B38"/>
    <w:rsid w:val="00613187"/>
    <w:rsid w:val="0061381A"/>
    <w:rsid w:val="00613B9C"/>
    <w:rsid w:val="00614069"/>
    <w:rsid w:val="00614333"/>
    <w:rsid w:val="006149CA"/>
    <w:rsid w:val="0061504D"/>
    <w:rsid w:val="00615268"/>
    <w:rsid w:val="00615511"/>
    <w:rsid w:val="0061572B"/>
    <w:rsid w:val="00615ACB"/>
    <w:rsid w:val="00615F83"/>
    <w:rsid w:val="00616B7E"/>
    <w:rsid w:val="00616D48"/>
    <w:rsid w:val="00616FC9"/>
    <w:rsid w:val="00617CC3"/>
    <w:rsid w:val="00617CE9"/>
    <w:rsid w:val="00620BD8"/>
    <w:rsid w:val="0062140C"/>
    <w:rsid w:val="006220C7"/>
    <w:rsid w:val="0062242B"/>
    <w:rsid w:val="006224E0"/>
    <w:rsid w:val="00622B39"/>
    <w:rsid w:val="0062354E"/>
    <w:rsid w:val="00623959"/>
    <w:rsid w:val="00623E12"/>
    <w:rsid w:val="0062407B"/>
    <w:rsid w:val="006244EF"/>
    <w:rsid w:val="00624987"/>
    <w:rsid w:val="00624B14"/>
    <w:rsid w:val="00625F4C"/>
    <w:rsid w:val="00626582"/>
    <w:rsid w:val="0062694E"/>
    <w:rsid w:val="00626B5D"/>
    <w:rsid w:val="00626EA1"/>
    <w:rsid w:val="00626F02"/>
    <w:rsid w:val="00627312"/>
    <w:rsid w:val="00627477"/>
    <w:rsid w:val="00627585"/>
    <w:rsid w:val="006304B1"/>
    <w:rsid w:val="00630621"/>
    <w:rsid w:val="00630D26"/>
    <w:rsid w:val="0063160B"/>
    <w:rsid w:val="00631736"/>
    <w:rsid w:val="00631B7A"/>
    <w:rsid w:val="00631C86"/>
    <w:rsid w:val="006329A4"/>
    <w:rsid w:val="00632EA2"/>
    <w:rsid w:val="00632EBD"/>
    <w:rsid w:val="00633C5A"/>
    <w:rsid w:val="00634825"/>
    <w:rsid w:val="00634A6C"/>
    <w:rsid w:val="00634F4D"/>
    <w:rsid w:val="0063509D"/>
    <w:rsid w:val="00635C47"/>
    <w:rsid w:val="00635F68"/>
    <w:rsid w:val="00636B90"/>
    <w:rsid w:val="00637705"/>
    <w:rsid w:val="006377A6"/>
    <w:rsid w:val="00637A3D"/>
    <w:rsid w:val="006408E4"/>
    <w:rsid w:val="0064093A"/>
    <w:rsid w:val="00640C35"/>
    <w:rsid w:val="006411EF"/>
    <w:rsid w:val="00641240"/>
    <w:rsid w:val="00641921"/>
    <w:rsid w:val="00641C88"/>
    <w:rsid w:val="006424E0"/>
    <w:rsid w:val="00642B45"/>
    <w:rsid w:val="00642FB7"/>
    <w:rsid w:val="006431A2"/>
    <w:rsid w:val="00643E16"/>
    <w:rsid w:val="00644BF0"/>
    <w:rsid w:val="00644E7F"/>
    <w:rsid w:val="006450E2"/>
    <w:rsid w:val="00645AB4"/>
    <w:rsid w:val="006464DD"/>
    <w:rsid w:val="006467E1"/>
    <w:rsid w:val="00646DDB"/>
    <w:rsid w:val="00646F06"/>
    <w:rsid w:val="00647178"/>
    <w:rsid w:val="00650D3F"/>
    <w:rsid w:val="0065143E"/>
    <w:rsid w:val="006518D3"/>
    <w:rsid w:val="00651E63"/>
    <w:rsid w:val="00652A9A"/>
    <w:rsid w:val="00652BB0"/>
    <w:rsid w:val="0065304C"/>
    <w:rsid w:val="00653180"/>
    <w:rsid w:val="00653485"/>
    <w:rsid w:val="00653CE1"/>
    <w:rsid w:val="00653FC5"/>
    <w:rsid w:val="00654154"/>
    <w:rsid w:val="00654252"/>
    <w:rsid w:val="00654352"/>
    <w:rsid w:val="00654C4A"/>
    <w:rsid w:val="0065526D"/>
    <w:rsid w:val="006557E3"/>
    <w:rsid w:val="00655A57"/>
    <w:rsid w:val="006564F9"/>
    <w:rsid w:val="006567D8"/>
    <w:rsid w:val="0065797F"/>
    <w:rsid w:val="00657E92"/>
    <w:rsid w:val="00660227"/>
    <w:rsid w:val="00660277"/>
    <w:rsid w:val="006604AC"/>
    <w:rsid w:val="006605BA"/>
    <w:rsid w:val="006608CC"/>
    <w:rsid w:val="00660BD2"/>
    <w:rsid w:val="0066158F"/>
    <w:rsid w:val="006623C4"/>
    <w:rsid w:val="00662496"/>
    <w:rsid w:val="00663EF9"/>
    <w:rsid w:val="0066438F"/>
    <w:rsid w:val="00664577"/>
    <w:rsid w:val="006645F8"/>
    <w:rsid w:val="0066472E"/>
    <w:rsid w:val="00664D4D"/>
    <w:rsid w:val="00664E37"/>
    <w:rsid w:val="00664ED3"/>
    <w:rsid w:val="00665750"/>
    <w:rsid w:val="00665A15"/>
    <w:rsid w:val="00665E9C"/>
    <w:rsid w:val="00666346"/>
    <w:rsid w:val="00667027"/>
    <w:rsid w:val="00667763"/>
    <w:rsid w:val="00667EEB"/>
    <w:rsid w:val="0067098F"/>
    <w:rsid w:val="00670F61"/>
    <w:rsid w:val="00671309"/>
    <w:rsid w:val="00671425"/>
    <w:rsid w:val="00671766"/>
    <w:rsid w:val="00671A3C"/>
    <w:rsid w:val="00672066"/>
    <w:rsid w:val="00672266"/>
    <w:rsid w:val="00673315"/>
    <w:rsid w:val="006737F5"/>
    <w:rsid w:val="006738FC"/>
    <w:rsid w:val="00673D02"/>
    <w:rsid w:val="00673F27"/>
    <w:rsid w:val="00674802"/>
    <w:rsid w:val="006748B8"/>
    <w:rsid w:val="006749D2"/>
    <w:rsid w:val="00674C21"/>
    <w:rsid w:val="00675161"/>
    <w:rsid w:val="0067553B"/>
    <w:rsid w:val="006756F9"/>
    <w:rsid w:val="0067577F"/>
    <w:rsid w:val="00675A31"/>
    <w:rsid w:val="00676496"/>
    <w:rsid w:val="00676DB7"/>
    <w:rsid w:val="006775C3"/>
    <w:rsid w:val="00677D78"/>
    <w:rsid w:val="00680134"/>
    <w:rsid w:val="0068021D"/>
    <w:rsid w:val="00680BAF"/>
    <w:rsid w:val="00680E18"/>
    <w:rsid w:val="00680E3F"/>
    <w:rsid w:val="00682067"/>
    <w:rsid w:val="006823C8"/>
    <w:rsid w:val="006825FA"/>
    <w:rsid w:val="00682AAC"/>
    <w:rsid w:val="00682D99"/>
    <w:rsid w:val="00682DB3"/>
    <w:rsid w:val="00682EE5"/>
    <w:rsid w:val="0068311A"/>
    <w:rsid w:val="006831AF"/>
    <w:rsid w:val="00683288"/>
    <w:rsid w:val="00684445"/>
    <w:rsid w:val="0068499F"/>
    <w:rsid w:val="00685A53"/>
    <w:rsid w:val="00686C88"/>
    <w:rsid w:val="00687BAD"/>
    <w:rsid w:val="00687F25"/>
    <w:rsid w:val="0069066D"/>
    <w:rsid w:val="00691071"/>
    <w:rsid w:val="00691A7E"/>
    <w:rsid w:val="00691CE3"/>
    <w:rsid w:val="0069210C"/>
    <w:rsid w:val="00692165"/>
    <w:rsid w:val="006925FD"/>
    <w:rsid w:val="0069290A"/>
    <w:rsid w:val="00692C5A"/>
    <w:rsid w:val="00692EAC"/>
    <w:rsid w:val="00694481"/>
    <w:rsid w:val="00694892"/>
    <w:rsid w:val="00694B92"/>
    <w:rsid w:val="006950AE"/>
    <w:rsid w:val="00695290"/>
    <w:rsid w:val="00695A33"/>
    <w:rsid w:val="006962CC"/>
    <w:rsid w:val="00696BA3"/>
    <w:rsid w:val="0069775A"/>
    <w:rsid w:val="00697813"/>
    <w:rsid w:val="006A027B"/>
    <w:rsid w:val="006A02C5"/>
    <w:rsid w:val="006A0A13"/>
    <w:rsid w:val="006A15E4"/>
    <w:rsid w:val="006A2170"/>
    <w:rsid w:val="006A283B"/>
    <w:rsid w:val="006A2BEB"/>
    <w:rsid w:val="006A370D"/>
    <w:rsid w:val="006A3BEE"/>
    <w:rsid w:val="006A3EE8"/>
    <w:rsid w:val="006A41A6"/>
    <w:rsid w:val="006A4B5B"/>
    <w:rsid w:val="006A53D2"/>
    <w:rsid w:val="006A5712"/>
    <w:rsid w:val="006A5E54"/>
    <w:rsid w:val="006A60F0"/>
    <w:rsid w:val="006A693C"/>
    <w:rsid w:val="006A6D71"/>
    <w:rsid w:val="006A7297"/>
    <w:rsid w:val="006A72BF"/>
    <w:rsid w:val="006A7577"/>
    <w:rsid w:val="006A7723"/>
    <w:rsid w:val="006B03F2"/>
    <w:rsid w:val="006B05DA"/>
    <w:rsid w:val="006B0C9E"/>
    <w:rsid w:val="006B0EFE"/>
    <w:rsid w:val="006B10D0"/>
    <w:rsid w:val="006B1CA2"/>
    <w:rsid w:val="006B1E49"/>
    <w:rsid w:val="006B2259"/>
    <w:rsid w:val="006B2372"/>
    <w:rsid w:val="006B24FA"/>
    <w:rsid w:val="006B2D2D"/>
    <w:rsid w:val="006B328A"/>
    <w:rsid w:val="006B338F"/>
    <w:rsid w:val="006B36F7"/>
    <w:rsid w:val="006B37DC"/>
    <w:rsid w:val="006B3AF5"/>
    <w:rsid w:val="006B47CD"/>
    <w:rsid w:val="006B4BCD"/>
    <w:rsid w:val="006B4C15"/>
    <w:rsid w:val="006B4E72"/>
    <w:rsid w:val="006B4F68"/>
    <w:rsid w:val="006B5283"/>
    <w:rsid w:val="006B5F64"/>
    <w:rsid w:val="006B6558"/>
    <w:rsid w:val="006B666A"/>
    <w:rsid w:val="006B66FA"/>
    <w:rsid w:val="006B6C5C"/>
    <w:rsid w:val="006B6F44"/>
    <w:rsid w:val="006B6F9A"/>
    <w:rsid w:val="006B70D8"/>
    <w:rsid w:val="006B71BB"/>
    <w:rsid w:val="006B7203"/>
    <w:rsid w:val="006B7535"/>
    <w:rsid w:val="006B7907"/>
    <w:rsid w:val="006B7F81"/>
    <w:rsid w:val="006C0592"/>
    <w:rsid w:val="006C0CEB"/>
    <w:rsid w:val="006C1699"/>
    <w:rsid w:val="006C2205"/>
    <w:rsid w:val="006C272E"/>
    <w:rsid w:val="006C3BD9"/>
    <w:rsid w:val="006C3D33"/>
    <w:rsid w:val="006C3F28"/>
    <w:rsid w:val="006C3F99"/>
    <w:rsid w:val="006C400F"/>
    <w:rsid w:val="006C4145"/>
    <w:rsid w:val="006C4374"/>
    <w:rsid w:val="006C44FA"/>
    <w:rsid w:val="006C4574"/>
    <w:rsid w:val="006C45C9"/>
    <w:rsid w:val="006C4651"/>
    <w:rsid w:val="006C5350"/>
    <w:rsid w:val="006C5479"/>
    <w:rsid w:val="006C5B76"/>
    <w:rsid w:val="006C5F4A"/>
    <w:rsid w:val="006C62BE"/>
    <w:rsid w:val="006C63A6"/>
    <w:rsid w:val="006C64B8"/>
    <w:rsid w:val="006C6895"/>
    <w:rsid w:val="006C6AAF"/>
    <w:rsid w:val="006C6B0C"/>
    <w:rsid w:val="006C78B9"/>
    <w:rsid w:val="006C7CF0"/>
    <w:rsid w:val="006D0251"/>
    <w:rsid w:val="006D02B3"/>
    <w:rsid w:val="006D03AC"/>
    <w:rsid w:val="006D054B"/>
    <w:rsid w:val="006D08D7"/>
    <w:rsid w:val="006D13B5"/>
    <w:rsid w:val="006D1430"/>
    <w:rsid w:val="006D153C"/>
    <w:rsid w:val="006D1B26"/>
    <w:rsid w:val="006D1BDC"/>
    <w:rsid w:val="006D2A27"/>
    <w:rsid w:val="006D2C56"/>
    <w:rsid w:val="006D2ED2"/>
    <w:rsid w:val="006D2F36"/>
    <w:rsid w:val="006D3C14"/>
    <w:rsid w:val="006D3DEA"/>
    <w:rsid w:val="006D4005"/>
    <w:rsid w:val="006D478F"/>
    <w:rsid w:val="006D487B"/>
    <w:rsid w:val="006D4989"/>
    <w:rsid w:val="006D4C0A"/>
    <w:rsid w:val="006D558D"/>
    <w:rsid w:val="006D5E7F"/>
    <w:rsid w:val="006D6E14"/>
    <w:rsid w:val="006D7087"/>
    <w:rsid w:val="006D760F"/>
    <w:rsid w:val="006D775A"/>
    <w:rsid w:val="006D796A"/>
    <w:rsid w:val="006E0632"/>
    <w:rsid w:val="006E0AB7"/>
    <w:rsid w:val="006E0BB0"/>
    <w:rsid w:val="006E0D7C"/>
    <w:rsid w:val="006E12FF"/>
    <w:rsid w:val="006E1C16"/>
    <w:rsid w:val="006E1C43"/>
    <w:rsid w:val="006E1C50"/>
    <w:rsid w:val="006E2077"/>
    <w:rsid w:val="006E2C8E"/>
    <w:rsid w:val="006E2F7E"/>
    <w:rsid w:val="006E41F3"/>
    <w:rsid w:val="006E44F5"/>
    <w:rsid w:val="006E482B"/>
    <w:rsid w:val="006E4940"/>
    <w:rsid w:val="006E4AB2"/>
    <w:rsid w:val="006E4CBD"/>
    <w:rsid w:val="006E554B"/>
    <w:rsid w:val="006E5AE2"/>
    <w:rsid w:val="006E5BC7"/>
    <w:rsid w:val="006E607E"/>
    <w:rsid w:val="006E6FD0"/>
    <w:rsid w:val="006E70C2"/>
    <w:rsid w:val="006E7323"/>
    <w:rsid w:val="006E79BF"/>
    <w:rsid w:val="006E7AF3"/>
    <w:rsid w:val="006F01C2"/>
    <w:rsid w:val="006F0528"/>
    <w:rsid w:val="006F06A7"/>
    <w:rsid w:val="006F16A3"/>
    <w:rsid w:val="006F187E"/>
    <w:rsid w:val="006F191C"/>
    <w:rsid w:val="006F1935"/>
    <w:rsid w:val="006F1CC3"/>
    <w:rsid w:val="006F2243"/>
    <w:rsid w:val="006F299E"/>
    <w:rsid w:val="006F32DC"/>
    <w:rsid w:val="006F34B2"/>
    <w:rsid w:val="006F3AB2"/>
    <w:rsid w:val="006F3C40"/>
    <w:rsid w:val="006F4329"/>
    <w:rsid w:val="006F473E"/>
    <w:rsid w:val="006F4A77"/>
    <w:rsid w:val="006F4B55"/>
    <w:rsid w:val="006F53D7"/>
    <w:rsid w:val="006F56A4"/>
    <w:rsid w:val="006F59BF"/>
    <w:rsid w:val="006F5D04"/>
    <w:rsid w:val="006F5FF1"/>
    <w:rsid w:val="006F6834"/>
    <w:rsid w:val="006F6A7A"/>
    <w:rsid w:val="006F6C5E"/>
    <w:rsid w:val="006F6E09"/>
    <w:rsid w:val="006F6F46"/>
    <w:rsid w:val="006F7049"/>
    <w:rsid w:val="006F79A2"/>
    <w:rsid w:val="006F7CC9"/>
    <w:rsid w:val="00700080"/>
    <w:rsid w:val="007005E4"/>
    <w:rsid w:val="00700696"/>
    <w:rsid w:val="00700B45"/>
    <w:rsid w:val="00701251"/>
    <w:rsid w:val="0070185C"/>
    <w:rsid w:val="00701A0A"/>
    <w:rsid w:val="00701ACD"/>
    <w:rsid w:val="00701FAA"/>
    <w:rsid w:val="00702052"/>
    <w:rsid w:val="00702783"/>
    <w:rsid w:val="00702820"/>
    <w:rsid w:val="00702C2D"/>
    <w:rsid w:val="00702E34"/>
    <w:rsid w:val="00702FAD"/>
    <w:rsid w:val="007032C0"/>
    <w:rsid w:val="007042EF"/>
    <w:rsid w:val="00705448"/>
    <w:rsid w:val="00705EB2"/>
    <w:rsid w:val="0070603D"/>
    <w:rsid w:val="00706C5D"/>
    <w:rsid w:val="00707048"/>
    <w:rsid w:val="0070771F"/>
    <w:rsid w:val="00707CF9"/>
    <w:rsid w:val="00707E5F"/>
    <w:rsid w:val="00710F66"/>
    <w:rsid w:val="00711919"/>
    <w:rsid w:val="0071198A"/>
    <w:rsid w:val="00711FEE"/>
    <w:rsid w:val="00712A1F"/>
    <w:rsid w:val="00712D12"/>
    <w:rsid w:val="0071386F"/>
    <w:rsid w:val="007139D3"/>
    <w:rsid w:val="0071411D"/>
    <w:rsid w:val="00714A42"/>
    <w:rsid w:val="00715A40"/>
    <w:rsid w:val="00715ABE"/>
    <w:rsid w:val="0071688D"/>
    <w:rsid w:val="00716908"/>
    <w:rsid w:val="00716EDF"/>
    <w:rsid w:val="007170D6"/>
    <w:rsid w:val="0072075B"/>
    <w:rsid w:val="007207FB"/>
    <w:rsid w:val="00720C8C"/>
    <w:rsid w:val="0072144C"/>
    <w:rsid w:val="0072198E"/>
    <w:rsid w:val="00721AFC"/>
    <w:rsid w:val="00721BFC"/>
    <w:rsid w:val="00721FA5"/>
    <w:rsid w:val="00722032"/>
    <w:rsid w:val="00722300"/>
    <w:rsid w:val="00722995"/>
    <w:rsid w:val="0072354C"/>
    <w:rsid w:val="00723B90"/>
    <w:rsid w:val="00724031"/>
    <w:rsid w:val="0072460F"/>
    <w:rsid w:val="00724A7B"/>
    <w:rsid w:val="00724E81"/>
    <w:rsid w:val="0072512C"/>
    <w:rsid w:val="00725414"/>
    <w:rsid w:val="007258A0"/>
    <w:rsid w:val="00725E36"/>
    <w:rsid w:val="00726187"/>
    <w:rsid w:val="0072662A"/>
    <w:rsid w:val="00726900"/>
    <w:rsid w:val="00726E63"/>
    <w:rsid w:val="00726FAE"/>
    <w:rsid w:val="0072710C"/>
    <w:rsid w:val="0072717E"/>
    <w:rsid w:val="0072777C"/>
    <w:rsid w:val="00727A9C"/>
    <w:rsid w:val="007300D3"/>
    <w:rsid w:val="007303B5"/>
    <w:rsid w:val="0073073C"/>
    <w:rsid w:val="007310CB"/>
    <w:rsid w:val="00731757"/>
    <w:rsid w:val="00731C34"/>
    <w:rsid w:val="00731F4F"/>
    <w:rsid w:val="00731FC9"/>
    <w:rsid w:val="007327E8"/>
    <w:rsid w:val="00732922"/>
    <w:rsid w:val="00733236"/>
    <w:rsid w:val="0073366E"/>
    <w:rsid w:val="00733929"/>
    <w:rsid w:val="00733A81"/>
    <w:rsid w:val="00733C77"/>
    <w:rsid w:val="0073418F"/>
    <w:rsid w:val="00734FE4"/>
    <w:rsid w:val="00735059"/>
    <w:rsid w:val="0073524C"/>
    <w:rsid w:val="00735C78"/>
    <w:rsid w:val="007368B5"/>
    <w:rsid w:val="00736C35"/>
    <w:rsid w:val="00736C71"/>
    <w:rsid w:val="007379B0"/>
    <w:rsid w:val="00737FEA"/>
    <w:rsid w:val="00740637"/>
    <w:rsid w:val="00740D1F"/>
    <w:rsid w:val="0074118F"/>
    <w:rsid w:val="007415DF"/>
    <w:rsid w:val="00741A44"/>
    <w:rsid w:val="00741FE7"/>
    <w:rsid w:val="00742042"/>
    <w:rsid w:val="00743A7D"/>
    <w:rsid w:val="00743AA2"/>
    <w:rsid w:val="00743CC3"/>
    <w:rsid w:val="00744C23"/>
    <w:rsid w:val="007453D9"/>
    <w:rsid w:val="00745A47"/>
    <w:rsid w:val="007460FC"/>
    <w:rsid w:val="007460FE"/>
    <w:rsid w:val="007465C6"/>
    <w:rsid w:val="00746C62"/>
    <w:rsid w:val="00747B12"/>
    <w:rsid w:val="00747B4C"/>
    <w:rsid w:val="0075095E"/>
    <w:rsid w:val="00750C72"/>
    <w:rsid w:val="0075162E"/>
    <w:rsid w:val="00751951"/>
    <w:rsid w:val="007521B4"/>
    <w:rsid w:val="0075256E"/>
    <w:rsid w:val="007525A8"/>
    <w:rsid w:val="0075296C"/>
    <w:rsid w:val="00753C6C"/>
    <w:rsid w:val="00753D9E"/>
    <w:rsid w:val="00754034"/>
    <w:rsid w:val="0075441D"/>
    <w:rsid w:val="007549CD"/>
    <w:rsid w:val="007551A4"/>
    <w:rsid w:val="007558F0"/>
    <w:rsid w:val="00755BAD"/>
    <w:rsid w:val="007562D8"/>
    <w:rsid w:val="00756556"/>
    <w:rsid w:val="00756A93"/>
    <w:rsid w:val="007577EC"/>
    <w:rsid w:val="00760CA3"/>
    <w:rsid w:val="007618C4"/>
    <w:rsid w:val="00762380"/>
    <w:rsid w:val="00762664"/>
    <w:rsid w:val="00762947"/>
    <w:rsid w:val="0076337B"/>
    <w:rsid w:val="00763CE1"/>
    <w:rsid w:val="007654D5"/>
    <w:rsid w:val="00765B81"/>
    <w:rsid w:val="007660EA"/>
    <w:rsid w:val="007662D1"/>
    <w:rsid w:val="00766316"/>
    <w:rsid w:val="00766321"/>
    <w:rsid w:val="0076640B"/>
    <w:rsid w:val="00766DD7"/>
    <w:rsid w:val="00767732"/>
    <w:rsid w:val="00767980"/>
    <w:rsid w:val="00767D66"/>
    <w:rsid w:val="007700AF"/>
    <w:rsid w:val="007706B5"/>
    <w:rsid w:val="00770778"/>
    <w:rsid w:val="00770B19"/>
    <w:rsid w:val="00770B56"/>
    <w:rsid w:val="00770FFB"/>
    <w:rsid w:val="00771099"/>
    <w:rsid w:val="00773359"/>
    <w:rsid w:val="0077463F"/>
    <w:rsid w:val="007748CF"/>
    <w:rsid w:val="00774900"/>
    <w:rsid w:val="00775022"/>
    <w:rsid w:val="0077573E"/>
    <w:rsid w:val="00775E85"/>
    <w:rsid w:val="007765D5"/>
    <w:rsid w:val="007767B4"/>
    <w:rsid w:val="00776BCC"/>
    <w:rsid w:val="00776F75"/>
    <w:rsid w:val="007771EE"/>
    <w:rsid w:val="007772E9"/>
    <w:rsid w:val="00777810"/>
    <w:rsid w:val="0077782E"/>
    <w:rsid w:val="00780073"/>
    <w:rsid w:val="007804B2"/>
    <w:rsid w:val="0078057A"/>
    <w:rsid w:val="007809F1"/>
    <w:rsid w:val="007811FB"/>
    <w:rsid w:val="007815DC"/>
    <w:rsid w:val="007819FB"/>
    <w:rsid w:val="007829A8"/>
    <w:rsid w:val="007829AD"/>
    <w:rsid w:val="00782A4E"/>
    <w:rsid w:val="00782C0D"/>
    <w:rsid w:val="007836EA"/>
    <w:rsid w:val="0078412F"/>
    <w:rsid w:val="00784452"/>
    <w:rsid w:val="00784B5F"/>
    <w:rsid w:val="00784CDA"/>
    <w:rsid w:val="007853E0"/>
    <w:rsid w:val="0078608C"/>
    <w:rsid w:val="00786A75"/>
    <w:rsid w:val="00786CEA"/>
    <w:rsid w:val="00786EB5"/>
    <w:rsid w:val="00786ED1"/>
    <w:rsid w:val="00787705"/>
    <w:rsid w:val="00787762"/>
    <w:rsid w:val="00787FEE"/>
    <w:rsid w:val="007902B2"/>
    <w:rsid w:val="007906C4"/>
    <w:rsid w:val="00790DC5"/>
    <w:rsid w:val="007911E3"/>
    <w:rsid w:val="00791555"/>
    <w:rsid w:val="00791A93"/>
    <w:rsid w:val="0079218E"/>
    <w:rsid w:val="00792684"/>
    <w:rsid w:val="00792B0A"/>
    <w:rsid w:val="007939DF"/>
    <w:rsid w:val="007940EA"/>
    <w:rsid w:val="007949F8"/>
    <w:rsid w:val="00794E23"/>
    <w:rsid w:val="00795412"/>
    <w:rsid w:val="00795760"/>
    <w:rsid w:val="00795916"/>
    <w:rsid w:val="00796220"/>
    <w:rsid w:val="007967E8"/>
    <w:rsid w:val="00796FC4"/>
    <w:rsid w:val="007975AF"/>
    <w:rsid w:val="00797686"/>
    <w:rsid w:val="00797C9A"/>
    <w:rsid w:val="00797CAE"/>
    <w:rsid w:val="00797D00"/>
    <w:rsid w:val="007A096D"/>
    <w:rsid w:val="007A0B65"/>
    <w:rsid w:val="007A1153"/>
    <w:rsid w:val="007A11D2"/>
    <w:rsid w:val="007A15F0"/>
    <w:rsid w:val="007A2170"/>
    <w:rsid w:val="007A22BF"/>
    <w:rsid w:val="007A2D3E"/>
    <w:rsid w:val="007A3323"/>
    <w:rsid w:val="007A3374"/>
    <w:rsid w:val="007A4229"/>
    <w:rsid w:val="007A47FE"/>
    <w:rsid w:val="007A535D"/>
    <w:rsid w:val="007A54DF"/>
    <w:rsid w:val="007A55AB"/>
    <w:rsid w:val="007A57F4"/>
    <w:rsid w:val="007A5E65"/>
    <w:rsid w:val="007A6367"/>
    <w:rsid w:val="007A64F5"/>
    <w:rsid w:val="007A6E94"/>
    <w:rsid w:val="007A6F2D"/>
    <w:rsid w:val="007A7CE6"/>
    <w:rsid w:val="007B1165"/>
    <w:rsid w:val="007B1725"/>
    <w:rsid w:val="007B1E52"/>
    <w:rsid w:val="007B1F9F"/>
    <w:rsid w:val="007B22E9"/>
    <w:rsid w:val="007B2F88"/>
    <w:rsid w:val="007B3188"/>
    <w:rsid w:val="007B32F5"/>
    <w:rsid w:val="007B33F9"/>
    <w:rsid w:val="007B3E7E"/>
    <w:rsid w:val="007B4001"/>
    <w:rsid w:val="007B5398"/>
    <w:rsid w:val="007B5B6C"/>
    <w:rsid w:val="007B5D19"/>
    <w:rsid w:val="007B72B8"/>
    <w:rsid w:val="007B79B8"/>
    <w:rsid w:val="007B7A58"/>
    <w:rsid w:val="007C0033"/>
    <w:rsid w:val="007C061C"/>
    <w:rsid w:val="007C0E91"/>
    <w:rsid w:val="007C0E94"/>
    <w:rsid w:val="007C1034"/>
    <w:rsid w:val="007C11E0"/>
    <w:rsid w:val="007C179E"/>
    <w:rsid w:val="007C1B39"/>
    <w:rsid w:val="007C21B5"/>
    <w:rsid w:val="007C21F1"/>
    <w:rsid w:val="007C24FC"/>
    <w:rsid w:val="007C252B"/>
    <w:rsid w:val="007C274B"/>
    <w:rsid w:val="007C3001"/>
    <w:rsid w:val="007C3039"/>
    <w:rsid w:val="007C35CE"/>
    <w:rsid w:val="007C3EEE"/>
    <w:rsid w:val="007C4043"/>
    <w:rsid w:val="007C4138"/>
    <w:rsid w:val="007C43EB"/>
    <w:rsid w:val="007C4853"/>
    <w:rsid w:val="007C4ACC"/>
    <w:rsid w:val="007C4F0C"/>
    <w:rsid w:val="007C52D4"/>
    <w:rsid w:val="007C5516"/>
    <w:rsid w:val="007C551D"/>
    <w:rsid w:val="007C58C9"/>
    <w:rsid w:val="007C597E"/>
    <w:rsid w:val="007C5A66"/>
    <w:rsid w:val="007C5CD7"/>
    <w:rsid w:val="007C61ED"/>
    <w:rsid w:val="007C6738"/>
    <w:rsid w:val="007C6A7D"/>
    <w:rsid w:val="007C7A04"/>
    <w:rsid w:val="007C7FD0"/>
    <w:rsid w:val="007D0887"/>
    <w:rsid w:val="007D0C9F"/>
    <w:rsid w:val="007D1406"/>
    <w:rsid w:val="007D143A"/>
    <w:rsid w:val="007D20AC"/>
    <w:rsid w:val="007D24BF"/>
    <w:rsid w:val="007D24FF"/>
    <w:rsid w:val="007D28D2"/>
    <w:rsid w:val="007D2DC9"/>
    <w:rsid w:val="007D31F3"/>
    <w:rsid w:val="007D36AF"/>
    <w:rsid w:val="007D3FE6"/>
    <w:rsid w:val="007D42CD"/>
    <w:rsid w:val="007D490E"/>
    <w:rsid w:val="007D4937"/>
    <w:rsid w:val="007D51C6"/>
    <w:rsid w:val="007D5836"/>
    <w:rsid w:val="007D5959"/>
    <w:rsid w:val="007D5D11"/>
    <w:rsid w:val="007D5F9B"/>
    <w:rsid w:val="007D61FF"/>
    <w:rsid w:val="007D6F8B"/>
    <w:rsid w:val="007D7BFF"/>
    <w:rsid w:val="007E05F6"/>
    <w:rsid w:val="007E104A"/>
    <w:rsid w:val="007E17B6"/>
    <w:rsid w:val="007E1A9E"/>
    <w:rsid w:val="007E1B95"/>
    <w:rsid w:val="007E1E7D"/>
    <w:rsid w:val="007E27BF"/>
    <w:rsid w:val="007E2870"/>
    <w:rsid w:val="007E3156"/>
    <w:rsid w:val="007E33C2"/>
    <w:rsid w:val="007E3ADA"/>
    <w:rsid w:val="007E44E7"/>
    <w:rsid w:val="007E463D"/>
    <w:rsid w:val="007E4BD2"/>
    <w:rsid w:val="007E4C72"/>
    <w:rsid w:val="007E522F"/>
    <w:rsid w:val="007E5AD8"/>
    <w:rsid w:val="007E5E71"/>
    <w:rsid w:val="007E6260"/>
    <w:rsid w:val="007E634A"/>
    <w:rsid w:val="007E6865"/>
    <w:rsid w:val="007E69B7"/>
    <w:rsid w:val="007E6A31"/>
    <w:rsid w:val="007E6A5E"/>
    <w:rsid w:val="007E6E44"/>
    <w:rsid w:val="007E6F88"/>
    <w:rsid w:val="007E77BE"/>
    <w:rsid w:val="007E7809"/>
    <w:rsid w:val="007F0003"/>
    <w:rsid w:val="007F01CF"/>
    <w:rsid w:val="007F020A"/>
    <w:rsid w:val="007F02B5"/>
    <w:rsid w:val="007F0540"/>
    <w:rsid w:val="007F15F1"/>
    <w:rsid w:val="007F38CC"/>
    <w:rsid w:val="007F3CAB"/>
    <w:rsid w:val="007F478C"/>
    <w:rsid w:val="007F4907"/>
    <w:rsid w:val="007F4CCF"/>
    <w:rsid w:val="007F5554"/>
    <w:rsid w:val="007F603D"/>
    <w:rsid w:val="007F6569"/>
    <w:rsid w:val="007F68A6"/>
    <w:rsid w:val="007F6B7A"/>
    <w:rsid w:val="007F6EA6"/>
    <w:rsid w:val="007F73E1"/>
    <w:rsid w:val="007F772A"/>
    <w:rsid w:val="007F7752"/>
    <w:rsid w:val="007F797F"/>
    <w:rsid w:val="00801393"/>
    <w:rsid w:val="00801517"/>
    <w:rsid w:val="00801B2D"/>
    <w:rsid w:val="0080230F"/>
    <w:rsid w:val="008029C7"/>
    <w:rsid w:val="00802AE6"/>
    <w:rsid w:val="00802B28"/>
    <w:rsid w:val="00802E61"/>
    <w:rsid w:val="00802F88"/>
    <w:rsid w:val="00802FD7"/>
    <w:rsid w:val="00803302"/>
    <w:rsid w:val="008038DB"/>
    <w:rsid w:val="00803E37"/>
    <w:rsid w:val="008043D9"/>
    <w:rsid w:val="008048A1"/>
    <w:rsid w:val="0080601D"/>
    <w:rsid w:val="008068A9"/>
    <w:rsid w:val="0080735C"/>
    <w:rsid w:val="0081056D"/>
    <w:rsid w:val="00810573"/>
    <w:rsid w:val="0081057F"/>
    <w:rsid w:val="00811637"/>
    <w:rsid w:val="008122F4"/>
    <w:rsid w:val="0081277E"/>
    <w:rsid w:val="0081293E"/>
    <w:rsid w:val="00813A5D"/>
    <w:rsid w:val="00813AF8"/>
    <w:rsid w:val="00814440"/>
    <w:rsid w:val="0081445E"/>
    <w:rsid w:val="00814595"/>
    <w:rsid w:val="00814640"/>
    <w:rsid w:val="0081531B"/>
    <w:rsid w:val="00815465"/>
    <w:rsid w:val="00815FA4"/>
    <w:rsid w:val="008160B9"/>
    <w:rsid w:val="0081614A"/>
    <w:rsid w:val="00816907"/>
    <w:rsid w:val="00817277"/>
    <w:rsid w:val="008172DA"/>
    <w:rsid w:val="008172DE"/>
    <w:rsid w:val="0081735F"/>
    <w:rsid w:val="0081756B"/>
    <w:rsid w:val="00817E9A"/>
    <w:rsid w:val="00820378"/>
    <w:rsid w:val="008205B3"/>
    <w:rsid w:val="0082065C"/>
    <w:rsid w:val="00820B38"/>
    <w:rsid w:val="00820DA4"/>
    <w:rsid w:val="008212FC"/>
    <w:rsid w:val="008216FA"/>
    <w:rsid w:val="00821D10"/>
    <w:rsid w:val="00821E74"/>
    <w:rsid w:val="0082215D"/>
    <w:rsid w:val="008225EA"/>
    <w:rsid w:val="00822B91"/>
    <w:rsid w:val="00822E6D"/>
    <w:rsid w:val="00823153"/>
    <w:rsid w:val="008245AA"/>
    <w:rsid w:val="008247CC"/>
    <w:rsid w:val="00824B46"/>
    <w:rsid w:val="00824B51"/>
    <w:rsid w:val="00824DB8"/>
    <w:rsid w:val="00825174"/>
    <w:rsid w:val="008254D0"/>
    <w:rsid w:val="00825B85"/>
    <w:rsid w:val="00825C34"/>
    <w:rsid w:val="00826C1A"/>
    <w:rsid w:val="008301D0"/>
    <w:rsid w:val="0083042E"/>
    <w:rsid w:val="008306BD"/>
    <w:rsid w:val="00831A37"/>
    <w:rsid w:val="00831A80"/>
    <w:rsid w:val="0083204A"/>
    <w:rsid w:val="008320DD"/>
    <w:rsid w:val="00832E08"/>
    <w:rsid w:val="00832E4C"/>
    <w:rsid w:val="00832E8D"/>
    <w:rsid w:val="0083355B"/>
    <w:rsid w:val="008335EA"/>
    <w:rsid w:val="00833743"/>
    <w:rsid w:val="00833AC7"/>
    <w:rsid w:val="00833F14"/>
    <w:rsid w:val="008340A4"/>
    <w:rsid w:val="008340DE"/>
    <w:rsid w:val="00834187"/>
    <w:rsid w:val="008346C1"/>
    <w:rsid w:val="008351CB"/>
    <w:rsid w:val="00835297"/>
    <w:rsid w:val="008352F4"/>
    <w:rsid w:val="008356AB"/>
    <w:rsid w:val="00835E5F"/>
    <w:rsid w:val="00835FDB"/>
    <w:rsid w:val="00836137"/>
    <w:rsid w:val="0083618B"/>
    <w:rsid w:val="008371A0"/>
    <w:rsid w:val="008375FA"/>
    <w:rsid w:val="00837BAC"/>
    <w:rsid w:val="00840024"/>
    <w:rsid w:val="00840B1C"/>
    <w:rsid w:val="00840F2D"/>
    <w:rsid w:val="00840F77"/>
    <w:rsid w:val="00840FE2"/>
    <w:rsid w:val="008410AE"/>
    <w:rsid w:val="00841657"/>
    <w:rsid w:val="0084180F"/>
    <w:rsid w:val="00841BDA"/>
    <w:rsid w:val="00842698"/>
    <w:rsid w:val="00842B16"/>
    <w:rsid w:val="0084381C"/>
    <w:rsid w:val="008438E3"/>
    <w:rsid w:val="00843922"/>
    <w:rsid w:val="00843A00"/>
    <w:rsid w:val="00843F6D"/>
    <w:rsid w:val="00843F93"/>
    <w:rsid w:val="0084468D"/>
    <w:rsid w:val="008452CA"/>
    <w:rsid w:val="00846234"/>
    <w:rsid w:val="0084685D"/>
    <w:rsid w:val="00847BB5"/>
    <w:rsid w:val="008502B0"/>
    <w:rsid w:val="00850861"/>
    <w:rsid w:val="00850CF2"/>
    <w:rsid w:val="00850E9E"/>
    <w:rsid w:val="0085116A"/>
    <w:rsid w:val="00851C3D"/>
    <w:rsid w:val="008529B3"/>
    <w:rsid w:val="00852CD9"/>
    <w:rsid w:val="008543EE"/>
    <w:rsid w:val="00854B30"/>
    <w:rsid w:val="00854FE0"/>
    <w:rsid w:val="0085523C"/>
    <w:rsid w:val="008552AD"/>
    <w:rsid w:val="00855982"/>
    <w:rsid w:val="00855B36"/>
    <w:rsid w:val="00855DC7"/>
    <w:rsid w:val="00856483"/>
    <w:rsid w:val="0085739D"/>
    <w:rsid w:val="00857921"/>
    <w:rsid w:val="00860728"/>
    <w:rsid w:val="00860C61"/>
    <w:rsid w:val="0086127C"/>
    <w:rsid w:val="00861404"/>
    <w:rsid w:val="0086143A"/>
    <w:rsid w:val="008622E8"/>
    <w:rsid w:val="00862C91"/>
    <w:rsid w:val="00863747"/>
    <w:rsid w:val="0086389A"/>
    <w:rsid w:val="008641A6"/>
    <w:rsid w:val="0086425F"/>
    <w:rsid w:val="008642C1"/>
    <w:rsid w:val="00864698"/>
    <w:rsid w:val="00864856"/>
    <w:rsid w:val="00865734"/>
    <w:rsid w:val="00865A53"/>
    <w:rsid w:val="00865BC9"/>
    <w:rsid w:val="00866163"/>
    <w:rsid w:val="00866AAA"/>
    <w:rsid w:val="008670FF"/>
    <w:rsid w:val="008672D6"/>
    <w:rsid w:val="00867952"/>
    <w:rsid w:val="00867A86"/>
    <w:rsid w:val="00867F78"/>
    <w:rsid w:val="00870C34"/>
    <w:rsid w:val="0087135F"/>
    <w:rsid w:val="00871421"/>
    <w:rsid w:val="0087185E"/>
    <w:rsid w:val="0087233A"/>
    <w:rsid w:val="00872742"/>
    <w:rsid w:val="008728A3"/>
    <w:rsid w:val="00872D94"/>
    <w:rsid w:val="008730E9"/>
    <w:rsid w:val="00873CF8"/>
    <w:rsid w:val="00875A3B"/>
    <w:rsid w:val="00876131"/>
    <w:rsid w:val="0087646B"/>
    <w:rsid w:val="00876E83"/>
    <w:rsid w:val="00877767"/>
    <w:rsid w:val="00877DAF"/>
    <w:rsid w:val="008800C3"/>
    <w:rsid w:val="00880364"/>
    <w:rsid w:val="00880574"/>
    <w:rsid w:val="00880870"/>
    <w:rsid w:val="00881895"/>
    <w:rsid w:val="0088290B"/>
    <w:rsid w:val="00882C12"/>
    <w:rsid w:val="00882FDC"/>
    <w:rsid w:val="008862C2"/>
    <w:rsid w:val="00886801"/>
    <w:rsid w:val="00886BE7"/>
    <w:rsid w:val="00886C59"/>
    <w:rsid w:val="00886CC4"/>
    <w:rsid w:val="00886CDC"/>
    <w:rsid w:val="00886DC5"/>
    <w:rsid w:val="00887D12"/>
    <w:rsid w:val="008910CD"/>
    <w:rsid w:val="008913D7"/>
    <w:rsid w:val="00891592"/>
    <w:rsid w:val="00891E9E"/>
    <w:rsid w:val="0089239F"/>
    <w:rsid w:val="00893100"/>
    <w:rsid w:val="00893ABA"/>
    <w:rsid w:val="0089424C"/>
    <w:rsid w:val="00894855"/>
    <w:rsid w:val="008949EC"/>
    <w:rsid w:val="00895036"/>
    <w:rsid w:val="00895513"/>
    <w:rsid w:val="008959FC"/>
    <w:rsid w:val="00895DC4"/>
    <w:rsid w:val="0089604D"/>
    <w:rsid w:val="00896404"/>
    <w:rsid w:val="008965F3"/>
    <w:rsid w:val="008969F7"/>
    <w:rsid w:val="00896CA8"/>
    <w:rsid w:val="00896DC0"/>
    <w:rsid w:val="00897F49"/>
    <w:rsid w:val="008A0BC1"/>
    <w:rsid w:val="008A0F1E"/>
    <w:rsid w:val="008A1625"/>
    <w:rsid w:val="008A1644"/>
    <w:rsid w:val="008A19E8"/>
    <w:rsid w:val="008A2C16"/>
    <w:rsid w:val="008A2E44"/>
    <w:rsid w:val="008A2F68"/>
    <w:rsid w:val="008A3009"/>
    <w:rsid w:val="008A31F9"/>
    <w:rsid w:val="008A3639"/>
    <w:rsid w:val="008A37C7"/>
    <w:rsid w:val="008A3ADE"/>
    <w:rsid w:val="008A3BA9"/>
    <w:rsid w:val="008A3ED7"/>
    <w:rsid w:val="008A3FF9"/>
    <w:rsid w:val="008A44A1"/>
    <w:rsid w:val="008A490A"/>
    <w:rsid w:val="008A4D88"/>
    <w:rsid w:val="008A50E1"/>
    <w:rsid w:val="008A5451"/>
    <w:rsid w:val="008A6382"/>
    <w:rsid w:val="008A63CC"/>
    <w:rsid w:val="008A6E7D"/>
    <w:rsid w:val="008A755E"/>
    <w:rsid w:val="008A78DC"/>
    <w:rsid w:val="008A7BE4"/>
    <w:rsid w:val="008A7E38"/>
    <w:rsid w:val="008B027E"/>
    <w:rsid w:val="008B0418"/>
    <w:rsid w:val="008B04C1"/>
    <w:rsid w:val="008B0867"/>
    <w:rsid w:val="008B147A"/>
    <w:rsid w:val="008B1836"/>
    <w:rsid w:val="008B2091"/>
    <w:rsid w:val="008B22AB"/>
    <w:rsid w:val="008B2CFC"/>
    <w:rsid w:val="008B32D1"/>
    <w:rsid w:val="008B450B"/>
    <w:rsid w:val="008B4A27"/>
    <w:rsid w:val="008B4AF9"/>
    <w:rsid w:val="008B4B34"/>
    <w:rsid w:val="008B4FA6"/>
    <w:rsid w:val="008B5282"/>
    <w:rsid w:val="008B5DA0"/>
    <w:rsid w:val="008B5F9C"/>
    <w:rsid w:val="008B661A"/>
    <w:rsid w:val="008B6B36"/>
    <w:rsid w:val="008B7C17"/>
    <w:rsid w:val="008C09FA"/>
    <w:rsid w:val="008C0F52"/>
    <w:rsid w:val="008C1585"/>
    <w:rsid w:val="008C17C8"/>
    <w:rsid w:val="008C2D01"/>
    <w:rsid w:val="008C2D81"/>
    <w:rsid w:val="008C34AC"/>
    <w:rsid w:val="008C394A"/>
    <w:rsid w:val="008C3B13"/>
    <w:rsid w:val="008C40E6"/>
    <w:rsid w:val="008C42DA"/>
    <w:rsid w:val="008C48DF"/>
    <w:rsid w:val="008C4B8D"/>
    <w:rsid w:val="008C5711"/>
    <w:rsid w:val="008C5AF6"/>
    <w:rsid w:val="008C5C83"/>
    <w:rsid w:val="008C5D58"/>
    <w:rsid w:val="008C60CA"/>
    <w:rsid w:val="008C60F1"/>
    <w:rsid w:val="008C6A02"/>
    <w:rsid w:val="008C6C07"/>
    <w:rsid w:val="008C712E"/>
    <w:rsid w:val="008C72CC"/>
    <w:rsid w:val="008C72DB"/>
    <w:rsid w:val="008D0118"/>
    <w:rsid w:val="008D04D1"/>
    <w:rsid w:val="008D050C"/>
    <w:rsid w:val="008D0C04"/>
    <w:rsid w:val="008D0F55"/>
    <w:rsid w:val="008D0F7A"/>
    <w:rsid w:val="008D1FF1"/>
    <w:rsid w:val="008D2C80"/>
    <w:rsid w:val="008D3848"/>
    <w:rsid w:val="008D38CD"/>
    <w:rsid w:val="008D392D"/>
    <w:rsid w:val="008D4D30"/>
    <w:rsid w:val="008D544C"/>
    <w:rsid w:val="008D549C"/>
    <w:rsid w:val="008D54BE"/>
    <w:rsid w:val="008D603D"/>
    <w:rsid w:val="008D60B7"/>
    <w:rsid w:val="008D68E4"/>
    <w:rsid w:val="008E0444"/>
    <w:rsid w:val="008E0506"/>
    <w:rsid w:val="008E0792"/>
    <w:rsid w:val="008E0CFF"/>
    <w:rsid w:val="008E13A1"/>
    <w:rsid w:val="008E1AD0"/>
    <w:rsid w:val="008E1D19"/>
    <w:rsid w:val="008E248D"/>
    <w:rsid w:val="008E2ED2"/>
    <w:rsid w:val="008E3517"/>
    <w:rsid w:val="008E3655"/>
    <w:rsid w:val="008E39D5"/>
    <w:rsid w:val="008E3CA7"/>
    <w:rsid w:val="008E3CEC"/>
    <w:rsid w:val="008E46F1"/>
    <w:rsid w:val="008E472E"/>
    <w:rsid w:val="008E476C"/>
    <w:rsid w:val="008E49C4"/>
    <w:rsid w:val="008E4AA7"/>
    <w:rsid w:val="008E51E8"/>
    <w:rsid w:val="008E5793"/>
    <w:rsid w:val="008E593B"/>
    <w:rsid w:val="008E5D6B"/>
    <w:rsid w:val="008E5D77"/>
    <w:rsid w:val="008E6378"/>
    <w:rsid w:val="008E6B99"/>
    <w:rsid w:val="008E7606"/>
    <w:rsid w:val="008E760A"/>
    <w:rsid w:val="008E76F0"/>
    <w:rsid w:val="008F09A5"/>
    <w:rsid w:val="008F15FE"/>
    <w:rsid w:val="008F16E4"/>
    <w:rsid w:val="008F1B79"/>
    <w:rsid w:val="008F1FAA"/>
    <w:rsid w:val="008F2A05"/>
    <w:rsid w:val="008F2D29"/>
    <w:rsid w:val="008F326A"/>
    <w:rsid w:val="008F3828"/>
    <w:rsid w:val="008F3D74"/>
    <w:rsid w:val="008F3D8F"/>
    <w:rsid w:val="008F3DB0"/>
    <w:rsid w:val="008F3EF0"/>
    <w:rsid w:val="008F475A"/>
    <w:rsid w:val="008F4827"/>
    <w:rsid w:val="008F4A68"/>
    <w:rsid w:val="008F4E06"/>
    <w:rsid w:val="008F5187"/>
    <w:rsid w:val="008F5212"/>
    <w:rsid w:val="008F53F7"/>
    <w:rsid w:val="008F5460"/>
    <w:rsid w:val="008F5D6B"/>
    <w:rsid w:val="008F60D8"/>
    <w:rsid w:val="008F6A29"/>
    <w:rsid w:val="008F6F29"/>
    <w:rsid w:val="008F75A3"/>
    <w:rsid w:val="008F76D5"/>
    <w:rsid w:val="008F77BE"/>
    <w:rsid w:val="00900576"/>
    <w:rsid w:val="009006C5"/>
    <w:rsid w:val="00900ED8"/>
    <w:rsid w:val="00901091"/>
    <w:rsid w:val="00901A80"/>
    <w:rsid w:val="0090206C"/>
    <w:rsid w:val="009023F3"/>
    <w:rsid w:val="0090269F"/>
    <w:rsid w:val="00902727"/>
    <w:rsid w:val="00902FB5"/>
    <w:rsid w:val="0090312B"/>
    <w:rsid w:val="00904054"/>
    <w:rsid w:val="00904711"/>
    <w:rsid w:val="0090487D"/>
    <w:rsid w:val="00904B7C"/>
    <w:rsid w:val="00904B83"/>
    <w:rsid w:val="00904EB5"/>
    <w:rsid w:val="009056E1"/>
    <w:rsid w:val="00906166"/>
    <w:rsid w:val="00906273"/>
    <w:rsid w:val="00906DBB"/>
    <w:rsid w:val="009073A5"/>
    <w:rsid w:val="0090770B"/>
    <w:rsid w:val="00907906"/>
    <w:rsid w:val="00907956"/>
    <w:rsid w:val="00910380"/>
    <w:rsid w:val="009108F7"/>
    <w:rsid w:val="00911B5B"/>
    <w:rsid w:val="00911B84"/>
    <w:rsid w:val="00912A30"/>
    <w:rsid w:val="00912F5D"/>
    <w:rsid w:val="0091503E"/>
    <w:rsid w:val="00915070"/>
    <w:rsid w:val="0091507D"/>
    <w:rsid w:val="009150AD"/>
    <w:rsid w:val="0091589A"/>
    <w:rsid w:val="0091607D"/>
    <w:rsid w:val="00916212"/>
    <w:rsid w:val="00916483"/>
    <w:rsid w:val="00916852"/>
    <w:rsid w:val="00916908"/>
    <w:rsid w:val="00916A1E"/>
    <w:rsid w:val="0091701F"/>
    <w:rsid w:val="0091705B"/>
    <w:rsid w:val="0091736D"/>
    <w:rsid w:val="009176D5"/>
    <w:rsid w:val="00917BCF"/>
    <w:rsid w:val="00917F47"/>
    <w:rsid w:val="00920456"/>
    <w:rsid w:val="00920F1A"/>
    <w:rsid w:val="009217FF"/>
    <w:rsid w:val="0092250D"/>
    <w:rsid w:val="00922F27"/>
    <w:rsid w:val="009233BC"/>
    <w:rsid w:val="00923534"/>
    <w:rsid w:val="00924B58"/>
    <w:rsid w:val="00925466"/>
    <w:rsid w:val="0092551A"/>
    <w:rsid w:val="0092633E"/>
    <w:rsid w:val="0092641E"/>
    <w:rsid w:val="00926457"/>
    <w:rsid w:val="00926756"/>
    <w:rsid w:val="00926A52"/>
    <w:rsid w:val="00926D13"/>
    <w:rsid w:val="00926F03"/>
    <w:rsid w:val="009273BA"/>
    <w:rsid w:val="00927C51"/>
    <w:rsid w:val="0093037A"/>
    <w:rsid w:val="00930CE7"/>
    <w:rsid w:val="009310F5"/>
    <w:rsid w:val="00931354"/>
    <w:rsid w:val="00931C36"/>
    <w:rsid w:val="0093232A"/>
    <w:rsid w:val="0093269B"/>
    <w:rsid w:val="009326BB"/>
    <w:rsid w:val="00933D16"/>
    <w:rsid w:val="00933E1A"/>
    <w:rsid w:val="0093462F"/>
    <w:rsid w:val="00935EAD"/>
    <w:rsid w:val="009367E1"/>
    <w:rsid w:val="00936FC3"/>
    <w:rsid w:val="0093773C"/>
    <w:rsid w:val="00937D5A"/>
    <w:rsid w:val="00937DAD"/>
    <w:rsid w:val="009401F1"/>
    <w:rsid w:val="009402BB"/>
    <w:rsid w:val="009404F1"/>
    <w:rsid w:val="009407E2"/>
    <w:rsid w:val="009414B4"/>
    <w:rsid w:val="0094154D"/>
    <w:rsid w:val="0094243A"/>
    <w:rsid w:val="00942558"/>
    <w:rsid w:val="00942860"/>
    <w:rsid w:val="009434EC"/>
    <w:rsid w:val="0094425E"/>
    <w:rsid w:val="00944480"/>
    <w:rsid w:val="009458AC"/>
    <w:rsid w:val="00945CE5"/>
    <w:rsid w:val="00946099"/>
    <w:rsid w:val="0094689B"/>
    <w:rsid w:val="0094699D"/>
    <w:rsid w:val="00946C07"/>
    <w:rsid w:val="00947321"/>
    <w:rsid w:val="00947933"/>
    <w:rsid w:val="00950AE0"/>
    <w:rsid w:val="0095155F"/>
    <w:rsid w:val="009518AB"/>
    <w:rsid w:val="00951FDC"/>
    <w:rsid w:val="009520D4"/>
    <w:rsid w:val="00952390"/>
    <w:rsid w:val="0095282D"/>
    <w:rsid w:val="0095359C"/>
    <w:rsid w:val="009539CA"/>
    <w:rsid w:val="00953C4E"/>
    <w:rsid w:val="00954429"/>
    <w:rsid w:val="00954455"/>
    <w:rsid w:val="009555D3"/>
    <w:rsid w:val="00955BA4"/>
    <w:rsid w:val="00956087"/>
    <w:rsid w:val="009563CE"/>
    <w:rsid w:val="00957230"/>
    <w:rsid w:val="00957C36"/>
    <w:rsid w:val="00957D84"/>
    <w:rsid w:val="00960263"/>
    <w:rsid w:val="00961685"/>
    <w:rsid w:val="009617BC"/>
    <w:rsid w:val="00961931"/>
    <w:rsid w:val="00961CF7"/>
    <w:rsid w:val="00961E07"/>
    <w:rsid w:val="009621C3"/>
    <w:rsid w:val="00962992"/>
    <w:rsid w:val="00962C3C"/>
    <w:rsid w:val="00962C68"/>
    <w:rsid w:val="00962D22"/>
    <w:rsid w:val="009632F3"/>
    <w:rsid w:val="0096365F"/>
    <w:rsid w:val="0096394C"/>
    <w:rsid w:val="00963B79"/>
    <w:rsid w:val="00963CF2"/>
    <w:rsid w:val="00964149"/>
    <w:rsid w:val="009643FA"/>
    <w:rsid w:val="00965105"/>
    <w:rsid w:val="009659BD"/>
    <w:rsid w:val="00965CF3"/>
    <w:rsid w:val="009666DF"/>
    <w:rsid w:val="00966767"/>
    <w:rsid w:val="00966E60"/>
    <w:rsid w:val="0096744B"/>
    <w:rsid w:val="0096756A"/>
    <w:rsid w:val="00967C08"/>
    <w:rsid w:val="00970141"/>
    <w:rsid w:val="009702CB"/>
    <w:rsid w:val="00970A2F"/>
    <w:rsid w:val="009711DF"/>
    <w:rsid w:val="00971913"/>
    <w:rsid w:val="00972565"/>
    <w:rsid w:val="009726B9"/>
    <w:rsid w:val="00972CBF"/>
    <w:rsid w:val="00973007"/>
    <w:rsid w:val="009735C8"/>
    <w:rsid w:val="009739BF"/>
    <w:rsid w:val="00973DE2"/>
    <w:rsid w:val="00974059"/>
    <w:rsid w:val="00974148"/>
    <w:rsid w:val="00975EA3"/>
    <w:rsid w:val="00976328"/>
    <w:rsid w:val="0097680D"/>
    <w:rsid w:val="0097721E"/>
    <w:rsid w:val="009772D1"/>
    <w:rsid w:val="0097743B"/>
    <w:rsid w:val="009775DE"/>
    <w:rsid w:val="00977E26"/>
    <w:rsid w:val="00980639"/>
    <w:rsid w:val="00980A79"/>
    <w:rsid w:val="00980BD6"/>
    <w:rsid w:val="00980E82"/>
    <w:rsid w:val="00980F8B"/>
    <w:rsid w:val="009815A1"/>
    <w:rsid w:val="00981610"/>
    <w:rsid w:val="00982035"/>
    <w:rsid w:val="00982438"/>
    <w:rsid w:val="00982696"/>
    <w:rsid w:val="00982A06"/>
    <w:rsid w:val="0098404C"/>
    <w:rsid w:val="00984209"/>
    <w:rsid w:val="009844EC"/>
    <w:rsid w:val="00984A57"/>
    <w:rsid w:val="00984D01"/>
    <w:rsid w:val="00985283"/>
    <w:rsid w:val="009852C8"/>
    <w:rsid w:val="0098544E"/>
    <w:rsid w:val="009855C4"/>
    <w:rsid w:val="0098576E"/>
    <w:rsid w:val="009857C9"/>
    <w:rsid w:val="009861FA"/>
    <w:rsid w:val="0098703C"/>
    <w:rsid w:val="00990106"/>
    <w:rsid w:val="0099102C"/>
    <w:rsid w:val="00991344"/>
    <w:rsid w:val="00991410"/>
    <w:rsid w:val="0099193C"/>
    <w:rsid w:val="0099229E"/>
    <w:rsid w:val="009924CA"/>
    <w:rsid w:val="0099308E"/>
    <w:rsid w:val="00993DFD"/>
    <w:rsid w:val="00994C10"/>
    <w:rsid w:val="00994DE6"/>
    <w:rsid w:val="00994E0E"/>
    <w:rsid w:val="0099533D"/>
    <w:rsid w:val="00995992"/>
    <w:rsid w:val="00995F2F"/>
    <w:rsid w:val="009965AD"/>
    <w:rsid w:val="009968D5"/>
    <w:rsid w:val="009970C4"/>
    <w:rsid w:val="00997170"/>
    <w:rsid w:val="0099721A"/>
    <w:rsid w:val="00997238"/>
    <w:rsid w:val="0099723F"/>
    <w:rsid w:val="00997E1A"/>
    <w:rsid w:val="009A03E5"/>
    <w:rsid w:val="009A05CB"/>
    <w:rsid w:val="009A0887"/>
    <w:rsid w:val="009A0BD6"/>
    <w:rsid w:val="009A0F3B"/>
    <w:rsid w:val="009A11C0"/>
    <w:rsid w:val="009A14BF"/>
    <w:rsid w:val="009A160D"/>
    <w:rsid w:val="009A1BB4"/>
    <w:rsid w:val="009A2025"/>
    <w:rsid w:val="009A2628"/>
    <w:rsid w:val="009A2C70"/>
    <w:rsid w:val="009A31C6"/>
    <w:rsid w:val="009A3200"/>
    <w:rsid w:val="009A3C77"/>
    <w:rsid w:val="009A45E5"/>
    <w:rsid w:val="009A4EC8"/>
    <w:rsid w:val="009A5282"/>
    <w:rsid w:val="009A5362"/>
    <w:rsid w:val="009A5D2C"/>
    <w:rsid w:val="009A5E6D"/>
    <w:rsid w:val="009A6517"/>
    <w:rsid w:val="009A6659"/>
    <w:rsid w:val="009A6EFB"/>
    <w:rsid w:val="009A6F97"/>
    <w:rsid w:val="009A7489"/>
    <w:rsid w:val="009A7F54"/>
    <w:rsid w:val="009B03D1"/>
    <w:rsid w:val="009B06E0"/>
    <w:rsid w:val="009B0897"/>
    <w:rsid w:val="009B096D"/>
    <w:rsid w:val="009B0C13"/>
    <w:rsid w:val="009B109B"/>
    <w:rsid w:val="009B1142"/>
    <w:rsid w:val="009B1420"/>
    <w:rsid w:val="009B14FF"/>
    <w:rsid w:val="009B1633"/>
    <w:rsid w:val="009B1E26"/>
    <w:rsid w:val="009B3063"/>
    <w:rsid w:val="009B35CB"/>
    <w:rsid w:val="009B3864"/>
    <w:rsid w:val="009B46E8"/>
    <w:rsid w:val="009B5752"/>
    <w:rsid w:val="009B579A"/>
    <w:rsid w:val="009B5D38"/>
    <w:rsid w:val="009B5F3C"/>
    <w:rsid w:val="009B6E90"/>
    <w:rsid w:val="009B6FC8"/>
    <w:rsid w:val="009B7233"/>
    <w:rsid w:val="009B7410"/>
    <w:rsid w:val="009B7BD9"/>
    <w:rsid w:val="009C13EA"/>
    <w:rsid w:val="009C1C4D"/>
    <w:rsid w:val="009C1F6E"/>
    <w:rsid w:val="009C2DCD"/>
    <w:rsid w:val="009C3180"/>
    <w:rsid w:val="009C3218"/>
    <w:rsid w:val="009C3FDE"/>
    <w:rsid w:val="009C4783"/>
    <w:rsid w:val="009C48AA"/>
    <w:rsid w:val="009C6D10"/>
    <w:rsid w:val="009C6F55"/>
    <w:rsid w:val="009C735B"/>
    <w:rsid w:val="009C76F2"/>
    <w:rsid w:val="009C7ABE"/>
    <w:rsid w:val="009C7CD5"/>
    <w:rsid w:val="009C7DD5"/>
    <w:rsid w:val="009D0AC4"/>
    <w:rsid w:val="009D0C84"/>
    <w:rsid w:val="009D0E0F"/>
    <w:rsid w:val="009D1A63"/>
    <w:rsid w:val="009D1B82"/>
    <w:rsid w:val="009D285C"/>
    <w:rsid w:val="009D2D6C"/>
    <w:rsid w:val="009D2F1C"/>
    <w:rsid w:val="009D319F"/>
    <w:rsid w:val="009D3AA5"/>
    <w:rsid w:val="009D3EFB"/>
    <w:rsid w:val="009D4310"/>
    <w:rsid w:val="009D4B65"/>
    <w:rsid w:val="009D5357"/>
    <w:rsid w:val="009D5806"/>
    <w:rsid w:val="009D6AB7"/>
    <w:rsid w:val="009D6BCC"/>
    <w:rsid w:val="009D7161"/>
    <w:rsid w:val="009D74B8"/>
    <w:rsid w:val="009D78F9"/>
    <w:rsid w:val="009D7905"/>
    <w:rsid w:val="009E0268"/>
    <w:rsid w:val="009E052E"/>
    <w:rsid w:val="009E0642"/>
    <w:rsid w:val="009E13FF"/>
    <w:rsid w:val="009E1AC7"/>
    <w:rsid w:val="009E1B45"/>
    <w:rsid w:val="009E227D"/>
    <w:rsid w:val="009E2AB1"/>
    <w:rsid w:val="009E31B7"/>
    <w:rsid w:val="009E3CA2"/>
    <w:rsid w:val="009E3FF1"/>
    <w:rsid w:val="009E4204"/>
    <w:rsid w:val="009E4352"/>
    <w:rsid w:val="009E465B"/>
    <w:rsid w:val="009E4CAF"/>
    <w:rsid w:val="009E5019"/>
    <w:rsid w:val="009E53FE"/>
    <w:rsid w:val="009E5A13"/>
    <w:rsid w:val="009E5A40"/>
    <w:rsid w:val="009E5D97"/>
    <w:rsid w:val="009E5FA8"/>
    <w:rsid w:val="009E63FE"/>
    <w:rsid w:val="009E64EC"/>
    <w:rsid w:val="009E6749"/>
    <w:rsid w:val="009E6F09"/>
    <w:rsid w:val="009F0165"/>
    <w:rsid w:val="009F0707"/>
    <w:rsid w:val="009F0C39"/>
    <w:rsid w:val="009F0EF9"/>
    <w:rsid w:val="009F1177"/>
    <w:rsid w:val="009F1853"/>
    <w:rsid w:val="009F1927"/>
    <w:rsid w:val="009F1E79"/>
    <w:rsid w:val="009F1E84"/>
    <w:rsid w:val="009F203E"/>
    <w:rsid w:val="009F3542"/>
    <w:rsid w:val="009F3AD0"/>
    <w:rsid w:val="009F3D87"/>
    <w:rsid w:val="009F441C"/>
    <w:rsid w:val="009F4426"/>
    <w:rsid w:val="009F45F6"/>
    <w:rsid w:val="009F474E"/>
    <w:rsid w:val="009F48D2"/>
    <w:rsid w:val="009F50A3"/>
    <w:rsid w:val="009F619F"/>
    <w:rsid w:val="009F7DC3"/>
    <w:rsid w:val="009F7E62"/>
    <w:rsid w:val="00A00E20"/>
    <w:rsid w:val="00A01293"/>
    <w:rsid w:val="00A01E96"/>
    <w:rsid w:val="00A0288E"/>
    <w:rsid w:val="00A0432E"/>
    <w:rsid w:val="00A04F1B"/>
    <w:rsid w:val="00A0501B"/>
    <w:rsid w:val="00A0552E"/>
    <w:rsid w:val="00A05EB0"/>
    <w:rsid w:val="00A05EC1"/>
    <w:rsid w:val="00A062A8"/>
    <w:rsid w:val="00A06BA7"/>
    <w:rsid w:val="00A07691"/>
    <w:rsid w:val="00A078C4"/>
    <w:rsid w:val="00A1059A"/>
    <w:rsid w:val="00A107B2"/>
    <w:rsid w:val="00A10852"/>
    <w:rsid w:val="00A119C9"/>
    <w:rsid w:val="00A1212C"/>
    <w:rsid w:val="00A124CA"/>
    <w:rsid w:val="00A12844"/>
    <w:rsid w:val="00A12CAF"/>
    <w:rsid w:val="00A13BA7"/>
    <w:rsid w:val="00A14947"/>
    <w:rsid w:val="00A14D7C"/>
    <w:rsid w:val="00A15194"/>
    <w:rsid w:val="00A15C84"/>
    <w:rsid w:val="00A15CE4"/>
    <w:rsid w:val="00A15E03"/>
    <w:rsid w:val="00A16387"/>
    <w:rsid w:val="00A1715D"/>
    <w:rsid w:val="00A21BE3"/>
    <w:rsid w:val="00A221CA"/>
    <w:rsid w:val="00A22528"/>
    <w:rsid w:val="00A22DD3"/>
    <w:rsid w:val="00A23C47"/>
    <w:rsid w:val="00A244DB"/>
    <w:rsid w:val="00A24A87"/>
    <w:rsid w:val="00A25458"/>
    <w:rsid w:val="00A256ED"/>
    <w:rsid w:val="00A2583E"/>
    <w:rsid w:val="00A259C5"/>
    <w:rsid w:val="00A25A42"/>
    <w:rsid w:val="00A26994"/>
    <w:rsid w:val="00A27680"/>
    <w:rsid w:val="00A27939"/>
    <w:rsid w:val="00A3038E"/>
    <w:rsid w:val="00A305A1"/>
    <w:rsid w:val="00A3077A"/>
    <w:rsid w:val="00A30AAB"/>
    <w:rsid w:val="00A30B73"/>
    <w:rsid w:val="00A30DBC"/>
    <w:rsid w:val="00A310D4"/>
    <w:rsid w:val="00A32005"/>
    <w:rsid w:val="00A32586"/>
    <w:rsid w:val="00A328C1"/>
    <w:rsid w:val="00A329A8"/>
    <w:rsid w:val="00A32A83"/>
    <w:rsid w:val="00A32C77"/>
    <w:rsid w:val="00A336E4"/>
    <w:rsid w:val="00A33C29"/>
    <w:rsid w:val="00A34502"/>
    <w:rsid w:val="00A34DAA"/>
    <w:rsid w:val="00A34F53"/>
    <w:rsid w:val="00A34FC3"/>
    <w:rsid w:val="00A368DB"/>
    <w:rsid w:val="00A37929"/>
    <w:rsid w:val="00A401B4"/>
    <w:rsid w:val="00A402DD"/>
    <w:rsid w:val="00A40718"/>
    <w:rsid w:val="00A409DB"/>
    <w:rsid w:val="00A41A7D"/>
    <w:rsid w:val="00A423AA"/>
    <w:rsid w:val="00A43169"/>
    <w:rsid w:val="00A431D5"/>
    <w:rsid w:val="00A431ED"/>
    <w:rsid w:val="00A43402"/>
    <w:rsid w:val="00A44476"/>
    <w:rsid w:val="00A44848"/>
    <w:rsid w:val="00A44A29"/>
    <w:rsid w:val="00A44B54"/>
    <w:rsid w:val="00A44B76"/>
    <w:rsid w:val="00A44DFE"/>
    <w:rsid w:val="00A472B8"/>
    <w:rsid w:val="00A47734"/>
    <w:rsid w:val="00A4797C"/>
    <w:rsid w:val="00A47A02"/>
    <w:rsid w:val="00A47B9B"/>
    <w:rsid w:val="00A47C79"/>
    <w:rsid w:val="00A47F34"/>
    <w:rsid w:val="00A501C6"/>
    <w:rsid w:val="00A5037C"/>
    <w:rsid w:val="00A5089A"/>
    <w:rsid w:val="00A5140F"/>
    <w:rsid w:val="00A518D3"/>
    <w:rsid w:val="00A518FA"/>
    <w:rsid w:val="00A51A26"/>
    <w:rsid w:val="00A52551"/>
    <w:rsid w:val="00A529EA"/>
    <w:rsid w:val="00A534FB"/>
    <w:rsid w:val="00A53EC6"/>
    <w:rsid w:val="00A541C3"/>
    <w:rsid w:val="00A54F41"/>
    <w:rsid w:val="00A557C3"/>
    <w:rsid w:val="00A55C0F"/>
    <w:rsid w:val="00A55E7E"/>
    <w:rsid w:val="00A55F6E"/>
    <w:rsid w:val="00A55FB4"/>
    <w:rsid w:val="00A56180"/>
    <w:rsid w:val="00A569AA"/>
    <w:rsid w:val="00A56C18"/>
    <w:rsid w:val="00A575FB"/>
    <w:rsid w:val="00A5788D"/>
    <w:rsid w:val="00A57CB4"/>
    <w:rsid w:val="00A60B43"/>
    <w:rsid w:val="00A60F9A"/>
    <w:rsid w:val="00A6174E"/>
    <w:rsid w:val="00A618AE"/>
    <w:rsid w:val="00A61D6A"/>
    <w:rsid w:val="00A634F1"/>
    <w:rsid w:val="00A641B9"/>
    <w:rsid w:val="00A64598"/>
    <w:rsid w:val="00A646C5"/>
    <w:rsid w:val="00A64BB6"/>
    <w:rsid w:val="00A65500"/>
    <w:rsid w:val="00A657D4"/>
    <w:rsid w:val="00A657FB"/>
    <w:rsid w:val="00A663DE"/>
    <w:rsid w:val="00A66E60"/>
    <w:rsid w:val="00A67375"/>
    <w:rsid w:val="00A701B4"/>
    <w:rsid w:val="00A70261"/>
    <w:rsid w:val="00A702F3"/>
    <w:rsid w:val="00A70506"/>
    <w:rsid w:val="00A70B2B"/>
    <w:rsid w:val="00A71051"/>
    <w:rsid w:val="00A71245"/>
    <w:rsid w:val="00A715FE"/>
    <w:rsid w:val="00A71DE1"/>
    <w:rsid w:val="00A72109"/>
    <w:rsid w:val="00A7224B"/>
    <w:rsid w:val="00A723A8"/>
    <w:rsid w:val="00A72511"/>
    <w:rsid w:val="00A729AF"/>
    <w:rsid w:val="00A73666"/>
    <w:rsid w:val="00A73B53"/>
    <w:rsid w:val="00A73BED"/>
    <w:rsid w:val="00A7441C"/>
    <w:rsid w:val="00A746B3"/>
    <w:rsid w:val="00A74E88"/>
    <w:rsid w:val="00A75A0C"/>
    <w:rsid w:val="00A760F6"/>
    <w:rsid w:val="00A779F0"/>
    <w:rsid w:val="00A779F6"/>
    <w:rsid w:val="00A779FE"/>
    <w:rsid w:val="00A800EC"/>
    <w:rsid w:val="00A80168"/>
    <w:rsid w:val="00A808AE"/>
    <w:rsid w:val="00A808C7"/>
    <w:rsid w:val="00A80EA5"/>
    <w:rsid w:val="00A8124C"/>
    <w:rsid w:val="00A8274F"/>
    <w:rsid w:val="00A8288A"/>
    <w:rsid w:val="00A82A2D"/>
    <w:rsid w:val="00A82B2B"/>
    <w:rsid w:val="00A82BD2"/>
    <w:rsid w:val="00A8361B"/>
    <w:rsid w:val="00A83796"/>
    <w:rsid w:val="00A84ECB"/>
    <w:rsid w:val="00A854AA"/>
    <w:rsid w:val="00A855D9"/>
    <w:rsid w:val="00A85751"/>
    <w:rsid w:val="00A85FC9"/>
    <w:rsid w:val="00A86C6F"/>
    <w:rsid w:val="00A8713F"/>
    <w:rsid w:val="00A8729C"/>
    <w:rsid w:val="00A874CA"/>
    <w:rsid w:val="00A907CF"/>
    <w:rsid w:val="00A90BA1"/>
    <w:rsid w:val="00A90F81"/>
    <w:rsid w:val="00A9236D"/>
    <w:rsid w:val="00A931FD"/>
    <w:rsid w:val="00A938F2"/>
    <w:rsid w:val="00A94DB0"/>
    <w:rsid w:val="00A957D0"/>
    <w:rsid w:val="00A95A11"/>
    <w:rsid w:val="00A95C32"/>
    <w:rsid w:val="00A96AD1"/>
    <w:rsid w:val="00A96C86"/>
    <w:rsid w:val="00A96C9F"/>
    <w:rsid w:val="00A97A9A"/>
    <w:rsid w:val="00A97B08"/>
    <w:rsid w:val="00A97C9E"/>
    <w:rsid w:val="00AA00EC"/>
    <w:rsid w:val="00AA017E"/>
    <w:rsid w:val="00AA0218"/>
    <w:rsid w:val="00AA0419"/>
    <w:rsid w:val="00AA0671"/>
    <w:rsid w:val="00AA0E49"/>
    <w:rsid w:val="00AA10EC"/>
    <w:rsid w:val="00AA1491"/>
    <w:rsid w:val="00AA18BD"/>
    <w:rsid w:val="00AA18EA"/>
    <w:rsid w:val="00AA1978"/>
    <w:rsid w:val="00AA19AF"/>
    <w:rsid w:val="00AA1D1B"/>
    <w:rsid w:val="00AA20CC"/>
    <w:rsid w:val="00AA2531"/>
    <w:rsid w:val="00AA25D0"/>
    <w:rsid w:val="00AA3144"/>
    <w:rsid w:val="00AA3991"/>
    <w:rsid w:val="00AA3A2F"/>
    <w:rsid w:val="00AA3DBC"/>
    <w:rsid w:val="00AA42B9"/>
    <w:rsid w:val="00AA4373"/>
    <w:rsid w:val="00AA4AA1"/>
    <w:rsid w:val="00AA4C44"/>
    <w:rsid w:val="00AA51C4"/>
    <w:rsid w:val="00AA539D"/>
    <w:rsid w:val="00AA560E"/>
    <w:rsid w:val="00AA61E0"/>
    <w:rsid w:val="00AA62FA"/>
    <w:rsid w:val="00AA6B65"/>
    <w:rsid w:val="00AA6C9E"/>
    <w:rsid w:val="00AA6DA2"/>
    <w:rsid w:val="00AA6FE2"/>
    <w:rsid w:val="00AA7222"/>
    <w:rsid w:val="00AA7DDF"/>
    <w:rsid w:val="00AB0152"/>
    <w:rsid w:val="00AB0326"/>
    <w:rsid w:val="00AB06BB"/>
    <w:rsid w:val="00AB0A69"/>
    <w:rsid w:val="00AB0B3C"/>
    <w:rsid w:val="00AB1247"/>
    <w:rsid w:val="00AB1291"/>
    <w:rsid w:val="00AB152F"/>
    <w:rsid w:val="00AB1696"/>
    <w:rsid w:val="00AB1E09"/>
    <w:rsid w:val="00AB1E38"/>
    <w:rsid w:val="00AB2398"/>
    <w:rsid w:val="00AB26B9"/>
    <w:rsid w:val="00AB2855"/>
    <w:rsid w:val="00AB2FFB"/>
    <w:rsid w:val="00AB33C5"/>
    <w:rsid w:val="00AB4169"/>
    <w:rsid w:val="00AB442F"/>
    <w:rsid w:val="00AB4D92"/>
    <w:rsid w:val="00AB5330"/>
    <w:rsid w:val="00AB5372"/>
    <w:rsid w:val="00AB55CB"/>
    <w:rsid w:val="00AB5A60"/>
    <w:rsid w:val="00AB62F3"/>
    <w:rsid w:val="00AB65DD"/>
    <w:rsid w:val="00AB66BF"/>
    <w:rsid w:val="00AB6863"/>
    <w:rsid w:val="00AB6980"/>
    <w:rsid w:val="00AB6B44"/>
    <w:rsid w:val="00AB737B"/>
    <w:rsid w:val="00AB73CB"/>
    <w:rsid w:val="00AB7747"/>
    <w:rsid w:val="00AC0E2F"/>
    <w:rsid w:val="00AC0F7C"/>
    <w:rsid w:val="00AC1291"/>
    <w:rsid w:val="00AC14CE"/>
    <w:rsid w:val="00AC1DA3"/>
    <w:rsid w:val="00AC1F51"/>
    <w:rsid w:val="00AC28D1"/>
    <w:rsid w:val="00AC2A56"/>
    <w:rsid w:val="00AC3075"/>
    <w:rsid w:val="00AC3697"/>
    <w:rsid w:val="00AC3BB0"/>
    <w:rsid w:val="00AC4022"/>
    <w:rsid w:val="00AC4572"/>
    <w:rsid w:val="00AC46DB"/>
    <w:rsid w:val="00AC53F0"/>
    <w:rsid w:val="00AC6444"/>
    <w:rsid w:val="00AC657F"/>
    <w:rsid w:val="00AC6643"/>
    <w:rsid w:val="00AC6FEC"/>
    <w:rsid w:val="00AC738A"/>
    <w:rsid w:val="00AC7862"/>
    <w:rsid w:val="00AC7A32"/>
    <w:rsid w:val="00AD0482"/>
    <w:rsid w:val="00AD055E"/>
    <w:rsid w:val="00AD12C7"/>
    <w:rsid w:val="00AD181E"/>
    <w:rsid w:val="00AD1873"/>
    <w:rsid w:val="00AD1C20"/>
    <w:rsid w:val="00AD1D9C"/>
    <w:rsid w:val="00AD2564"/>
    <w:rsid w:val="00AD2EF4"/>
    <w:rsid w:val="00AD3C41"/>
    <w:rsid w:val="00AD47A7"/>
    <w:rsid w:val="00AD5A05"/>
    <w:rsid w:val="00AD5AB9"/>
    <w:rsid w:val="00AD6579"/>
    <w:rsid w:val="00AD69F0"/>
    <w:rsid w:val="00AD7340"/>
    <w:rsid w:val="00AD7A8C"/>
    <w:rsid w:val="00AE0372"/>
    <w:rsid w:val="00AE08ED"/>
    <w:rsid w:val="00AE1265"/>
    <w:rsid w:val="00AE1A1F"/>
    <w:rsid w:val="00AE1A94"/>
    <w:rsid w:val="00AE1CEC"/>
    <w:rsid w:val="00AE2FF8"/>
    <w:rsid w:val="00AE3A64"/>
    <w:rsid w:val="00AE3B63"/>
    <w:rsid w:val="00AE3B9C"/>
    <w:rsid w:val="00AE3C04"/>
    <w:rsid w:val="00AE42FA"/>
    <w:rsid w:val="00AE463B"/>
    <w:rsid w:val="00AE4AA3"/>
    <w:rsid w:val="00AE4CA4"/>
    <w:rsid w:val="00AE4E1C"/>
    <w:rsid w:val="00AE506D"/>
    <w:rsid w:val="00AE50E0"/>
    <w:rsid w:val="00AE513B"/>
    <w:rsid w:val="00AE5330"/>
    <w:rsid w:val="00AE551D"/>
    <w:rsid w:val="00AE5726"/>
    <w:rsid w:val="00AE5A77"/>
    <w:rsid w:val="00AE5ABA"/>
    <w:rsid w:val="00AE61B4"/>
    <w:rsid w:val="00AE66DD"/>
    <w:rsid w:val="00AE7651"/>
    <w:rsid w:val="00AE7A1D"/>
    <w:rsid w:val="00AE7ED9"/>
    <w:rsid w:val="00AF0453"/>
    <w:rsid w:val="00AF0CBF"/>
    <w:rsid w:val="00AF11F2"/>
    <w:rsid w:val="00AF257F"/>
    <w:rsid w:val="00AF33CF"/>
    <w:rsid w:val="00AF43C5"/>
    <w:rsid w:val="00AF4B86"/>
    <w:rsid w:val="00AF4C46"/>
    <w:rsid w:val="00AF4D50"/>
    <w:rsid w:val="00AF532D"/>
    <w:rsid w:val="00AF5A32"/>
    <w:rsid w:val="00AF6179"/>
    <w:rsid w:val="00AF6268"/>
    <w:rsid w:val="00AF6496"/>
    <w:rsid w:val="00AF64BF"/>
    <w:rsid w:val="00AF66D2"/>
    <w:rsid w:val="00AF68AB"/>
    <w:rsid w:val="00AF6B44"/>
    <w:rsid w:val="00AF6F36"/>
    <w:rsid w:val="00AF7006"/>
    <w:rsid w:val="00AF7326"/>
    <w:rsid w:val="00AF7834"/>
    <w:rsid w:val="00AF7ABA"/>
    <w:rsid w:val="00B002F7"/>
    <w:rsid w:val="00B00D14"/>
    <w:rsid w:val="00B01196"/>
    <w:rsid w:val="00B0168D"/>
    <w:rsid w:val="00B0192B"/>
    <w:rsid w:val="00B01C6F"/>
    <w:rsid w:val="00B020A1"/>
    <w:rsid w:val="00B024BC"/>
    <w:rsid w:val="00B024C4"/>
    <w:rsid w:val="00B03307"/>
    <w:rsid w:val="00B0386B"/>
    <w:rsid w:val="00B03A0E"/>
    <w:rsid w:val="00B03CB4"/>
    <w:rsid w:val="00B03D1E"/>
    <w:rsid w:val="00B04092"/>
    <w:rsid w:val="00B047EB"/>
    <w:rsid w:val="00B04FF9"/>
    <w:rsid w:val="00B0511C"/>
    <w:rsid w:val="00B05390"/>
    <w:rsid w:val="00B058CE"/>
    <w:rsid w:val="00B058E4"/>
    <w:rsid w:val="00B067CC"/>
    <w:rsid w:val="00B067CD"/>
    <w:rsid w:val="00B07640"/>
    <w:rsid w:val="00B0768E"/>
    <w:rsid w:val="00B07B7A"/>
    <w:rsid w:val="00B102B2"/>
    <w:rsid w:val="00B10753"/>
    <w:rsid w:val="00B1111A"/>
    <w:rsid w:val="00B11518"/>
    <w:rsid w:val="00B116F1"/>
    <w:rsid w:val="00B11C14"/>
    <w:rsid w:val="00B1253D"/>
    <w:rsid w:val="00B1272E"/>
    <w:rsid w:val="00B1295A"/>
    <w:rsid w:val="00B12D87"/>
    <w:rsid w:val="00B12F1F"/>
    <w:rsid w:val="00B1303C"/>
    <w:rsid w:val="00B13318"/>
    <w:rsid w:val="00B14166"/>
    <w:rsid w:val="00B15153"/>
    <w:rsid w:val="00B15663"/>
    <w:rsid w:val="00B15CC4"/>
    <w:rsid w:val="00B15E31"/>
    <w:rsid w:val="00B15E73"/>
    <w:rsid w:val="00B16284"/>
    <w:rsid w:val="00B16362"/>
    <w:rsid w:val="00B16572"/>
    <w:rsid w:val="00B1672A"/>
    <w:rsid w:val="00B16AEC"/>
    <w:rsid w:val="00B16CE4"/>
    <w:rsid w:val="00B16ECE"/>
    <w:rsid w:val="00B17247"/>
    <w:rsid w:val="00B17377"/>
    <w:rsid w:val="00B173A2"/>
    <w:rsid w:val="00B17424"/>
    <w:rsid w:val="00B17C7C"/>
    <w:rsid w:val="00B20005"/>
    <w:rsid w:val="00B20132"/>
    <w:rsid w:val="00B20379"/>
    <w:rsid w:val="00B20A45"/>
    <w:rsid w:val="00B21050"/>
    <w:rsid w:val="00B21EF6"/>
    <w:rsid w:val="00B22BE8"/>
    <w:rsid w:val="00B22C5C"/>
    <w:rsid w:val="00B239B2"/>
    <w:rsid w:val="00B23BE3"/>
    <w:rsid w:val="00B24068"/>
    <w:rsid w:val="00B2425A"/>
    <w:rsid w:val="00B24A4F"/>
    <w:rsid w:val="00B24E87"/>
    <w:rsid w:val="00B24F30"/>
    <w:rsid w:val="00B2586D"/>
    <w:rsid w:val="00B26AD1"/>
    <w:rsid w:val="00B273A3"/>
    <w:rsid w:val="00B2778C"/>
    <w:rsid w:val="00B30BA7"/>
    <w:rsid w:val="00B30C94"/>
    <w:rsid w:val="00B3100C"/>
    <w:rsid w:val="00B31830"/>
    <w:rsid w:val="00B31869"/>
    <w:rsid w:val="00B31ABF"/>
    <w:rsid w:val="00B323BD"/>
    <w:rsid w:val="00B33251"/>
    <w:rsid w:val="00B33628"/>
    <w:rsid w:val="00B33874"/>
    <w:rsid w:val="00B33B67"/>
    <w:rsid w:val="00B33BBE"/>
    <w:rsid w:val="00B33BCB"/>
    <w:rsid w:val="00B33BE3"/>
    <w:rsid w:val="00B34C9A"/>
    <w:rsid w:val="00B35102"/>
    <w:rsid w:val="00B35573"/>
    <w:rsid w:val="00B35947"/>
    <w:rsid w:val="00B35EFD"/>
    <w:rsid w:val="00B360EC"/>
    <w:rsid w:val="00B36131"/>
    <w:rsid w:val="00B36266"/>
    <w:rsid w:val="00B36561"/>
    <w:rsid w:val="00B368C0"/>
    <w:rsid w:val="00B36934"/>
    <w:rsid w:val="00B375B2"/>
    <w:rsid w:val="00B37A0D"/>
    <w:rsid w:val="00B37EC3"/>
    <w:rsid w:val="00B404E9"/>
    <w:rsid w:val="00B407E2"/>
    <w:rsid w:val="00B41636"/>
    <w:rsid w:val="00B41B8A"/>
    <w:rsid w:val="00B42700"/>
    <w:rsid w:val="00B43E38"/>
    <w:rsid w:val="00B43EBB"/>
    <w:rsid w:val="00B44962"/>
    <w:rsid w:val="00B44E2C"/>
    <w:rsid w:val="00B4545E"/>
    <w:rsid w:val="00B4588C"/>
    <w:rsid w:val="00B45B27"/>
    <w:rsid w:val="00B45CFB"/>
    <w:rsid w:val="00B45D33"/>
    <w:rsid w:val="00B45FFD"/>
    <w:rsid w:val="00B470A7"/>
    <w:rsid w:val="00B47306"/>
    <w:rsid w:val="00B47CCC"/>
    <w:rsid w:val="00B50217"/>
    <w:rsid w:val="00B50276"/>
    <w:rsid w:val="00B505DE"/>
    <w:rsid w:val="00B518B3"/>
    <w:rsid w:val="00B5206E"/>
    <w:rsid w:val="00B52641"/>
    <w:rsid w:val="00B52858"/>
    <w:rsid w:val="00B528DE"/>
    <w:rsid w:val="00B52D8B"/>
    <w:rsid w:val="00B52F85"/>
    <w:rsid w:val="00B53B0C"/>
    <w:rsid w:val="00B53B5D"/>
    <w:rsid w:val="00B53CAB"/>
    <w:rsid w:val="00B53E51"/>
    <w:rsid w:val="00B54123"/>
    <w:rsid w:val="00B5489C"/>
    <w:rsid w:val="00B54B37"/>
    <w:rsid w:val="00B54CFF"/>
    <w:rsid w:val="00B5513A"/>
    <w:rsid w:val="00B56087"/>
    <w:rsid w:val="00B56822"/>
    <w:rsid w:val="00B5722F"/>
    <w:rsid w:val="00B5744E"/>
    <w:rsid w:val="00B5760A"/>
    <w:rsid w:val="00B60175"/>
    <w:rsid w:val="00B602B8"/>
    <w:rsid w:val="00B603B3"/>
    <w:rsid w:val="00B603CF"/>
    <w:rsid w:val="00B6055E"/>
    <w:rsid w:val="00B60F5B"/>
    <w:rsid w:val="00B6140C"/>
    <w:rsid w:val="00B61595"/>
    <w:rsid w:val="00B61829"/>
    <w:rsid w:val="00B620B1"/>
    <w:rsid w:val="00B621D0"/>
    <w:rsid w:val="00B62822"/>
    <w:rsid w:val="00B62890"/>
    <w:rsid w:val="00B62D09"/>
    <w:rsid w:val="00B63071"/>
    <w:rsid w:val="00B6317D"/>
    <w:rsid w:val="00B63513"/>
    <w:rsid w:val="00B639D5"/>
    <w:rsid w:val="00B63E84"/>
    <w:rsid w:val="00B64581"/>
    <w:rsid w:val="00B64A96"/>
    <w:rsid w:val="00B64AC8"/>
    <w:rsid w:val="00B6543B"/>
    <w:rsid w:val="00B65C54"/>
    <w:rsid w:val="00B664DB"/>
    <w:rsid w:val="00B6739C"/>
    <w:rsid w:val="00B704E9"/>
    <w:rsid w:val="00B708A3"/>
    <w:rsid w:val="00B708E3"/>
    <w:rsid w:val="00B70D6A"/>
    <w:rsid w:val="00B72014"/>
    <w:rsid w:val="00B72857"/>
    <w:rsid w:val="00B72882"/>
    <w:rsid w:val="00B72958"/>
    <w:rsid w:val="00B7304B"/>
    <w:rsid w:val="00B7350E"/>
    <w:rsid w:val="00B74671"/>
    <w:rsid w:val="00B748F2"/>
    <w:rsid w:val="00B74CBF"/>
    <w:rsid w:val="00B74DC0"/>
    <w:rsid w:val="00B756D4"/>
    <w:rsid w:val="00B75A92"/>
    <w:rsid w:val="00B76023"/>
    <w:rsid w:val="00B7603A"/>
    <w:rsid w:val="00B76BD5"/>
    <w:rsid w:val="00B76E6C"/>
    <w:rsid w:val="00B77037"/>
    <w:rsid w:val="00B7723F"/>
    <w:rsid w:val="00B7724D"/>
    <w:rsid w:val="00B77763"/>
    <w:rsid w:val="00B7783A"/>
    <w:rsid w:val="00B779BB"/>
    <w:rsid w:val="00B80534"/>
    <w:rsid w:val="00B81025"/>
    <w:rsid w:val="00B8128A"/>
    <w:rsid w:val="00B81338"/>
    <w:rsid w:val="00B82C3E"/>
    <w:rsid w:val="00B82E12"/>
    <w:rsid w:val="00B8315A"/>
    <w:rsid w:val="00B83386"/>
    <w:rsid w:val="00B8357F"/>
    <w:rsid w:val="00B838A9"/>
    <w:rsid w:val="00B83936"/>
    <w:rsid w:val="00B8433C"/>
    <w:rsid w:val="00B85B95"/>
    <w:rsid w:val="00B871E4"/>
    <w:rsid w:val="00B87323"/>
    <w:rsid w:val="00B87491"/>
    <w:rsid w:val="00B8751F"/>
    <w:rsid w:val="00B87910"/>
    <w:rsid w:val="00B87A7C"/>
    <w:rsid w:val="00B87F05"/>
    <w:rsid w:val="00B90A14"/>
    <w:rsid w:val="00B90A24"/>
    <w:rsid w:val="00B90EF0"/>
    <w:rsid w:val="00B913D5"/>
    <w:rsid w:val="00B91B15"/>
    <w:rsid w:val="00B91CBE"/>
    <w:rsid w:val="00B92336"/>
    <w:rsid w:val="00B9359D"/>
    <w:rsid w:val="00B93DB8"/>
    <w:rsid w:val="00B944E6"/>
    <w:rsid w:val="00B9489F"/>
    <w:rsid w:val="00B94990"/>
    <w:rsid w:val="00B9518D"/>
    <w:rsid w:val="00B95777"/>
    <w:rsid w:val="00B957B7"/>
    <w:rsid w:val="00B95880"/>
    <w:rsid w:val="00B966F0"/>
    <w:rsid w:val="00B97208"/>
    <w:rsid w:val="00B9771A"/>
    <w:rsid w:val="00B97C28"/>
    <w:rsid w:val="00B97E6B"/>
    <w:rsid w:val="00BA038F"/>
    <w:rsid w:val="00BA0688"/>
    <w:rsid w:val="00BA0EE9"/>
    <w:rsid w:val="00BA1063"/>
    <w:rsid w:val="00BA17B0"/>
    <w:rsid w:val="00BA19EC"/>
    <w:rsid w:val="00BA1E7B"/>
    <w:rsid w:val="00BA1F3E"/>
    <w:rsid w:val="00BA222B"/>
    <w:rsid w:val="00BA2429"/>
    <w:rsid w:val="00BA244E"/>
    <w:rsid w:val="00BA29E9"/>
    <w:rsid w:val="00BA356E"/>
    <w:rsid w:val="00BA3FF1"/>
    <w:rsid w:val="00BA4044"/>
    <w:rsid w:val="00BA4281"/>
    <w:rsid w:val="00BA4ABC"/>
    <w:rsid w:val="00BA4B2D"/>
    <w:rsid w:val="00BA4CD7"/>
    <w:rsid w:val="00BA51F7"/>
    <w:rsid w:val="00BA64CD"/>
    <w:rsid w:val="00BA6A2F"/>
    <w:rsid w:val="00BA6E99"/>
    <w:rsid w:val="00BA7142"/>
    <w:rsid w:val="00BA73F7"/>
    <w:rsid w:val="00BA7A31"/>
    <w:rsid w:val="00BB078A"/>
    <w:rsid w:val="00BB0F70"/>
    <w:rsid w:val="00BB1461"/>
    <w:rsid w:val="00BB19EC"/>
    <w:rsid w:val="00BB237C"/>
    <w:rsid w:val="00BB24C1"/>
    <w:rsid w:val="00BB28B3"/>
    <w:rsid w:val="00BB2D9C"/>
    <w:rsid w:val="00BB2F42"/>
    <w:rsid w:val="00BB38B6"/>
    <w:rsid w:val="00BB3ADD"/>
    <w:rsid w:val="00BB3DDA"/>
    <w:rsid w:val="00BB41A3"/>
    <w:rsid w:val="00BB440C"/>
    <w:rsid w:val="00BB47F3"/>
    <w:rsid w:val="00BB5431"/>
    <w:rsid w:val="00BB5707"/>
    <w:rsid w:val="00BB605D"/>
    <w:rsid w:val="00BB6545"/>
    <w:rsid w:val="00BB6D03"/>
    <w:rsid w:val="00BB714D"/>
    <w:rsid w:val="00BB7892"/>
    <w:rsid w:val="00BB7AF1"/>
    <w:rsid w:val="00BB7F8F"/>
    <w:rsid w:val="00BC05E6"/>
    <w:rsid w:val="00BC0925"/>
    <w:rsid w:val="00BC0FFE"/>
    <w:rsid w:val="00BC1029"/>
    <w:rsid w:val="00BC237E"/>
    <w:rsid w:val="00BC2D8C"/>
    <w:rsid w:val="00BC2EDB"/>
    <w:rsid w:val="00BC32DC"/>
    <w:rsid w:val="00BC35B6"/>
    <w:rsid w:val="00BC35C4"/>
    <w:rsid w:val="00BC3CC8"/>
    <w:rsid w:val="00BC3D7B"/>
    <w:rsid w:val="00BC42FB"/>
    <w:rsid w:val="00BC472F"/>
    <w:rsid w:val="00BC49DE"/>
    <w:rsid w:val="00BC4B15"/>
    <w:rsid w:val="00BC5941"/>
    <w:rsid w:val="00BC5962"/>
    <w:rsid w:val="00BC5A36"/>
    <w:rsid w:val="00BC6575"/>
    <w:rsid w:val="00BC6933"/>
    <w:rsid w:val="00BC6B47"/>
    <w:rsid w:val="00BC6DA2"/>
    <w:rsid w:val="00BD12DC"/>
    <w:rsid w:val="00BD146C"/>
    <w:rsid w:val="00BD18DD"/>
    <w:rsid w:val="00BD1B51"/>
    <w:rsid w:val="00BD2563"/>
    <w:rsid w:val="00BD2709"/>
    <w:rsid w:val="00BD2720"/>
    <w:rsid w:val="00BD2B77"/>
    <w:rsid w:val="00BD2DDB"/>
    <w:rsid w:val="00BD2ECB"/>
    <w:rsid w:val="00BD32FA"/>
    <w:rsid w:val="00BD3338"/>
    <w:rsid w:val="00BD41AA"/>
    <w:rsid w:val="00BD4596"/>
    <w:rsid w:val="00BD54FC"/>
    <w:rsid w:val="00BD574E"/>
    <w:rsid w:val="00BD5764"/>
    <w:rsid w:val="00BD598C"/>
    <w:rsid w:val="00BD5F14"/>
    <w:rsid w:val="00BD6173"/>
    <w:rsid w:val="00BD6264"/>
    <w:rsid w:val="00BD653E"/>
    <w:rsid w:val="00BD6C7F"/>
    <w:rsid w:val="00BD6EDF"/>
    <w:rsid w:val="00BD6EE3"/>
    <w:rsid w:val="00BD70D3"/>
    <w:rsid w:val="00BD7FCF"/>
    <w:rsid w:val="00BE0C27"/>
    <w:rsid w:val="00BE0E12"/>
    <w:rsid w:val="00BE1391"/>
    <w:rsid w:val="00BE1405"/>
    <w:rsid w:val="00BE1481"/>
    <w:rsid w:val="00BE1573"/>
    <w:rsid w:val="00BE1767"/>
    <w:rsid w:val="00BE1838"/>
    <w:rsid w:val="00BE199D"/>
    <w:rsid w:val="00BE3027"/>
    <w:rsid w:val="00BE312D"/>
    <w:rsid w:val="00BE35D4"/>
    <w:rsid w:val="00BE3B44"/>
    <w:rsid w:val="00BE4A5E"/>
    <w:rsid w:val="00BE4E10"/>
    <w:rsid w:val="00BE553C"/>
    <w:rsid w:val="00BE57B2"/>
    <w:rsid w:val="00BE69B3"/>
    <w:rsid w:val="00BE6A2A"/>
    <w:rsid w:val="00BE6B0A"/>
    <w:rsid w:val="00BE6D0A"/>
    <w:rsid w:val="00BE730B"/>
    <w:rsid w:val="00BE757D"/>
    <w:rsid w:val="00BE77D7"/>
    <w:rsid w:val="00BE7E7F"/>
    <w:rsid w:val="00BE7F87"/>
    <w:rsid w:val="00BE7FEC"/>
    <w:rsid w:val="00BF0B2E"/>
    <w:rsid w:val="00BF1220"/>
    <w:rsid w:val="00BF1593"/>
    <w:rsid w:val="00BF1C20"/>
    <w:rsid w:val="00BF1C24"/>
    <w:rsid w:val="00BF1D86"/>
    <w:rsid w:val="00BF1F1A"/>
    <w:rsid w:val="00BF2142"/>
    <w:rsid w:val="00BF26A8"/>
    <w:rsid w:val="00BF30CF"/>
    <w:rsid w:val="00BF30E1"/>
    <w:rsid w:val="00BF3645"/>
    <w:rsid w:val="00BF3735"/>
    <w:rsid w:val="00BF3A25"/>
    <w:rsid w:val="00BF3FDD"/>
    <w:rsid w:val="00BF471B"/>
    <w:rsid w:val="00BF4CBC"/>
    <w:rsid w:val="00BF4F1F"/>
    <w:rsid w:val="00BF519A"/>
    <w:rsid w:val="00BF56B4"/>
    <w:rsid w:val="00BF597A"/>
    <w:rsid w:val="00BF5F92"/>
    <w:rsid w:val="00BF6132"/>
    <w:rsid w:val="00BF6A5D"/>
    <w:rsid w:val="00BF6C0C"/>
    <w:rsid w:val="00BF6D16"/>
    <w:rsid w:val="00BF71A3"/>
    <w:rsid w:val="00BF71B8"/>
    <w:rsid w:val="00BF73C4"/>
    <w:rsid w:val="00BF7CC0"/>
    <w:rsid w:val="00C0069B"/>
    <w:rsid w:val="00C00986"/>
    <w:rsid w:val="00C0203E"/>
    <w:rsid w:val="00C0284B"/>
    <w:rsid w:val="00C02D51"/>
    <w:rsid w:val="00C02DB8"/>
    <w:rsid w:val="00C032C3"/>
    <w:rsid w:val="00C036B9"/>
    <w:rsid w:val="00C03AAB"/>
    <w:rsid w:val="00C03B04"/>
    <w:rsid w:val="00C03F92"/>
    <w:rsid w:val="00C0439C"/>
    <w:rsid w:val="00C04571"/>
    <w:rsid w:val="00C04815"/>
    <w:rsid w:val="00C04A69"/>
    <w:rsid w:val="00C04D6B"/>
    <w:rsid w:val="00C04DFA"/>
    <w:rsid w:val="00C05BD6"/>
    <w:rsid w:val="00C05E88"/>
    <w:rsid w:val="00C05ED7"/>
    <w:rsid w:val="00C0647B"/>
    <w:rsid w:val="00C06712"/>
    <w:rsid w:val="00C06AB1"/>
    <w:rsid w:val="00C06CC6"/>
    <w:rsid w:val="00C076CB"/>
    <w:rsid w:val="00C07801"/>
    <w:rsid w:val="00C07A43"/>
    <w:rsid w:val="00C1010C"/>
    <w:rsid w:val="00C10578"/>
    <w:rsid w:val="00C10B48"/>
    <w:rsid w:val="00C10F53"/>
    <w:rsid w:val="00C11676"/>
    <w:rsid w:val="00C12135"/>
    <w:rsid w:val="00C1213B"/>
    <w:rsid w:val="00C12D93"/>
    <w:rsid w:val="00C131C3"/>
    <w:rsid w:val="00C135BC"/>
    <w:rsid w:val="00C138BB"/>
    <w:rsid w:val="00C145B2"/>
    <w:rsid w:val="00C146D0"/>
    <w:rsid w:val="00C146DF"/>
    <w:rsid w:val="00C14935"/>
    <w:rsid w:val="00C149DE"/>
    <w:rsid w:val="00C14F3F"/>
    <w:rsid w:val="00C15552"/>
    <w:rsid w:val="00C15C95"/>
    <w:rsid w:val="00C168E4"/>
    <w:rsid w:val="00C168EC"/>
    <w:rsid w:val="00C200FF"/>
    <w:rsid w:val="00C20699"/>
    <w:rsid w:val="00C20C53"/>
    <w:rsid w:val="00C20DC4"/>
    <w:rsid w:val="00C21855"/>
    <w:rsid w:val="00C21988"/>
    <w:rsid w:val="00C22129"/>
    <w:rsid w:val="00C22426"/>
    <w:rsid w:val="00C224C3"/>
    <w:rsid w:val="00C22622"/>
    <w:rsid w:val="00C22862"/>
    <w:rsid w:val="00C22948"/>
    <w:rsid w:val="00C2299B"/>
    <w:rsid w:val="00C22D71"/>
    <w:rsid w:val="00C23116"/>
    <w:rsid w:val="00C2357D"/>
    <w:rsid w:val="00C236D7"/>
    <w:rsid w:val="00C23D0E"/>
    <w:rsid w:val="00C23EC9"/>
    <w:rsid w:val="00C24316"/>
    <w:rsid w:val="00C24437"/>
    <w:rsid w:val="00C247C6"/>
    <w:rsid w:val="00C2508E"/>
    <w:rsid w:val="00C2596A"/>
    <w:rsid w:val="00C26606"/>
    <w:rsid w:val="00C27537"/>
    <w:rsid w:val="00C27BB3"/>
    <w:rsid w:val="00C27D69"/>
    <w:rsid w:val="00C3043D"/>
    <w:rsid w:val="00C30815"/>
    <w:rsid w:val="00C3255C"/>
    <w:rsid w:val="00C328FE"/>
    <w:rsid w:val="00C32A8D"/>
    <w:rsid w:val="00C33507"/>
    <w:rsid w:val="00C3420E"/>
    <w:rsid w:val="00C3496A"/>
    <w:rsid w:val="00C34B04"/>
    <w:rsid w:val="00C359D5"/>
    <w:rsid w:val="00C35C01"/>
    <w:rsid w:val="00C35CA3"/>
    <w:rsid w:val="00C35DF8"/>
    <w:rsid w:val="00C35F13"/>
    <w:rsid w:val="00C36157"/>
    <w:rsid w:val="00C3626E"/>
    <w:rsid w:val="00C3633F"/>
    <w:rsid w:val="00C36434"/>
    <w:rsid w:val="00C36791"/>
    <w:rsid w:val="00C36CA7"/>
    <w:rsid w:val="00C36CB4"/>
    <w:rsid w:val="00C40029"/>
    <w:rsid w:val="00C40AD8"/>
    <w:rsid w:val="00C4118F"/>
    <w:rsid w:val="00C411C2"/>
    <w:rsid w:val="00C41619"/>
    <w:rsid w:val="00C41AA6"/>
    <w:rsid w:val="00C422B0"/>
    <w:rsid w:val="00C42588"/>
    <w:rsid w:val="00C426F1"/>
    <w:rsid w:val="00C429C2"/>
    <w:rsid w:val="00C42F2F"/>
    <w:rsid w:val="00C43015"/>
    <w:rsid w:val="00C4377C"/>
    <w:rsid w:val="00C438CE"/>
    <w:rsid w:val="00C43F12"/>
    <w:rsid w:val="00C4409D"/>
    <w:rsid w:val="00C4417A"/>
    <w:rsid w:val="00C44373"/>
    <w:rsid w:val="00C44557"/>
    <w:rsid w:val="00C4479D"/>
    <w:rsid w:val="00C44E72"/>
    <w:rsid w:val="00C44F15"/>
    <w:rsid w:val="00C45651"/>
    <w:rsid w:val="00C45A06"/>
    <w:rsid w:val="00C46307"/>
    <w:rsid w:val="00C47098"/>
    <w:rsid w:val="00C47D26"/>
    <w:rsid w:val="00C47E5B"/>
    <w:rsid w:val="00C50029"/>
    <w:rsid w:val="00C50099"/>
    <w:rsid w:val="00C5029A"/>
    <w:rsid w:val="00C503F8"/>
    <w:rsid w:val="00C50604"/>
    <w:rsid w:val="00C50D27"/>
    <w:rsid w:val="00C50F49"/>
    <w:rsid w:val="00C51292"/>
    <w:rsid w:val="00C5170F"/>
    <w:rsid w:val="00C51CEA"/>
    <w:rsid w:val="00C52933"/>
    <w:rsid w:val="00C52DF7"/>
    <w:rsid w:val="00C53D74"/>
    <w:rsid w:val="00C54DF7"/>
    <w:rsid w:val="00C54E4D"/>
    <w:rsid w:val="00C5514D"/>
    <w:rsid w:val="00C55325"/>
    <w:rsid w:val="00C555BE"/>
    <w:rsid w:val="00C55950"/>
    <w:rsid w:val="00C57ACA"/>
    <w:rsid w:val="00C6057B"/>
    <w:rsid w:val="00C60C9C"/>
    <w:rsid w:val="00C60D8C"/>
    <w:rsid w:val="00C61ACE"/>
    <w:rsid w:val="00C61D2B"/>
    <w:rsid w:val="00C61E4B"/>
    <w:rsid w:val="00C6222C"/>
    <w:rsid w:val="00C6249E"/>
    <w:rsid w:val="00C626AF"/>
    <w:rsid w:val="00C62F57"/>
    <w:rsid w:val="00C63E72"/>
    <w:rsid w:val="00C6421C"/>
    <w:rsid w:val="00C64616"/>
    <w:rsid w:val="00C6488C"/>
    <w:rsid w:val="00C64BFF"/>
    <w:rsid w:val="00C64CD6"/>
    <w:rsid w:val="00C64D24"/>
    <w:rsid w:val="00C653D2"/>
    <w:rsid w:val="00C65EF1"/>
    <w:rsid w:val="00C662C6"/>
    <w:rsid w:val="00C66716"/>
    <w:rsid w:val="00C66B94"/>
    <w:rsid w:val="00C66DF6"/>
    <w:rsid w:val="00C675AD"/>
    <w:rsid w:val="00C67B84"/>
    <w:rsid w:val="00C704E9"/>
    <w:rsid w:val="00C70505"/>
    <w:rsid w:val="00C7050F"/>
    <w:rsid w:val="00C70993"/>
    <w:rsid w:val="00C70A97"/>
    <w:rsid w:val="00C70E2B"/>
    <w:rsid w:val="00C71E6B"/>
    <w:rsid w:val="00C72DFF"/>
    <w:rsid w:val="00C72F61"/>
    <w:rsid w:val="00C7360C"/>
    <w:rsid w:val="00C73849"/>
    <w:rsid w:val="00C7402A"/>
    <w:rsid w:val="00C7463A"/>
    <w:rsid w:val="00C74860"/>
    <w:rsid w:val="00C74972"/>
    <w:rsid w:val="00C754A0"/>
    <w:rsid w:val="00C755BE"/>
    <w:rsid w:val="00C758C2"/>
    <w:rsid w:val="00C758C6"/>
    <w:rsid w:val="00C75CCC"/>
    <w:rsid w:val="00C763C9"/>
    <w:rsid w:val="00C76B51"/>
    <w:rsid w:val="00C76B99"/>
    <w:rsid w:val="00C77045"/>
    <w:rsid w:val="00C77AAF"/>
    <w:rsid w:val="00C77C5E"/>
    <w:rsid w:val="00C77E49"/>
    <w:rsid w:val="00C80057"/>
    <w:rsid w:val="00C81287"/>
    <w:rsid w:val="00C81667"/>
    <w:rsid w:val="00C81C85"/>
    <w:rsid w:val="00C82232"/>
    <w:rsid w:val="00C82913"/>
    <w:rsid w:val="00C83DD7"/>
    <w:rsid w:val="00C8434F"/>
    <w:rsid w:val="00C84FFF"/>
    <w:rsid w:val="00C854C3"/>
    <w:rsid w:val="00C855A8"/>
    <w:rsid w:val="00C85740"/>
    <w:rsid w:val="00C8592F"/>
    <w:rsid w:val="00C862C2"/>
    <w:rsid w:val="00C862FC"/>
    <w:rsid w:val="00C86443"/>
    <w:rsid w:val="00C868C7"/>
    <w:rsid w:val="00C86A2D"/>
    <w:rsid w:val="00C86D64"/>
    <w:rsid w:val="00C8736E"/>
    <w:rsid w:val="00C87B74"/>
    <w:rsid w:val="00C87C09"/>
    <w:rsid w:val="00C87E80"/>
    <w:rsid w:val="00C907D2"/>
    <w:rsid w:val="00C90F54"/>
    <w:rsid w:val="00C9164E"/>
    <w:rsid w:val="00C92196"/>
    <w:rsid w:val="00C92D81"/>
    <w:rsid w:val="00C9389A"/>
    <w:rsid w:val="00C93E73"/>
    <w:rsid w:val="00C94555"/>
    <w:rsid w:val="00C94C44"/>
    <w:rsid w:val="00C94E24"/>
    <w:rsid w:val="00C95D21"/>
    <w:rsid w:val="00C95F08"/>
    <w:rsid w:val="00C96EF1"/>
    <w:rsid w:val="00C972B1"/>
    <w:rsid w:val="00C97A0D"/>
    <w:rsid w:val="00CA0320"/>
    <w:rsid w:val="00CA0B64"/>
    <w:rsid w:val="00CA134D"/>
    <w:rsid w:val="00CA27B9"/>
    <w:rsid w:val="00CA2CCE"/>
    <w:rsid w:val="00CA2DAA"/>
    <w:rsid w:val="00CA2E49"/>
    <w:rsid w:val="00CA2EDB"/>
    <w:rsid w:val="00CA334A"/>
    <w:rsid w:val="00CA43FD"/>
    <w:rsid w:val="00CA4A66"/>
    <w:rsid w:val="00CA4D7E"/>
    <w:rsid w:val="00CA5265"/>
    <w:rsid w:val="00CA5792"/>
    <w:rsid w:val="00CA62B0"/>
    <w:rsid w:val="00CA7001"/>
    <w:rsid w:val="00CA7350"/>
    <w:rsid w:val="00CA7EF8"/>
    <w:rsid w:val="00CB219B"/>
    <w:rsid w:val="00CB29A3"/>
    <w:rsid w:val="00CB2FDD"/>
    <w:rsid w:val="00CB30F6"/>
    <w:rsid w:val="00CB317C"/>
    <w:rsid w:val="00CB31F9"/>
    <w:rsid w:val="00CB32F7"/>
    <w:rsid w:val="00CB37B6"/>
    <w:rsid w:val="00CB40A0"/>
    <w:rsid w:val="00CB43AB"/>
    <w:rsid w:val="00CB4795"/>
    <w:rsid w:val="00CB4BAE"/>
    <w:rsid w:val="00CB4C9C"/>
    <w:rsid w:val="00CB5AFB"/>
    <w:rsid w:val="00CB5E0F"/>
    <w:rsid w:val="00CB600B"/>
    <w:rsid w:val="00CB684C"/>
    <w:rsid w:val="00CB6A4B"/>
    <w:rsid w:val="00CB76F0"/>
    <w:rsid w:val="00CB77E3"/>
    <w:rsid w:val="00CB7D15"/>
    <w:rsid w:val="00CC0288"/>
    <w:rsid w:val="00CC0402"/>
    <w:rsid w:val="00CC0852"/>
    <w:rsid w:val="00CC0DF3"/>
    <w:rsid w:val="00CC0E10"/>
    <w:rsid w:val="00CC0E87"/>
    <w:rsid w:val="00CC0F2C"/>
    <w:rsid w:val="00CC2384"/>
    <w:rsid w:val="00CC25CF"/>
    <w:rsid w:val="00CC2991"/>
    <w:rsid w:val="00CC2D28"/>
    <w:rsid w:val="00CC3E40"/>
    <w:rsid w:val="00CC40C5"/>
    <w:rsid w:val="00CC4378"/>
    <w:rsid w:val="00CC4404"/>
    <w:rsid w:val="00CC4489"/>
    <w:rsid w:val="00CC489B"/>
    <w:rsid w:val="00CC6694"/>
    <w:rsid w:val="00CC699E"/>
    <w:rsid w:val="00CC771A"/>
    <w:rsid w:val="00CC7B6F"/>
    <w:rsid w:val="00CD0233"/>
    <w:rsid w:val="00CD117E"/>
    <w:rsid w:val="00CD11CE"/>
    <w:rsid w:val="00CD173B"/>
    <w:rsid w:val="00CD18A0"/>
    <w:rsid w:val="00CD19FA"/>
    <w:rsid w:val="00CD2490"/>
    <w:rsid w:val="00CD26C2"/>
    <w:rsid w:val="00CD28F6"/>
    <w:rsid w:val="00CD2BCD"/>
    <w:rsid w:val="00CD2D5D"/>
    <w:rsid w:val="00CD2F07"/>
    <w:rsid w:val="00CD3530"/>
    <w:rsid w:val="00CD36E2"/>
    <w:rsid w:val="00CD3793"/>
    <w:rsid w:val="00CD3890"/>
    <w:rsid w:val="00CD3A4C"/>
    <w:rsid w:val="00CD456E"/>
    <w:rsid w:val="00CD4733"/>
    <w:rsid w:val="00CD530A"/>
    <w:rsid w:val="00CD5B8E"/>
    <w:rsid w:val="00CD5F6C"/>
    <w:rsid w:val="00CD63E2"/>
    <w:rsid w:val="00CD656F"/>
    <w:rsid w:val="00CD78DE"/>
    <w:rsid w:val="00CD78E0"/>
    <w:rsid w:val="00CD79F3"/>
    <w:rsid w:val="00CD7A29"/>
    <w:rsid w:val="00CD7B93"/>
    <w:rsid w:val="00CE0B47"/>
    <w:rsid w:val="00CE10E9"/>
    <w:rsid w:val="00CE134B"/>
    <w:rsid w:val="00CE14A4"/>
    <w:rsid w:val="00CE16B0"/>
    <w:rsid w:val="00CE19F5"/>
    <w:rsid w:val="00CE1D50"/>
    <w:rsid w:val="00CE1DB9"/>
    <w:rsid w:val="00CE20DE"/>
    <w:rsid w:val="00CE2420"/>
    <w:rsid w:val="00CE2910"/>
    <w:rsid w:val="00CE2D77"/>
    <w:rsid w:val="00CE3105"/>
    <w:rsid w:val="00CE320D"/>
    <w:rsid w:val="00CE352D"/>
    <w:rsid w:val="00CE394D"/>
    <w:rsid w:val="00CE3980"/>
    <w:rsid w:val="00CE4102"/>
    <w:rsid w:val="00CE422F"/>
    <w:rsid w:val="00CE445E"/>
    <w:rsid w:val="00CE46B4"/>
    <w:rsid w:val="00CE46FF"/>
    <w:rsid w:val="00CE4A12"/>
    <w:rsid w:val="00CE5270"/>
    <w:rsid w:val="00CE52B8"/>
    <w:rsid w:val="00CE5334"/>
    <w:rsid w:val="00CE5393"/>
    <w:rsid w:val="00CE5DB9"/>
    <w:rsid w:val="00CE63BA"/>
    <w:rsid w:val="00CE65E1"/>
    <w:rsid w:val="00CE6668"/>
    <w:rsid w:val="00CE6A42"/>
    <w:rsid w:val="00CE789F"/>
    <w:rsid w:val="00CE7A97"/>
    <w:rsid w:val="00CE7ADB"/>
    <w:rsid w:val="00CF0145"/>
    <w:rsid w:val="00CF0998"/>
    <w:rsid w:val="00CF15A6"/>
    <w:rsid w:val="00CF19B0"/>
    <w:rsid w:val="00CF228D"/>
    <w:rsid w:val="00CF30D7"/>
    <w:rsid w:val="00CF3238"/>
    <w:rsid w:val="00CF3255"/>
    <w:rsid w:val="00CF36BE"/>
    <w:rsid w:val="00CF3BA1"/>
    <w:rsid w:val="00CF40DD"/>
    <w:rsid w:val="00CF4A4D"/>
    <w:rsid w:val="00CF4FE5"/>
    <w:rsid w:val="00CF539D"/>
    <w:rsid w:val="00CF5790"/>
    <w:rsid w:val="00CF58D0"/>
    <w:rsid w:val="00CF6000"/>
    <w:rsid w:val="00CF65F9"/>
    <w:rsid w:val="00CF6BA4"/>
    <w:rsid w:val="00CF7355"/>
    <w:rsid w:val="00CF76A6"/>
    <w:rsid w:val="00CF772D"/>
    <w:rsid w:val="00CF7C3B"/>
    <w:rsid w:val="00CF7F2A"/>
    <w:rsid w:val="00D003F3"/>
    <w:rsid w:val="00D00A86"/>
    <w:rsid w:val="00D00ACB"/>
    <w:rsid w:val="00D00CB2"/>
    <w:rsid w:val="00D01C26"/>
    <w:rsid w:val="00D01F71"/>
    <w:rsid w:val="00D02267"/>
    <w:rsid w:val="00D02804"/>
    <w:rsid w:val="00D02919"/>
    <w:rsid w:val="00D02B18"/>
    <w:rsid w:val="00D02DB0"/>
    <w:rsid w:val="00D0352D"/>
    <w:rsid w:val="00D0364F"/>
    <w:rsid w:val="00D03C53"/>
    <w:rsid w:val="00D03E45"/>
    <w:rsid w:val="00D04281"/>
    <w:rsid w:val="00D04680"/>
    <w:rsid w:val="00D048C5"/>
    <w:rsid w:val="00D04DB7"/>
    <w:rsid w:val="00D04EC6"/>
    <w:rsid w:val="00D05481"/>
    <w:rsid w:val="00D0612C"/>
    <w:rsid w:val="00D06834"/>
    <w:rsid w:val="00D06AF7"/>
    <w:rsid w:val="00D0785B"/>
    <w:rsid w:val="00D07C23"/>
    <w:rsid w:val="00D07FBF"/>
    <w:rsid w:val="00D107C7"/>
    <w:rsid w:val="00D107D9"/>
    <w:rsid w:val="00D1154A"/>
    <w:rsid w:val="00D1155B"/>
    <w:rsid w:val="00D11A41"/>
    <w:rsid w:val="00D11DDE"/>
    <w:rsid w:val="00D11F78"/>
    <w:rsid w:val="00D120D5"/>
    <w:rsid w:val="00D123A4"/>
    <w:rsid w:val="00D124D7"/>
    <w:rsid w:val="00D12583"/>
    <w:rsid w:val="00D12748"/>
    <w:rsid w:val="00D13513"/>
    <w:rsid w:val="00D13BE2"/>
    <w:rsid w:val="00D13C66"/>
    <w:rsid w:val="00D145CC"/>
    <w:rsid w:val="00D1465D"/>
    <w:rsid w:val="00D14D8F"/>
    <w:rsid w:val="00D15978"/>
    <w:rsid w:val="00D15CEA"/>
    <w:rsid w:val="00D16539"/>
    <w:rsid w:val="00D165D6"/>
    <w:rsid w:val="00D16D7B"/>
    <w:rsid w:val="00D16E8C"/>
    <w:rsid w:val="00D16F81"/>
    <w:rsid w:val="00D17D68"/>
    <w:rsid w:val="00D2080D"/>
    <w:rsid w:val="00D20B71"/>
    <w:rsid w:val="00D2114B"/>
    <w:rsid w:val="00D212EF"/>
    <w:rsid w:val="00D2142A"/>
    <w:rsid w:val="00D225D8"/>
    <w:rsid w:val="00D226D2"/>
    <w:rsid w:val="00D22930"/>
    <w:rsid w:val="00D22F15"/>
    <w:rsid w:val="00D2386A"/>
    <w:rsid w:val="00D23A85"/>
    <w:rsid w:val="00D24C8E"/>
    <w:rsid w:val="00D24D5D"/>
    <w:rsid w:val="00D250C2"/>
    <w:rsid w:val="00D2577E"/>
    <w:rsid w:val="00D264A4"/>
    <w:rsid w:val="00D26871"/>
    <w:rsid w:val="00D26A6B"/>
    <w:rsid w:val="00D26C55"/>
    <w:rsid w:val="00D26F13"/>
    <w:rsid w:val="00D27B1C"/>
    <w:rsid w:val="00D27F24"/>
    <w:rsid w:val="00D300E2"/>
    <w:rsid w:val="00D30181"/>
    <w:rsid w:val="00D30819"/>
    <w:rsid w:val="00D308ED"/>
    <w:rsid w:val="00D3182F"/>
    <w:rsid w:val="00D31DFF"/>
    <w:rsid w:val="00D32874"/>
    <w:rsid w:val="00D33E3A"/>
    <w:rsid w:val="00D34DB5"/>
    <w:rsid w:val="00D350F1"/>
    <w:rsid w:val="00D35307"/>
    <w:rsid w:val="00D35654"/>
    <w:rsid w:val="00D357CF"/>
    <w:rsid w:val="00D35D24"/>
    <w:rsid w:val="00D369D1"/>
    <w:rsid w:val="00D36D86"/>
    <w:rsid w:val="00D36E50"/>
    <w:rsid w:val="00D3763A"/>
    <w:rsid w:val="00D378BE"/>
    <w:rsid w:val="00D3795D"/>
    <w:rsid w:val="00D40466"/>
    <w:rsid w:val="00D40632"/>
    <w:rsid w:val="00D406AC"/>
    <w:rsid w:val="00D407B2"/>
    <w:rsid w:val="00D40FF1"/>
    <w:rsid w:val="00D411EE"/>
    <w:rsid w:val="00D417FA"/>
    <w:rsid w:val="00D41814"/>
    <w:rsid w:val="00D41CA2"/>
    <w:rsid w:val="00D42687"/>
    <w:rsid w:val="00D426E1"/>
    <w:rsid w:val="00D428AA"/>
    <w:rsid w:val="00D42C78"/>
    <w:rsid w:val="00D432A1"/>
    <w:rsid w:val="00D434BB"/>
    <w:rsid w:val="00D43A60"/>
    <w:rsid w:val="00D4447E"/>
    <w:rsid w:val="00D44661"/>
    <w:rsid w:val="00D45243"/>
    <w:rsid w:val="00D45582"/>
    <w:rsid w:val="00D45DDC"/>
    <w:rsid w:val="00D45FA2"/>
    <w:rsid w:val="00D465F3"/>
    <w:rsid w:val="00D47043"/>
    <w:rsid w:val="00D472D0"/>
    <w:rsid w:val="00D47385"/>
    <w:rsid w:val="00D47574"/>
    <w:rsid w:val="00D47692"/>
    <w:rsid w:val="00D4782F"/>
    <w:rsid w:val="00D478D3"/>
    <w:rsid w:val="00D500D0"/>
    <w:rsid w:val="00D50777"/>
    <w:rsid w:val="00D50A34"/>
    <w:rsid w:val="00D50E73"/>
    <w:rsid w:val="00D50F23"/>
    <w:rsid w:val="00D513AF"/>
    <w:rsid w:val="00D51402"/>
    <w:rsid w:val="00D51793"/>
    <w:rsid w:val="00D51896"/>
    <w:rsid w:val="00D51AC5"/>
    <w:rsid w:val="00D51DBF"/>
    <w:rsid w:val="00D51FC7"/>
    <w:rsid w:val="00D52686"/>
    <w:rsid w:val="00D531BC"/>
    <w:rsid w:val="00D538AE"/>
    <w:rsid w:val="00D53EFA"/>
    <w:rsid w:val="00D540A9"/>
    <w:rsid w:val="00D54272"/>
    <w:rsid w:val="00D54427"/>
    <w:rsid w:val="00D54CA7"/>
    <w:rsid w:val="00D5583C"/>
    <w:rsid w:val="00D55F10"/>
    <w:rsid w:val="00D562EA"/>
    <w:rsid w:val="00D5683A"/>
    <w:rsid w:val="00D56A74"/>
    <w:rsid w:val="00D5765D"/>
    <w:rsid w:val="00D577A3"/>
    <w:rsid w:val="00D577FA"/>
    <w:rsid w:val="00D57B42"/>
    <w:rsid w:val="00D60A30"/>
    <w:rsid w:val="00D60F3A"/>
    <w:rsid w:val="00D62374"/>
    <w:rsid w:val="00D62763"/>
    <w:rsid w:val="00D629F4"/>
    <w:rsid w:val="00D62EBA"/>
    <w:rsid w:val="00D62F32"/>
    <w:rsid w:val="00D63B69"/>
    <w:rsid w:val="00D63F2E"/>
    <w:rsid w:val="00D64154"/>
    <w:rsid w:val="00D6444B"/>
    <w:rsid w:val="00D64B5D"/>
    <w:rsid w:val="00D65341"/>
    <w:rsid w:val="00D65680"/>
    <w:rsid w:val="00D65AA8"/>
    <w:rsid w:val="00D65B20"/>
    <w:rsid w:val="00D66224"/>
    <w:rsid w:val="00D662CF"/>
    <w:rsid w:val="00D66335"/>
    <w:rsid w:val="00D66857"/>
    <w:rsid w:val="00D66ECA"/>
    <w:rsid w:val="00D67CAD"/>
    <w:rsid w:val="00D67CEB"/>
    <w:rsid w:val="00D67F33"/>
    <w:rsid w:val="00D7017E"/>
    <w:rsid w:val="00D703CB"/>
    <w:rsid w:val="00D70EC5"/>
    <w:rsid w:val="00D713DC"/>
    <w:rsid w:val="00D714CF"/>
    <w:rsid w:val="00D71C6B"/>
    <w:rsid w:val="00D71D60"/>
    <w:rsid w:val="00D72601"/>
    <w:rsid w:val="00D72B4C"/>
    <w:rsid w:val="00D72C1C"/>
    <w:rsid w:val="00D72CAA"/>
    <w:rsid w:val="00D742E9"/>
    <w:rsid w:val="00D74342"/>
    <w:rsid w:val="00D7478B"/>
    <w:rsid w:val="00D7493F"/>
    <w:rsid w:val="00D74BD6"/>
    <w:rsid w:val="00D74D09"/>
    <w:rsid w:val="00D755C1"/>
    <w:rsid w:val="00D75A57"/>
    <w:rsid w:val="00D75EDC"/>
    <w:rsid w:val="00D75FDE"/>
    <w:rsid w:val="00D762DE"/>
    <w:rsid w:val="00D76916"/>
    <w:rsid w:val="00D76C87"/>
    <w:rsid w:val="00D77E1F"/>
    <w:rsid w:val="00D80901"/>
    <w:rsid w:val="00D81239"/>
    <w:rsid w:val="00D81422"/>
    <w:rsid w:val="00D818F2"/>
    <w:rsid w:val="00D8194E"/>
    <w:rsid w:val="00D81A4A"/>
    <w:rsid w:val="00D81B6A"/>
    <w:rsid w:val="00D81BA9"/>
    <w:rsid w:val="00D82405"/>
    <w:rsid w:val="00D82F93"/>
    <w:rsid w:val="00D83660"/>
    <w:rsid w:val="00D84017"/>
    <w:rsid w:val="00D8458C"/>
    <w:rsid w:val="00D84F29"/>
    <w:rsid w:val="00D85325"/>
    <w:rsid w:val="00D8553A"/>
    <w:rsid w:val="00D85728"/>
    <w:rsid w:val="00D8589F"/>
    <w:rsid w:val="00D859D0"/>
    <w:rsid w:val="00D86655"/>
    <w:rsid w:val="00D86FED"/>
    <w:rsid w:val="00D8712A"/>
    <w:rsid w:val="00D87345"/>
    <w:rsid w:val="00D875D5"/>
    <w:rsid w:val="00D87ECC"/>
    <w:rsid w:val="00D90305"/>
    <w:rsid w:val="00D907DE"/>
    <w:rsid w:val="00D90D1D"/>
    <w:rsid w:val="00D91175"/>
    <w:rsid w:val="00D9158D"/>
    <w:rsid w:val="00D917E1"/>
    <w:rsid w:val="00D91E36"/>
    <w:rsid w:val="00D92CBC"/>
    <w:rsid w:val="00D9400C"/>
    <w:rsid w:val="00D94469"/>
    <w:rsid w:val="00D94901"/>
    <w:rsid w:val="00D94A7C"/>
    <w:rsid w:val="00D94DBC"/>
    <w:rsid w:val="00D95288"/>
    <w:rsid w:val="00D953E2"/>
    <w:rsid w:val="00D9563F"/>
    <w:rsid w:val="00D95896"/>
    <w:rsid w:val="00D95C2B"/>
    <w:rsid w:val="00D95F91"/>
    <w:rsid w:val="00D96580"/>
    <w:rsid w:val="00D96902"/>
    <w:rsid w:val="00D96C78"/>
    <w:rsid w:val="00DA09D1"/>
    <w:rsid w:val="00DA0F4C"/>
    <w:rsid w:val="00DA12C1"/>
    <w:rsid w:val="00DA169E"/>
    <w:rsid w:val="00DA17CC"/>
    <w:rsid w:val="00DA192E"/>
    <w:rsid w:val="00DA2572"/>
    <w:rsid w:val="00DA27AB"/>
    <w:rsid w:val="00DA2B88"/>
    <w:rsid w:val="00DA3BAA"/>
    <w:rsid w:val="00DA43CD"/>
    <w:rsid w:val="00DA4DFB"/>
    <w:rsid w:val="00DA51E2"/>
    <w:rsid w:val="00DA5D6D"/>
    <w:rsid w:val="00DB0208"/>
    <w:rsid w:val="00DB02CB"/>
    <w:rsid w:val="00DB11FE"/>
    <w:rsid w:val="00DB2825"/>
    <w:rsid w:val="00DB2983"/>
    <w:rsid w:val="00DB2AE1"/>
    <w:rsid w:val="00DB3661"/>
    <w:rsid w:val="00DB39F8"/>
    <w:rsid w:val="00DB423D"/>
    <w:rsid w:val="00DB4303"/>
    <w:rsid w:val="00DB4361"/>
    <w:rsid w:val="00DB4D97"/>
    <w:rsid w:val="00DB5B24"/>
    <w:rsid w:val="00DB5D84"/>
    <w:rsid w:val="00DB7339"/>
    <w:rsid w:val="00DB7656"/>
    <w:rsid w:val="00DB7861"/>
    <w:rsid w:val="00DC03AD"/>
    <w:rsid w:val="00DC0769"/>
    <w:rsid w:val="00DC11FA"/>
    <w:rsid w:val="00DC1257"/>
    <w:rsid w:val="00DC1C6D"/>
    <w:rsid w:val="00DC1C92"/>
    <w:rsid w:val="00DC24F1"/>
    <w:rsid w:val="00DC2724"/>
    <w:rsid w:val="00DC2BD3"/>
    <w:rsid w:val="00DC2DB9"/>
    <w:rsid w:val="00DC2FD8"/>
    <w:rsid w:val="00DC3DC0"/>
    <w:rsid w:val="00DC41BD"/>
    <w:rsid w:val="00DC4B30"/>
    <w:rsid w:val="00DC4CDA"/>
    <w:rsid w:val="00DC5B2B"/>
    <w:rsid w:val="00DC5CE9"/>
    <w:rsid w:val="00DC6AD4"/>
    <w:rsid w:val="00DC7196"/>
    <w:rsid w:val="00DC729F"/>
    <w:rsid w:val="00DD0749"/>
    <w:rsid w:val="00DD08EF"/>
    <w:rsid w:val="00DD0A54"/>
    <w:rsid w:val="00DD1450"/>
    <w:rsid w:val="00DD14A9"/>
    <w:rsid w:val="00DD1518"/>
    <w:rsid w:val="00DD1883"/>
    <w:rsid w:val="00DD1F6A"/>
    <w:rsid w:val="00DD1F8B"/>
    <w:rsid w:val="00DD20C9"/>
    <w:rsid w:val="00DD2409"/>
    <w:rsid w:val="00DD2719"/>
    <w:rsid w:val="00DD318D"/>
    <w:rsid w:val="00DD3667"/>
    <w:rsid w:val="00DD3713"/>
    <w:rsid w:val="00DD37C2"/>
    <w:rsid w:val="00DD39AC"/>
    <w:rsid w:val="00DD3C51"/>
    <w:rsid w:val="00DD3F53"/>
    <w:rsid w:val="00DD4DCB"/>
    <w:rsid w:val="00DD5226"/>
    <w:rsid w:val="00DD54EB"/>
    <w:rsid w:val="00DD5ECA"/>
    <w:rsid w:val="00DD62B1"/>
    <w:rsid w:val="00DD6975"/>
    <w:rsid w:val="00DD6B8B"/>
    <w:rsid w:val="00DD7CCA"/>
    <w:rsid w:val="00DE00C2"/>
    <w:rsid w:val="00DE0A9D"/>
    <w:rsid w:val="00DE0D79"/>
    <w:rsid w:val="00DE1128"/>
    <w:rsid w:val="00DE113C"/>
    <w:rsid w:val="00DE152A"/>
    <w:rsid w:val="00DE16D6"/>
    <w:rsid w:val="00DE17B4"/>
    <w:rsid w:val="00DE1BBA"/>
    <w:rsid w:val="00DE1D07"/>
    <w:rsid w:val="00DE1FA3"/>
    <w:rsid w:val="00DE23BC"/>
    <w:rsid w:val="00DE2549"/>
    <w:rsid w:val="00DE2B5B"/>
    <w:rsid w:val="00DE36D1"/>
    <w:rsid w:val="00DE3924"/>
    <w:rsid w:val="00DE3B10"/>
    <w:rsid w:val="00DE4296"/>
    <w:rsid w:val="00DE4E97"/>
    <w:rsid w:val="00DE51B8"/>
    <w:rsid w:val="00DE5C58"/>
    <w:rsid w:val="00DE5DE9"/>
    <w:rsid w:val="00DE5ED8"/>
    <w:rsid w:val="00DE6D2D"/>
    <w:rsid w:val="00DE7500"/>
    <w:rsid w:val="00DE776B"/>
    <w:rsid w:val="00DE777B"/>
    <w:rsid w:val="00DE78A9"/>
    <w:rsid w:val="00DE7D00"/>
    <w:rsid w:val="00DE7D53"/>
    <w:rsid w:val="00DE7E9F"/>
    <w:rsid w:val="00DE7F2E"/>
    <w:rsid w:val="00DF000C"/>
    <w:rsid w:val="00DF048B"/>
    <w:rsid w:val="00DF0649"/>
    <w:rsid w:val="00DF1ED2"/>
    <w:rsid w:val="00DF25E2"/>
    <w:rsid w:val="00DF2758"/>
    <w:rsid w:val="00DF2E12"/>
    <w:rsid w:val="00DF45C0"/>
    <w:rsid w:val="00DF4DFC"/>
    <w:rsid w:val="00DF4F70"/>
    <w:rsid w:val="00DF514A"/>
    <w:rsid w:val="00DF52F7"/>
    <w:rsid w:val="00DF58D7"/>
    <w:rsid w:val="00DF5B4E"/>
    <w:rsid w:val="00DF5C2B"/>
    <w:rsid w:val="00DF5E7C"/>
    <w:rsid w:val="00DF6690"/>
    <w:rsid w:val="00DF6804"/>
    <w:rsid w:val="00DF6B94"/>
    <w:rsid w:val="00DF7215"/>
    <w:rsid w:val="00DF7D43"/>
    <w:rsid w:val="00DF7EE5"/>
    <w:rsid w:val="00E00014"/>
    <w:rsid w:val="00E00357"/>
    <w:rsid w:val="00E00E7F"/>
    <w:rsid w:val="00E00EC3"/>
    <w:rsid w:val="00E017A2"/>
    <w:rsid w:val="00E020C3"/>
    <w:rsid w:val="00E0213A"/>
    <w:rsid w:val="00E033A5"/>
    <w:rsid w:val="00E034BB"/>
    <w:rsid w:val="00E0358D"/>
    <w:rsid w:val="00E03B67"/>
    <w:rsid w:val="00E0416C"/>
    <w:rsid w:val="00E04323"/>
    <w:rsid w:val="00E048C4"/>
    <w:rsid w:val="00E04D43"/>
    <w:rsid w:val="00E04FD9"/>
    <w:rsid w:val="00E05806"/>
    <w:rsid w:val="00E05CBE"/>
    <w:rsid w:val="00E06021"/>
    <w:rsid w:val="00E06AA2"/>
    <w:rsid w:val="00E06B3D"/>
    <w:rsid w:val="00E06C69"/>
    <w:rsid w:val="00E070A2"/>
    <w:rsid w:val="00E103D5"/>
    <w:rsid w:val="00E10656"/>
    <w:rsid w:val="00E10936"/>
    <w:rsid w:val="00E113C5"/>
    <w:rsid w:val="00E11410"/>
    <w:rsid w:val="00E12316"/>
    <w:rsid w:val="00E1281D"/>
    <w:rsid w:val="00E12A46"/>
    <w:rsid w:val="00E12A5D"/>
    <w:rsid w:val="00E12C9B"/>
    <w:rsid w:val="00E134BA"/>
    <w:rsid w:val="00E13695"/>
    <w:rsid w:val="00E137CF"/>
    <w:rsid w:val="00E14DE5"/>
    <w:rsid w:val="00E150D9"/>
    <w:rsid w:val="00E1518A"/>
    <w:rsid w:val="00E155C8"/>
    <w:rsid w:val="00E1573E"/>
    <w:rsid w:val="00E15EB3"/>
    <w:rsid w:val="00E161C0"/>
    <w:rsid w:val="00E16B3A"/>
    <w:rsid w:val="00E16D60"/>
    <w:rsid w:val="00E16F10"/>
    <w:rsid w:val="00E17828"/>
    <w:rsid w:val="00E17B89"/>
    <w:rsid w:val="00E2044B"/>
    <w:rsid w:val="00E21486"/>
    <w:rsid w:val="00E21D19"/>
    <w:rsid w:val="00E22615"/>
    <w:rsid w:val="00E229F4"/>
    <w:rsid w:val="00E22B40"/>
    <w:rsid w:val="00E235E8"/>
    <w:rsid w:val="00E23DC8"/>
    <w:rsid w:val="00E24286"/>
    <w:rsid w:val="00E2434D"/>
    <w:rsid w:val="00E246E6"/>
    <w:rsid w:val="00E2480D"/>
    <w:rsid w:val="00E24F21"/>
    <w:rsid w:val="00E25208"/>
    <w:rsid w:val="00E25326"/>
    <w:rsid w:val="00E2592F"/>
    <w:rsid w:val="00E259CC"/>
    <w:rsid w:val="00E25B39"/>
    <w:rsid w:val="00E26172"/>
    <w:rsid w:val="00E2656A"/>
    <w:rsid w:val="00E2675F"/>
    <w:rsid w:val="00E27352"/>
    <w:rsid w:val="00E273B8"/>
    <w:rsid w:val="00E27CD8"/>
    <w:rsid w:val="00E27D41"/>
    <w:rsid w:val="00E3004A"/>
    <w:rsid w:val="00E301BC"/>
    <w:rsid w:val="00E30DBB"/>
    <w:rsid w:val="00E30EB0"/>
    <w:rsid w:val="00E3109B"/>
    <w:rsid w:val="00E32089"/>
    <w:rsid w:val="00E326F5"/>
    <w:rsid w:val="00E3315F"/>
    <w:rsid w:val="00E3322B"/>
    <w:rsid w:val="00E34C93"/>
    <w:rsid w:val="00E34D79"/>
    <w:rsid w:val="00E34FA8"/>
    <w:rsid w:val="00E35E53"/>
    <w:rsid w:val="00E35FF3"/>
    <w:rsid w:val="00E36862"/>
    <w:rsid w:val="00E36E60"/>
    <w:rsid w:val="00E3740A"/>
    <w:rsid w:val="00E37496"/>
    <w:rsid w:val="00E37756"/>
    <w:rsid w:val="00E37CC5"/>
    <w:rsid w:val="00E37D45"/>
    <w:rsid w:val="00E40155"/>
    <w:rsid w:val="00E4027A"/>
    <w:rsid w:val="00E4028E"/>
    <w:rsid w:val="00E4087E"/>
    <w:rsid w:val="00E40CDC"/>
    <w:rsid w:val="00E41161"/>
    <w:rsid w:val="00E412D0"/>
    <w:rsid w:val="00E41669"/>
    <w:rsid w:val="00E417B1"/>
    <w:rsid w:val="00E429B6"/>
    <w:rsid w:val="00E42D5E"/>
    <w:rsid w:val="00E443A7"/>
    <w:rsid w:val="00E447B8"/>
    <w:rsid w:val="00E44AAF"/>
    <w:rsid w:val="00E44F86"/>
    <w:rsid w:val="00E46061"/>
    <w:rsid w:val="00E4620D"/>
    <w:rsid w:val="00E4751B"/>
    <w:rsid w:val="00E478E5"/>
    <w:rsid w:val="00E47A93"/>
    <w:rsid w:val="00E47B14"/>
    <w:rsid w:val="00E504AD"/>
    <w:rsid w:val="00E504BA"/>
    <w:rsid w:val="00E50A33"/>
    <w:rsid w:val="00E510F8"/>
    <w:rsid w:val="00E51E92"/>
    <w:rsid w:val="00E51F68"/>
    <w:rsid w:val="00E51FE8"/>
    <w:rsid w:val="00E52015"/>
    <w:rsid w:val="00E5236B"/>
    <w:rsid w:val="00E52828"/>
    <w:rsid w:val="00E52DDD"/>
    <w:rsid w:val="00E534A4"/>
    <w:rsid w:val="00E53594"/>
    <w:rsid w:val="00E53661"/>
    <w:rsid w:val="00E53841"/>
    <w:rsid w:val="00E53A2E"/>
    <w:rsid w:val="00E53BE6"/>
    <w:rsid w:val="00E54260"/>
    <w:rsid w:val="00E54381"/>
    <w:rsid w:val="00E54452"/>
    <w:rsid w:val="00E547F2"/>
    <w:rsid w:val="00E549D8"/>
    <w:rsid w:val="00E54A12"/>
    <w:rsid w:val="00E54BD2"/>
    <w:rsid w:val="00E55334"/>
    <w:rsid w:val="00E55596"/>
    <w:rsid w:val="00E55863"/>
    <w:rsid w:val="00E55B39"/>
    <w:rsid w:val="00E55D15"/>
    <w:rsid w:val="00E56322"/>
    <w:rsid w:val="00E56D81"/>
    <w:rsid w:val="00E57472"/>
    <w:rsid w:val="00E574E2"/>
    <w:rsid w:val="00E57BBD"/>
    <w:rsid w:val="00E60982"/>
    <w:rsid w:val="00E60B7B"/>
    <w:rsid w:val="00E61570"/>
    <w:rsid w:val="00E6204E"/>
    <w:rsid w:val="00E628E6"/>
    <w:rsid w:val="00E62911"/>
    <w:rsid w:val="00E62C62"/>
    <w:rsid w:val="00E62EB7"/>
    <w:rsid w:val="00E6383C"/>
    <w:rsid w:val="00E6386C"/>
    <w:rsid w:val="00E63955"/>
    <w:rsid w:val="00E64128"/>
    <w:rsid w:val="00E64444"/>
    <w:rsid w:val="00E654C1"/>
    <w:rsid w:val="00E655BA"/>
    <w:rsid w:val="00E65D97"/>
    <w:rsid w:val="00E66646"/>
    <w:rsid w:val="00E666A9"/>
    <w:rsid w:val="00E66C85"/>
    <w:rsid w:val="00E66CAB"/>
    <w:rsid w:val="00E6712F"/>
    <w:rsid w:val="00E70705"/>
    <w:rsid w:val="00E70B99"/>
    <w:rsid w:val="00E71145"/>
    <w:rsid w:val="00E717F0"/>
    <w:rsid w:val="00E721C4"/>
    <w:rsid w:val="00E727C7"/>
    <w:rsid w:val="00E72A5A"/>
    <w:rsid w:val="00E73354"/>
    <w:rsid w:val="00E7372C"/>
    <w:rsid w:val="00E73DFC"/>
    <w:rsid w:val="00E73F3F"/>
    <w:rsid w:val="00E73FB0"/>
    <w:rsid w:val="00E741F5"/>
    <w:rsid w:val="00E743B1"/>
    <w:rsid w:val="00E74680"/>
    <w:rsid w:val="00E747FC"/>
    <w:rsid w:val="00E74BCC"/>
    <w:rsid w:val="00E74D2A"/>
    <w:rsid w:val="00E75232"/>
    <w:rsid w:val="00E7534C"/>
    <w:rsid w:val="00E7569F"/>
    <w:rsid w:val="00E756EC"/>
    <w:rsid w:val="00E75D73"/>
    <w:rsid w:val="00E766BA"/>
    <w:rsid w:val="00E76A21"/>
    <w:rsid w:val="00E76B09"/>
    <w:rsid w:val="00E77009"/>
    <w:rsid w:val="00E7701B"/>
    <w:rsid w:val="00E77734"/>
    <w:rsid w:val="00E77C6D"/>
    <w:rsid w:val="00E8027A"/>
    <w:rsid w:val="00E80C93"/>
    <w:rsid w:val="00E8114B"/>
    <w:rsid w:val="00E81439"/>
    <w:rsid w:val="00E81622"/>
    <w:rsid w:val="00E8197D"/>
    <w:rsid w:val="00E81E0E"/>
    <w:rsid w:val="00E82A3C"/>
    <w:rsid w:val="00E82B65"/>
    <w:rsid w:val="00E82CEB"/>
    <w:rsid w:val="00E82E66"/>
    <w:rsid w:val="00E82F30"/>
    <w:rsid w:val="00E83280"/>
    <w:rsid w:val="00E83529"/>
    <w:rsid w:val="00E84111"/>
    <w:rsid w:val="00E849EC"/>
    <w:rsid w:val="00E85537"/>
    <w:rsid w:val="00E857EC"/>
    <w:rsid w:val="00E8645B"/>
    <w:rsid w:val="00E864AC"/>
    <w:rsid w:val="00E86752"/>
    <w:rsid w:val="00E869A7"/>
    <w:rsid w:val="00E86A79"/>
    <w:rsid w:val="00E904D1"/>
    <w:rsid w:val="00E914C9"/>
    <w:rsid w:val="00E9242D"/>
    <w:rsid w:val="00E927D0"/>
    <w:rsid w:val="00E927DE"/>
    <w:rsid w:val="00E93301"/>
    <w:rsid w:val="00E933ED"/>
    <w:rsid w:val="00E935FF"/>
    <w:rsid w:val="00E93682"/>
    <w:rsid w:val="00E9370E"/>
    <w:rsid w:val="00E94437"/>
    <w:rsid w:val="00E94A3E"/>
    <w:rsid w:val="00E95A3B"/>
    <w:rsid w:val="00E95E87"/>
    <w:rsid w:val="00E9609A"/>
    <w:rsid w:val="00E9629C"/>
    <w:rsid w:val="00E965B8"/>
    <w:rsid w:val="00E967EC"/>
    <w:rsid w:val="00E97101"/>
    <w:rsid w:val="00E9724B"/>
    <w:rsid w:val="00E97803"/>
    <w:rsid w:val="00EA1594"/>
    <w:rsid w:val="00EA19F0"/>
    <w:rsid w:val="00EA1A3E"/>
    <w:rsid w:val="00EA2B6E"/>
    <w:rsid w:val="00EA3C7D"/>
    <w:rsid w:val="00EA40A0"/>
    <w:rsid w:val="00EA4F1D"/>
    <w:rsid w:val="00EA51CA"/>
    <w:rsid w:val="00EA55EB"/>
    <w:rsid w:val="00EA5D9D"/>
    <w:rsid w:val="00EA5EAA"/>
    <w:rsid w:val="00EA7CA4"/>
    <w:rsid w:val="00EA7E07"/>
    <w:rsid w:val="00EB0559"/>
    <w:rsid w:val="00EB26CC"/>
    <w:rsid w:val="00EB281B"/>
    <w:rsid w:val="00EB2B1A"/>
    <w:rsid w:val="00EB2E47"/>
    <w:rsid w:val="00EB3E52"/>
    <w:rsid w:val="00EB3F93"/>
    <w:rsid w:val="00EB413A"/>
    <w:rsid w:val="00EB450E"/>
    <w:rsid w:val="00EB4EAB"/>
    <w:rsid w:val="00EB5255"/>
    <w:rsid w:val="00EB56D1"/>
    <w:rsid w:val="00EB5C39"/>
    <w:rsid w:val="00EB5C47"/>
    <w:rsid w:val="00EB5E91"/>
    <w:rsid w:val="00EB5FF6"/>
    <w:rsid w:val="00EB628F"/>
    <w:rsid w:val="00EB67BD"/>
    <w:rsid w:val="00EB6B3A"/>
    <w:rsid w:val="00EB72FB"/>
    <w:rsid w:val="00EB758D"/>
    <w:rsid w:val="00EB778B"/>
    <w:rsid w:val="00EC002B"/>
    <w:rsid w:val="00EC009C"/>
    <w:rsid w:val="00EC0952"/>
    <w:rsid w:val="00EC0965"/>
    <w:rsid w:val="00EC1508"/>
    <w:rsid w:val="00EC168B"/>
    <w:rsid w:val="00EC1B13"/>
    <w:rsid w:val="00EC1FF0"/>
    <w:rsid w:val="00EC248A"/>
    <w:rsid w:val="00EC27CB"/>
    <w:rsid w:val="00EC27F9"/>
    <w:rsid w:val="00EC2AB8"/>
    <w:rsid w:val="00EC3210"/>
    <w:rsid w:val="00EC3674"/>
    <w:rsid w:val="00EC3EAC"/>
    <w:rsid w:val="00EC43A8"/>
    <w:rsid w:val="00EC46CC"/>
    <w:rsid w:val="00EC4C1C"/>
    <w:rsid w:val="00EC4CF0"/>
    <w:rsid w:val="00EC5E81"/>
    <w:rsid w:val="00EC7186"/>
    <w:rsid w:val="00EC765B"/>
    <w:rsid w:val="00EC7ACF"/>
    <w:rsid w:val="00EC7FB7"/>
    <w:rsid w:val="00ED0427"/>
    <w:rsid w:val="00ED0639"/>
    <w:rsid w:val="00ED0909"/>
    <w:rsid w:val="00ED0FC4"/>
    <w:rsid w:val="00ED1354"/>
    <w:rsid w:val="00ED1A82"/>
    <w:rsid w:val="00ED1FE9"/>
    <w:rsid w:val="00ED225F"/>
    <w:rsid w:val="00ED2274"/>
    <w:rsid w:val="00ED2F87"/>
    <w:rsid w:val="00ED396B"/>
    <w:rsid w:val="00ED3A5C"/>
    <w:rsid w:val="00ED427B"/>
    <w:rsid w:val="00ED439A"/>
    <w:rsid w:val="00ED4673"/>
    <w:rsid w:val="00ED4A0C"/>
    <w:rsid w:val="00ED54ED"/>
    <w:rsid w:val="00ED57AF"/>
    <w:rsid w:val="00ED637C"/>
    <w:rsid w:val="00ED6786"/>
    <w:rsid w:val="00ED6939"/>
    <w:rsid w:val="00ED6F8A"/>
    <w:rsid w:val="00ED72F5"/>
    <w:rsid w:val="00ED77B7"/>
    <w:rsid w:val="00ED7D00"/>
    <w:rsid w:val="00EE0EF0"/>
    <w:rsid w:val="00EE0F3B"/>
    <w:rsid w:val="00EE17F2"/>
    <w:rsid w:val="00EE19C3"/>
    <w:rsid w:val="00EE1E74"/>
    <w:rsid w:val="00EE1FBA"/>
    <w:rsid w:val="00EE220E"/>
    <w:rsid w:val="00EE2220"/>
    <w:rsid w:val="00EE27CC"/>
    <w:rsid w:val="00EE2F30"/>
    <w:rsid w:val="00EE2F4A"/>
    <w:rsid w:val="00EE374C"/>
    <w:rsid w:val="00EE3F0D"/>
    <w:rsid w:val="00EE42D7"/>
    <w:rsid w:val="00EE42DD"/>
    <w:rsid w:val="00EE4C25"/>
    <w:rsid w:val="00EE50BD"/>
    <w:rsid w:val="00EE533D"/>
    <w:rsid w:val="00EE544D"/>
    <w:rsid w:val="00EE5664"/>
    <w:rsid w:val="00EE57BD"/>
    <w:rsid w:val="00EE5843"/>
    <w:rsid w:val="00EE5ED2"/>
    <w:rsid w:val="00EE61D3"/>
    <w:rsid w:val="00EE63D5"/>
    <w:rsid w:val="00EE68CD"/>
    <w:rsid w:val="00EE6B35"/>
    <w:rsid w:val="00EE6BE1"/>
    <w:rsid w:val="00EE75EA"/>
    <w:rsid w:val="00EE761E"/>
    <w:rsid w:val="00EE76C3"/>
    <w:rsid w:val="00EF0738"/>
    <w:rsid w:val="00EF0DAE"/>
    <w:rsid w:val="00EF29F5"/>
    <w:rsid w:val="00EF2B95"/>
    <w:rsid w:val="00EF2C43"/>
    <w:rsid w:val="00EF2D32"/>
    <w:rsid w:val="00EF3028"/>
    <w:rsid w:val="00EF332B"/>
    <w:rsid w:val="00EF3719"/>
    <w:rsid w:val="00EF3C1B"/>
    <w:rsid w:val="00EF4220"/>
    <w:rsid w:val="00EF4755"/>
    <w:rsid w:val="00EF52C2"/>
    <w:rsid w:val="00EF6816"/>
    <w:rsid w:val="00EF7135"/>
    <w:rsid w:val="00EF7A88"/>
    <w:rsid w:val="00EF7D48"/>
    <w:rsid w:val="00EF7F2D"/>
    <w:rsid w:val="00F003EE"/>
    <w:rsid w:val="00F00653"/>
    <w:rsid w:val="00F00C2F"/>
    <w:rsid w:val="00F00C32"/>
    <w:rsid w:val="00F00F97"/>
    <w:rsid w:val="00F01373"/>
    <w:rsid w:val="00F016E1"/>
    <w:rsid w:val="00F01DF9"/>
    <w:rsid w:val="00F02475"/>
    <w:rsid w:val="00F026AB"/>
    <w:rsid w:val="00F027DB"/>
    <w:rsid w:val="00F04201"/>
    <w:rsid w:val="00F04434"/>
    <w:rsid w:val="00F046D1"/>
    <w:rsid w:val="00F04BEC"/>
    <w:rsid w:val="00F04D57"/>
    <w:rsid w:val="00F04F78"/>
    <w:rsid w:val="00F05491"/>
    <w:rsid w:val="00F05589"/>
    <w:rsid w:val="00F0604D"/>
    <w:rsid w:val="00F06ABD"/>
    <w:rsid w:val="00F11A38"/>
    <w:rsid w:val="00F1263C"/>
    <w:rsid w:val="00F12685"/>
    <w:rsid w:val="00F127A0"/>
    <w:rsid w:val="00F129E9"/>
    <w:rsid w:val="00F12B1E"/>
    <w:rsid w:val="00F12B2D"/>
    <w:rsid w:val="00F12B80"/>
    <w:rsid w:val="00F12BA8"/>
    <w:rsid w:val="00F1334B"/>
    <w:rsid w:val="00F13491"/>
    <w:rsid w:val="00F141C0"/>
    <w:rsid w:val="00F14A7A"/>
    <w:rsid w:val="00F155CB"/>
    <w:rsid w:val="00F16014"/>
    <w:rsid w:val="00F16106"/>
    <w:rsid w:val="00F16C56"/>
    <w:rsid w:val="00F17AAF"/>
    <w:rsid w:val="00F17D1E"/>
    <w:rsid w:val="00F20166"/>
    <w:rsid w:val="00F207C8"/>
    <w:rsid w:val="00F2163F"/>
    <w:rsid w:val="00F21BD2"/>
    <w:rsid w:val="00F2213C"/>
    <w:rsid w:val="00F22446"/>
    <w:rsid w:val="00F224F4"/>
    <w:rsid w:val="00F22869"/>
    <w:rsid w:val="00F22985"/>
    <w:rsid w:val="00F22EB3"/>
    <w:rsid w:val="00F23082"/>
    <w:rsid w:val="00F2324D"/>
    <w:rsid w:val="00F23514"/>
    <w:rsid w:val="00F23734"/>
    <w:rsid w:val="00F23B8B"/>
    <w:rsid w:val="00F23D65"/>
    <w:rsid w:val="00F23ED5"/>
    <w:rsid w:val="00F25CA8"/>
    <w:rsid w:val="00F25F30"/>
    <w:rsid w:val="00F26166"/>
    <w:rsid w:val="00F26F0A"/>
    <w:rsid w:val="00F2707C"/>
    <w:rsid w:val="00F27096"/>
    <w:rsid w:val="00F277C6"/>
    <w:rsid w:val="00F27EFD"/>
    <w:rsid w:val="00F30983"/>
    <w:rsid w:val="00F319C5"/>
    <w:rsid w:val="00F31F85"/>
    <w:rsid w:val="00F33453"/>
    <w:rsid w:val="00F3383E"/>
    <w:rsid w:val="00F33AC0"/>
    <w:rsid w:val="00F33DD4"/>
    <w:rsid w:val="00F33F27"/>
    <w:rsid w:val="00F34073"/>
    <w:rsid w:val="00F345F9"/>
    <w:rsid w:val="00F34A36"/>
    <w:rsid w:val="00F359A2"/>
    <w:rsid w:val="00F3634F"/>
    <w:rsid w:val="00F363F8"/>
    <w:rsid w:val="00F36D9F"/>
    <w:rsid w:val="00F37745"/>
    <w:rsid w:val="00F400FB"/>
    <w:rsid w:val="00F40CE8"/>
    <w:rsid w:val="00F40EDF"/>
    <w:rsid w:val="00F4149F"/>
    <w:rsid w:val="00F4151B"/>
    <w:rsid w:val="00F41B81"/>
    <w:rsid w:val="00F41D4D"/>
    <w:rsid w:val="00F41E9F"/>
    <w:rsid w:val="00F427B7"/>
    <w:rsid w:val="00F42895"/>
    <w:rsid w:val="00F428E0"/>
    <w:rsid w:val="00F42CE2"/>
    <w:rsid w:val="00F42D3E"/>
    <w:rsid w:val="00F42E7F"/>
    <w:rsid w:val="00F446A6"/>
    <w:rsid w:val="00F446B2"/>
    <w:rsid w:val="00F45254"/>
    <w:rsid w:val="00F45EEF"/>
    <w:rsid w:val="00F45EF1"/>
    <w:rsid w:val="00F465A7"/>
    <w:rsid w:val="00F46F9B"/>
    <w:rsid w:val="00F4719F"/>
    <w:rsid w:val="00F47250"/>
    <w:rsid w:val="00F505EA"/>
    <w:rsid w:val="00F50B7C"/>
    <w:rsid w:val="00F50EB5"/>
    <w:rsid w:val="00F50EDC"/>
    <w:rsid w:val="00F515EE"/>
    <w:rsid w:val="00F52117"/>
    <w:rsid w:val="00F5299F"/>
    <w:rsid w:val="00F52AE1"/>
    <w:rsid w:val="00F5354E"/>
    <w:rsid w:val="00F53951"/>
    <w:rsid w:val="00F55026"/>
    <w:rsid w:val="00F550E6"/>
    <w:rsid w:val="00F5568B"/>
    <w:rsid w:val="00F558C2"/>
    <w:rsid w:val="00F55AE8"/>
    <w:rsid w:val="00F55C2E"/>
    <w:rsid w:val="00F55C81"/>
    <w:rsid w:val="00F55E97"/>
    <w:rsid w:val="00F57627"/>
    <w:rsid w:val="00F60806"/>
    <w:rsid w:val="00F620FF"/>
    <w:rsid w:val="00F6270C"/>
    <w:rsid w:val="00F62722"/>
    <w:rsid w:val="00F62CC3"/>
    <w:rsid w:val="00F62F89"/>
    <w:rsid w:val="00F6333C"/>
    <w:rsid w:val="00F634AB"/>
    <w:rsid w:val="00F6382F"/>
    <w:rsid w:val="00F63A3D"/>
    <w:rsid w:val="00F6466E"/>
    <w:rsid w:val="00F64927"/>
    <w:rsid w:val="00F64CD0"/>
    <w:rsid w:val="00F6501B"/>
    <w:rsid w:val="00F65079"/>
    <w:rsid w:val="00F6588C"/>
    <w:rsid w:val="00F65EBB"/>
    <w:rsid w:val="00F66022"/>
    <w:rsid w:val="00F66851"/>
    <w:rsid w:val="00F66B65"/>
    <w:rsid w:val="00F66EFB"/>
    <w:rsid w:val="00F67030"/>
    <w:rsid w:val="00F67D99"/>
    <w:rsid w:val="00F708A5"/>
    <w:rsid w:val="00F70AD4"/>
    <w:rsid w:val="00F71490"/>
    <w:rsid w:val="00F716B0"/>
    <w:rsid w:val="00F7171F"/>
    <w:rsid w:val="00F72DF7"/>
    <w:rsid w:val="00F73BCA"/>
    <w:rsid w:val="00F73CA7"/>
    <w:rsid w:val="00F74225"/>
    <w:rsid w:val="00F74345"/>
    <w:rsid w:val="00F743E1"/>
    <w:rsid w:val="00F74624"/>
    <w:rsid w:val="00F74AAD"/>
    <w:rsid w:val="00F74C7F"/>
    <w:rsid w:val="00F75A0D"/>
    <w:rsid w:val="00F75CC3"/>
    <w:rsid w:val="00F7697E"/>
    <w:rsid w:val="00F76B0F"/>
    <w:rsid w:val="00F76E08"/>
    <w:rsid w:val="00F76E4C"/>
    <w:rsid w:val="00F76FC2"/>
    <w:rsid w:val="00F7701D"/>
    <w:rsid w:val="00F7761B"/>
    <w:rsid w:val="00F77628"/>
    <w:rsid w:val="00F7784D"/>
    <w:rsid w:val="00F77994"/>
    <w:rsid w:val="00F80A0A"/>
    <w:rsid w:val="00F80B8A"/>
    <w:rsid w:val="00F814C4"/>
    <w:rsid w:val="00F81644"/>
    <w:rsid w:val="00F8178F"/>
    <w:rsid w:val="00F81E92"/>
    <w:rsid w:val="00F81ED5"/>
    <w:rsid w:val="00F825E7"/>
    <w:rsid w:val="00F82B19"/>
    <w:rsid w:val="00F82FDD"/>
    <w:rsid w:val="00F835E5"/>
    <w:rsid w:val="00F83E5B"/>
    <w:rsid w:val="00F84399"/>
    <w:rsid w:val="00F8458B"/>
    <w:rsid w:val="00F854B9"/>
    <w:rsid w:val="00F85654"/>
    <w:rsid w:val="00F85724"/>
    <w:rsid w:val="00F857AC"/>
    <w:rsid w:val="00F86231"/>
    <w:rsid w:val="00F86276"/>
    <w:rsid w:val="00F862AB"/>
    <w:rsid w:val="00F8638B"/>
    <w:rsid w:val="00F865BF"/>
    <w:rsid w:val="00F90248"/>
    <w:rsid w:val="00F9096F"/>
    <w:rsid w:val="00F90FA0"/>
    <w:rsid w:val="00F9130F"/>
    <w:rsid w:val="00F9155B"/>
    <w:rsid w:val="00F91794"/>
    <w:rsid w:val="00F9212D"/>
    <w:rsid w:val="00F92665"/>
    <w:rsid w:val="00F928BF"/>
    <w:rsid w:val="00F9510F"/>
    <w:rsid w:val="00F957F4"/>
    <w:rsid w:val="00F96435"/>
    <w:rsid w:val="00F965DA"/>
    <w:rsid w:val="00F9707C"/>
    <w:rsid w:val="00F9719C"/>
    <w:rsid w:val="00F97D90"/>
    <w:rsid w:val="00FA0A9E"/>
    <w:rsid w:val="00FA0BDF"/>
    <w:rsid w:val="00FA0E6E"/>
    <w:rsid w:val="00FA15BC"/>
    <w:rsid w:val="00FA182B"/>
    <w:rsid w:val="00FA1936"/>
    <w:rsid w:val="00FA22EF"/>
    <w:rsid w:val="00FA24B5"/>
    <w:rsid w:val="00FA2AEC"/>
    <w:rsid w:val="00FA2CA9"/>
    <w:rsid w:val="00FA3546"/>
    <w:rsid w:val="00FA3E19"/>
    <w:rsid w:val="00FA3EAC"/>
    <w:rsid w:val="00FA406A"/>
    <w:rsid w:val="00FA462E"/>
    <w:rsid w:val="00FA47BD"/>
    <w:rsid w:val="00FA4AA4"/>
    <w:rsid w:val="00FA4D18"/>
    <w:rsid w:val="00FA5A1D"/>
    <w:rsid w:val="00FA5CE3"/>
    <w:rsid w:val="00FA5E04"/>
    <w:rsid w:val="00FA6534"/>
    <w:rsid w:val="00FA6820"/>
    <w:rsid w:val="00FA6E50"/>
    <w:rsid w:val="00FA6FEC"/>
    <w:rsid w:val="00FA6FF8"/>
    <w:rsid w:val="00FA7270"/>
    <w:rsid w:val="00FA743A"/>
    <w:rsid w:val="00FA77CE"/>
    <w:rsid w:val="00FB08ED"/>
    <w:rsid w:val="00FB09BE"/>
    <w:rsid w:val="00FB0EC8"/>
    <w:rsid w:val="00FB1A95"/>
    <w:rsid w:val="00FB1C93"/>
    <w:rsid w:val="00FB1FAD"/>
    <w:rsid w:val="00FB21D4"/>
    <w:rsid w:val="00FB2208"/>
    <w:rsid w:val="00FB243F"/>
    <w:rsid w:val="00FB24E0"/>
    <w:rsid w:val="00FB2C9C"/>
    <w:rsid w:val="00FB336D"/>
    <w:rsid w:val="00FB3EB6"/>
    <w:rsid w:val="00FB4509"/>
    <w:rsid w:val="00FB450D"/>
    <w:rsid w:val="00FB4926"/>
    <w:rsid w:val="00FB503A"/>
    <w:rsid w:val="00FB5153"/>
    <w:rsid w:val="00FB516C"/>
    <w:rsid w:val="00FB6A12"/>
    <w:rsid w:val="00FB7439"/>
    <w:rsid w:val="00FB77D4"/>
    <w:rsid w:val="00FB7E23"/>
    <w:rsid w:val="00FC018B"/>
    <w:rsid w:val="00FC070E"/>
    <w:rsid w:val="00FC0793"/>
    <w:rsid w:val="00FC104F"/>
    <w:rsid w:val="00FC119C"/>
    <w:rsid w:val="00FC1715"/>
    <w:rsid w:val="00FC23CF"/>
    <w:rsid w:val="00FC25CA"/>
    <w:rsid w:val="00FC2698"/>
    <w:rsid w:val="00FC2977"/>
    <w:rsid w:val="00FC2B71"/>
    <w:rsid w:val="00FC33D6"/>
    <w:rsid w:val="00FC34D0"/>
    <w:rsid w:val="00FC3977"/>
    <w:rsid w:val="00FC4684"/>
    <w:rsid w:val="00FC48CF"/>
    <w:rsid w:val="00FC5119"/>
    <w:rsid w:val="00FC5383"/>
    <w:rsid w:val="00FC59E2"/>
    <w:rsid w:val="00FC5AEF"/>
    <w:rsid w:val="00FC5B55"/>
    <w:rsid w:val="00FC5CDB"/>
    <w:rsid w:val="00FC5FF4"/>
    <w:rsid w:val="00FC6419"/>
    <w:rsid w:val="00FC6A67"/>
    <w:rsid w:val="00FC706C"/>
    <w:rsid w:val="00FC713E"/>
    <w:rsid w:val="00FC76B7"/>
    <w:rsid w:val="00FD0236"/>
    <w:rsid w:val="00FD1751"/>
    <w:rsid w:val="00FD17CC"/>
    <w:rsid w:val="00FD187B"/>
    <w:rsid w:val="00FD18F4"/>
    <w:rsid w:val="00FD1A87"/>
    <w:rsid w:val="00FD200E"/>
    <w:rsid w:val="00FD20CB"/>
    <w:rsid w:val="00FD2115"/>
    <w:rsid w:val="00FD25A4"/>
    <w:rsid w:val="00FD2949"/>
    <w:rsid w:val="00FD29D8"/>
    <w:rsid w:val="00FD4429"/>
    <w:rsid w:val="00FD4ADA"/>
    <w:rsid w:val="00FD4AE5"/>
    <w:rsid w:val="00FD4BD7"/>
    <w:rsid w:val="00FD54DB"/>
    <w:rsid w:val="00FD606D"/>
    <w:rsid w:val="00FD619F"/>
    <w:rsid w:val="00FD6761"/>
    <w:rsid w:val="00FD69E5"/>
    <w:rsid w:val="00FD6CED"/>
    <w:rsid w:val="00FD6F8B"/>
    <w:rsid w:val="00FD71B9"/>
    <w:rsid w:val="00FD7641"/>
    <w:rsid w:val="00FD77EA"/>
    <w:rsid w:val="00FE0135"/>
    <w:rsid w:val="00FE0CF3"/>
    <w:rsid w:val="00FE0EA1"/>
    <w:rsid w:val="00FE133D"/>
    <w:rsid w:val="00FE1C75"/>
    <w:rsid w:val="00FE2EC8"/>
    <w:rsid w:val="00FE3B72"/>
    <w:rsid w:val="00FE3F20"/>
    <w:rsid w:val="00FE3FC7"/>
    <w:rsid w:val="00FE44C4"/>
    <w:rsid w:val="00FE4B05"/>
    <w:rsid w:val="00FE559E"/>
    <w:rsid w:val="00FE567B"/>
    <w:rsid w:val="00FE5AE9"/>
    <w:rsid w:val="00FE5B9A"/>
    <w:rsid w:val="00FE6620"/>
    <w:rsid w:val="00FE68F5"/>
    <w:rsid w:val="00FE7118"/>
    <w:rsid w:val="00FE790E"/>
    <w:rsid w:val="00FF07FC"/>
    <w:rsid w:val="00FF0929"/>
    <w:rsid w:val="00FF0A68"/>
    <w:rsid w:val="00FF0A88"/>
    <w:rsid w:val="00FF0CAA"/>
    <w:rsid w:val="00FF0E21"/>
    <w:rsid w:val="00FF0F0D"/>
    <w:rsid w:val="00FF26E9"/>
    <w:rsid w:val="00FF2F27"/>
    <w:rsid w:val="00FF30DF"/>
    <w:rsid w:val="00FF337C"/>
    <w:rsid w:val="00FF40C9"/>
    <w:rsid w:val="00FF4704"/>
    <w:rsid w:val="00FF4D8D"/>
    <w:rsid w:val="00FF5117"/>
    <w:rsid w:val="00FF5A64"/>
    <w:rsid w:val="00FF5FCE"/>
    <w:rsid w:val="00FF652E"/>
    <w:rsid w:val="00FF6A46"/>
    <w:rsid w:val="00FF6A95"/>
    <w:rsid w:val="00FF7584"/>
    <w:rsid w:val="00FF7E70"/>
    <w:rsid w:val="00FF7F62"/>
    <w:rsid w:val="0105429D"/>
    <w:rsid w:val="01193227"/>
    <w:rsid w:val="01290F7E"/>
    <w:rsid w:val="015D1E09"/>
    <w:rsid w:val="0167376D"/>
    <w:rsid w:val="01AE7070"/>
    <w:rsid w:val="01D738CC"/>
    <w:rsid w:val="01F159E3"/>
    <w:rsid w:val="020D1E66"/>
    <w:rsid w:val="021466F2"/>
    <w:rsid w:val="021A2451"/>
    <w:rsid w:val="02231661"/>
    <w:rsid w:val="024F5012"/>
    <w:rsid w:val="02502B53"/>
    <w:rsid w:val="02697903"/>
    <w:rsid w:val="026C1F95"/>
    <w:rsid w:val="02892A34"/>
    <w:rsid w:val="028D2DD7"/>
    <w:rsid w:val="02922A54"/>
    <w:rsid w:val="02995B20"/>
    <w:rsid w:val="02D22B2D"/>
    <w:rsid w:val="02F96569"/>
    <w:rsid w:val="033E4E26"/>
    <w:rsid w:val="03721F9F"/>
    <w:rsid w:val="037D5E19"/>
    <w:rsid w:val="03854EFE"/>
    <w:rsid w:val="03C17FA3"/>
    <w:rsid w:val="03C963D7"/>
    <w:rsid w:val="03EA7B21"/>
    <w:rsid w:val="041B46D3"/>
    <w:rsid w:val="04636CD7"/>
    <w:rsid w:val="04670294"/>
    <w:rsid w:val="046B14CB"/>
    <w:rsid w:val="04715FB1"/>
    <w:rsid w:val="04766C7D"/>
    <w:rsid w:val="04B27D46"/>
    <w:rsid w:val="04E85138"/>
    <w:rsid w:val="04F823E8"/>
    <w:rsid w:val="04FC04E7"/>
    <w:rsid w:val="05364E97"/>
    <w:rsid w:val="057C1DB8"/>
    <w:rsid w:val="059D3D9A"/>
    <w:rsid w:val="05D37046"/>
    <w:rsid w:val="05ED095C"/>
    <w:rsid w:val="05F83EAE"/>
    <w:rsid w:val="06202243"/>
    <w:rsid w:val="063E7D85"/>
    <w:rsid w:val="0641310A"/>
    <w:rsid w:val="06752035"/>
    <w:rsid w:val="069413D4"/>
    <w:rsid w:val="06CB740B"/>
    <w:rsid w:val="06E84819"/>
    <w:rsid w:val="07067596"/>
    <w:rsid w:val="07097F3B"/>
    <w:rsid w:val="07293586"/>
    <w:rsid w:val="07295285"/>
    <w:rsid w:val="072B068A"/>
    <w:rsid w:val="0755472F"/>
    <w:rsid w:val="075F5571"/>
    <w:rsid w:val="07636392"/>
    <w:rsid w:val="07770C56"/>
    <w:rsid w:val="07BE322D"/>
    <w:rsid w:val="07C000E7"/>
    <w:rsid w:val="07D55C2F"/>
    <w:rsid w:val="07EB7656"/>
    <w:rsid w:val="08007077"/>
    <w:rsid w:val="084207CB"/>
    <w:rsid w:val="08585E3B"/>
    <w:rsid w:val="08651827"/>
    <w:rsid w:val="08CC2197"/>
    <w:rsid w:val="09217FFE"/>
    <w:rsid w:val="092217DD"/>
    <w:rsid w:val="093A7294"/>
    <w:rsid w:val="094226AF"/>
    <w:rsid w:val="09746FC6"/>
    <w:rsid w:val="09A3604F"/>
    <w:rsid w:val="09EC3C67"/>
    <w:rsid w:val="0A263993"/>
    <w:rsid w:val="0A274509"/>
    <w:rsid w:val="0A2D3AC2"/>
    <w:rsid w:val="0A3E44C2"/>
    <w:rsid w:val="0A4E0DF4"/>
    <w:rsid w:val="0A4F5D9A"/>
    <w:rsid w:val="0A7B374D"/>
    <w:rsid w:val="0A7E7B78"/>
    <w:rsid w:val="0AA755DF"/>
    <w:rsid w:val="0AE90C5E"/>
    <w:rsid w:val="0AEF0738"/>
    <w:rsid w:val="0AF860D0"/>
    <w:rsid w:val="0B120D44"/>
    <w:rsid w:val="0B226EB4"/>
    <w:rsid w:val="0B2E4BD3"/>
    <w:rsid w:val="0B3544E5"/>
    <w:rsid w:val="0B437774"/>
    <w:rsid w:val="0B532529"/>
    <w:rsid w:val="0B691A6F"/>
    <w:rsid w:val="0B6F3FC7"/>
    <w:rsid w:val="0B802913"/>
    <w:rsid w:val="0BB10AF7"/>
    <w:rsid w:val="0BBC2D7E"/>
    <w:rsid w:val="0BBF4A0F"/>
    <w:rsid w:val="0BD27BF6"/>
    <w:rsid w:val="0BF151B3"/>
    <w:rsid w:val="0C1744A8"/>
    <w:rsid w:val="0C3A473B"/>
    <w:rsid w:val="0C3B3C7D"/>
    <w:rsid w:val="0C4D3576"/>
    <w:rsid w:val="0C5932E6"/>
    <w:rsid w:val="0C5A5076"/>
    <w:rsid w:val="0C9B5F0E"/>
    <w:rsid w:val="0C9E04BB"/>
    <w:rsid w:val="0CA359C9"/>
    <w:rsid w:val="0CAB2EAE"/>
    <w:rsid w:val="0CC629F5"/>
    <w:rsid w:val="0CD4544D"/>
    <w:rsid w:val="0CD97BE4"/>
    <w:rsid w:val="0CE91F22"/>
    <w:rsid w:val="0D1936C6"/>
    <w:rsid w:val="0D3352C9"/>
    <w:rsid w:val="0D3E0BE6"/>
    <w:rsid w:val="0D621C7D"/>
    <w:rsid w:val="0D823229"/>
    <w:rsid w:val="0DA95524"/>
    <w:rsid w:val="0DC45625"/>
    <w:rsid w:val="0DC7360C"/>
    <w:rsid w:val="0DCF6419"/>
    <w:rsid w:val="0DD850AB"/>
    <w:rsid w:val="0DF456E7"/>
    <w:rsid w:val="0E0D75DC"/>
    <w:rsid w:val="0E225079"/>
    <w:rsid w:val="0E580AA4"/>
    <w:rsid w:val="0E72094F"/>
    <w:rsid w:val="0E73034D"/>
    <w:rsid w:val="0E7B5D25"/>
    <w:rsid w:val="0E860DA7"/>
    <w:rsid w:val="0EC71CA9"/>
    <w:rsid w:val="0EDE3BEA"/>
    <w:rsid w:val="0F070BAE"/>
    <w:rsid w:val="0F0A2D9C"/>
    <w:rsid w:val="0F0D0AE5"/>
    <w:rsid w:val="0F0D5961"/>
    <w:rsid w:val="0F13775A"/>
    <w:rsid w:val="0F40451F"/>
    <w:rsid w:val="0F4E2289"/>
    <w:rsid w:val="0F522061"/>
    <w:rsid w:val="0F5F45FE"/>
    <w:rsid w:val="0F7A5CBE"/>
    <w:rsid w:val="0F942FF7"/>
    <w:rsid w:val="0F9A112B"/>
    <w:rsid w:val="0FB408FA"/>
    <w:rsid w:val="10256926"/>
    <w:rsid w:val="103C0DA8"/>
    <w:rsid w:val="104A23BE"/>
    <w:rsid w:val="106D2F64"/>
    <w:rsid w:val="10727E89"/>
    <w:rsid w:val="10AB1B28"/>
    <w:rsid w:val="10B03D48"/>
    <w:rsid w:val="10B63710"/>
    <w:rsid w:val="10B84753"/>
    <w:rsid w:val="10CE79A6"/>
    <w:rsid w:val="10EB737D"/>
    <w:rsid w:val="10F10820"/>
    <w:rsid w:val="111C2F7A"/>
    <w:rsid w:val="11234F74"/>
    <w:rsid w:val="11665CA1"/>
    <w:rsid w:val="11C969B0"/>
    <w:rsid w:val="11F47903"/>
    <w:rsid w:val="11FA4D64"/>
    <w:rsid w:val="11FA7C46"/>
    <w:rsid w:val="121207F8"/>
    <w:rsid w:val="121C0BCE"/>
    <w:rsid w:val="12214F6A"/>
    <w:rsid w:val="12233BB5"/>
    <w:rsid w:val="12395A4C"/>
    <w:rsid w:val="123B7C58"/>
    <w:rsid w:val="124A05FF"/>
    <w:rsid w:val="12557C2D"/>
    <w:rsid w:val="12664E27"/>
    <w:rsid w:val="126C2413"/>
    <w:rsid w:val="12783D28"/>
    <w:rsid w:val="128459ED"/>
    <w:rsid w:val="129568F3"/>
    <w:rsid w:val="12A314D3"/>
    <w:rsid w:val="12CE445E"/>
    <w:rsid w:val="12E76517"/>
    <w:rsid w:val="131541CE"/>
    <w:rsid w:val="1315525B"/>
    <w:rsid w:val="135A7C9C"/>
    <w:rsid w:val="135F0221"/>
    <w:rsid w:val="13951726"/>
    <w:rsid w:val="13E7411D"/>
    <w:rsid w:val="14396509"/>
    <w:rsid w:val="14431368"/>
    <w:rsid w:val="145D520F"/>
    <w:rsid w:val="146E0CFA"/>
    <w:rsid w:val="14723912"/>
    <w:rsid w:val="148510C0"/>
    <w:rsid w:val="148711A2"/>
    <w:rsid w:val="14DD2C3C"/>
    <w:rsid w:val="14E653AF"/>
    <w:rsid w:val="14EE78EA"/>
    <w:rsid w:val="15AF7455"/>
    <w:rsid w:val="15D4743A"/>
    <w:rsid w:val="15D71BA4"/>
    <w:rsid w:val="15EE3C73"/>
    <w:rsid w:val="16087E1D"/>
    <w:rsid w:val="165E41A4"/>
    <w:rsid w:val="16744099"/>
    <w:rsid w:val="167E77A4"/>
    <w:rsid w:val="16AB4B6A"/>
    <w:rsid w:val="16B320AF"/>
    <w:rsid w:val="16C70490"/>
    <w:rsid w:val="16CE6374"/>
    <w:rsid w:val="16EC605E"/>
    <w:rsid w:val="16EF36D4"/>
    <w:rsid w:val="1708629D"/>
    <w:rsid w:val="171D6EF5"/>
    <w:rsid w:val="1720474F"/>
    <w:rsid w:val="17583673"/>
    <w:rsid w:val="17701D14"/>
    <w:rsid w:val="17735226"/>
    <w:rsid w:val="17910C09"/>
    <w:rsid w:val="17BE5041"/>
    <w:rsid w:val="17C874D2"/>
    <w:rsid w:val="17E102B2"/>
    <w:rsid w:val="17E5125D"/>
    <w:rsid w:val="17EB0DE1"/>
    <w:rsid w:val="17F50204"/>
    <w:rsid w:val="18107DF1"/>
    <w:rsid w:val="183D6A58"/>
    <w:rsid w:val="187F0534"/>
    <w:rsid w:val="189F624C"/>
    <w:rsid w:val="18B33E97"/>
    <w:rsid w:val="18B8280D"/>
    <w:rsid w:val="18C54D05"/>
    <w:rsid w:val="18FE5807"/>
    <w:rsid w:val="19086D3F"/>
    <w:rsid w:val="19A00457"/>
    <w:rsid w:val="19B8492B"/>
    <w:rsid w:val="1A1C66C0"/>
    <w:rsid w:val="1A350D76"/>
    <w:rsid w:val="1A42393B"/>
    <w:rsid w:val="1A424B69"/>
    <w:rsid w:val="1A4277D1"/>
    <w:rsid w:val="1A7A7C98"/>
    <w:rsid w:val="1A7B1D7C"/>
    <w:rsid w:val="1A83328E"/>
    <w:rsid w:val="1A90381F"/>
    <w:rsid w:val="1AAD45DE"/>
    <w:rsid w:val="1AB24EA9"/>
    <w:rsid w:val="1AB41FB0"/>
    <w:rsid w:val="1ACB6D60"/>
    <w:rsid w:val="1B046F80"/>
    <w:rsid w:val="1B3267B5"/>
    <w:rsid w:val="1B40161D"/>
    <w:rsid w:val="1B441859"/>
    <w:rsid w:val="1B565E80"/>
    <w:rsid w:val="1B6606B1"/>
    <w:rsid w:val="1B6606B3"/>
    <w:rsid w:val="1BA55DBC"/>
    <w:rsid w:val="1BDF65CE"/>
    <w:rsid w:val="1C17644C"/>
    <w:rsid w:val="1C1C0CB7"/>
    <w:rsid w:val="1C395B85"/>
    <w:rsid w:val="1C5E7925"/>
    <w:rsid w:val="1C683993"/>
    <w:rsid w:val="1C9439B1"/>
    <w:rsid w:val="1CA53139"/>
    <w:rsid w:val="1CED4AAE"/>
    <w:rsid w:val="1CFD070F"/>
    <w:rsid w:val="1D0F5AEE"/>
    <w:rsid w:val="1D1D66B7"/>
    <w:rsid w:val="1D2B17D8"/>
    <w:rsid w:val="1D5F6196"/>
    <w:rsid w:val="1D6132A5"/>
    <w:rsid w:val="1D8E56D5"/>
    <w:rsid w:val="1D911CDD"/>
    <w:rsid w:val="1DA85E73"/>
    <w:rsid w:val="1DDE48DA"/>
    <w:rsid w:val="1E3D6A69"/>
    <w:rsid w:val="1E4E5C73"/>
    <w:rsid w:val="1E6C2B44"/>
    <w:rsid w:val="1E7A43DA"/>
    <w:rsid w:val="1E892CF5"/>
    <w:rsid w:val="1E9B68A6"/>
    <w:rsid w:val="1EEA4EF1"/>
    <w:rsid w:val="1EF54419"/>
    <w:rsid w:val="1F0A3376"/>
    <w:rsid w:val="1F0B2063"/>
    <w:rsid w:val="1F844CE8"/>
    <w:rsid w:val="1FC30C23"/>
    <w:rsid w:val="1FDF3E7E"/>
    <w:rsid w:val="1FE150E7"/>
    <w:rsid w:val="1FE7539E"/>
    <w:rsid w:val="1FF24834"/>
    <w:rsid w:val="2040709F"/>
    <w:rsid w:val="20546622"/>
    <w:rsid w:val="20647F1F"/>
    <w:rsid w:val="20671BE0"/>
    <w:rsid w:val="206F69F5"/>
    <w:rsid w:val="20963BE6"/>
    <w:rsid w:val="20963CB8"/>
    <w:rsid w:val="20A81A1B"/>
    <w:rsid w:val="20B07FB6"/>
    <w:rsid w:val="20B646FB"/>
    <w:rsid w:val="20D72BBB"/>
    <w:rsid w:val="210672E4"/>
    <w:rsid w:val="210C663D"/>
    <w:rsid w:val="213B74B1"/>
    <w:rsid w:val="21450365"/>
    <w:rsid w:val="214B3B02"/>
    <w:rsid w:val="215A2310"/>
    <w:rsid w:val="218958A1"/>
    <w:rsid w:val="21B705E1"/>
    <w:rsid w:val="21DE318A"/>
    <w:rsid w:val="21EF5B80"/>
    <w:rsid w:val="22317166"/>
    <w:rsid w:val="223553B3"/>
    <w:rsid w:val="223F45B6"/>
    <w:rsid w:val="22463F27"/>
    <w:rsid w:val="22576990"/>
    <w:rsid w:val="2266019C"/>
    <w:rsid w:val="22B40EE8"/>
    <w:rsid w:val="22C36C51"/>
    <w:rsid w:val="22EB55E3"/>
    <w:rsid w:val="22F47480"/>
    <w:rsid w:val="231451AF"/>
    <w:rsid w:val="232D2C18"/>
    <w:rsid w:val="23351659"/>
    <w:rsid w:val="23711B9D"/>
    <w:rsid w:val="23783429"/>
    <w:rsid w:val="238A6D4B"/>
    <w:rsid w:val="238F0EB2"/>
    <w:rsid w:val="23964D50"/>
    <w:rsid w:val="23A645AD"/>
    <w:rsid w:val="23DE1C48"/>
    <w:rsid w:val="240210CD"/>
    <w:rsid w:val="242E251D"/>
    <w:rsid w:val="247D70EF"/>
    <w:rsid w:val="24AF3FAD"/>
    <w:rsid w:val="24B269CF"/>
    <w:rsid w:val="24B64583"/>
    <w:rsid w:val="24BF09F7"/>
    <w:rsid w:val="24BF6D35"/>
    <w:rsid w:val="24D92795"/>
    <w:rsid w:val="250E6F64"/>
    <w:rsid w:val="252D53FE"/>
    <w:rsid w:val="253337F9"/>
    <w:rsid w:val="253A39DC"/>
    <w:rsid w:val="2540068A"/>
    <w:rsid w:val="254426C7"/>
    <w:rsid w:val="259521CA"/>
    <w:rsid w:val="25A27A28"/>
    <w:rsid w:val="25C00E94"/>
    <w:rsid w:val="25D92348"/>
    <w:rsid w:val="25EC2D81"/>
    <w:rsid w:val="25F10931"/>
    <w:rsid w:val="260945EF"/>
    <w:rsid w:val="26271312"/>
    <w:rsid w:val="268E1B37"/>
    <w:rsid w:val="26981DE7"/>
    <w:rsid w:val="26A96FB3"/>
    <w:rsid w:val="26B35EA6"/>
    <w:rsid w:val="26F50CE0"/>
    <w:rsid w:val="272D69C2"/>
    <w:rsid w:val="27474E43"/>
    <w:rsid w:val="276513AD"/>
    <w:rsid w:val="277057A2"/>
    <w:rsid w:val="27A67B20"/>
    <w:rsid w:val="282A3011"/>
    <w:rsid w:val="28381015"/>
    <w:rsid w:val="28517C76"/>
    <w:rsid w:val="285E4B67"/>
    <w:rsid w:val="287F0039"/>
    <w:rsid w:val="28842896"/>
    <w:rsid w:val="28882669"/>
    <w:rsid w:val="28A3211F"/>
    <w:rsid w:val="28E47378"/>
    <w:rsid w:val="290E65DE"/>
    <w:rsid w:val="291929B0"/>
    <w:rsid w:val="29206EB8"/>
    <w:rsid w:val="29595666"/>
    <w:rsid w:val="29874881"/>
    <w:rsid w:val="298F5783"/>
    <w:rsid w:val="29A102DE"/>
    <w:rsid w:val="29A15B8F"/>
    <w:rsid w:val="29AE2018"/>
    <w:rsid w:val="29E325E0"/>
    <w:rsid w:val="29EA5DB5"/>
    <w:rsid w:val="2A4075F0"/>
    <w:rsid w:val="2A452503"/>
    <w:rsid w:val="2A9700EE"/>
    <w:rsid w:val="2AA137CD"/>
    <w:rsid w:val="2AA543E3"/>
    <w:rsid w:val="2AB23C33"/>
    <w:rsid w:val="2B216816"/>
    <w:rsid w:val="2B32504D"/>
    <w:rsid w:val="2B385FED"/>
    <w:rsid w:val="2B722695"/>
    <w:rsid w:val="2BA07B4F"/>
    <w:rsid w:val="2BA75675"/>
    <w:rsid w:val="2BA936A8"/>
    <w:rsid w:val="2BB97DA1"/>
    <w:rsid w:val="2BCF6EA8"/>
    <w:rsid w:val="2BFE3519"/>
    <w:rsid w:val="2C091798"/>
    <w:rsid w:val="2C315A5A"/>
    <w:rsid w:val="2C47726D"/>
    <w:rsid w:val="2C4B1C25"/>
    <w:rsid w:val="2C7F15DD"/>
    <w:rsid w:val="2C80122D"/>
    <w:rsid w:val="2CD05179"/>
    <w:rsid w:val="2CE360EB"/>
    <w:rsid w:val="2D1C0A1B"/>
    <w:rsid w:val="2D36202D"/>
    <w:rsid w:val="2D3933D2"/>
    <w:rsid w:val="2D4C6DFF"/>
    <w:rsid w:val="2D852662"/>
    <w:rsid w:val="2D9D0321"/>
    <w:rsid w:val="2D9E56F5"/>
    <w:rsid w:val="2DFF3E76"/>
    <w:rsid w:val="2E0F7CEB"/>
    <w:rsid w:val="2E1C697C"/>
    <w:rsid w:val="2E3E227C"/>
    <w:rsid w:val="2E4A434A"/>
    <w:rsid w:val="2E667F96"/>
    <w:rsid w:val="2E8226AB"/>
    <w:rsid w:val="2EC702A3"/>
    <w:rsid w:val="2EE66676"/>
    <w:rsid w:val="2EF12F4B"/>
    <w:rsid w:val="2EFE2DCF"/>
    <w:rsid w:val="2F0B7180"/>
    <w:rsid w:val="2F2B685C"/>
    <w:rsid w:val="2F2F168E"/>
    <w:rsid w:val="2F31401B"/>
    <w:rsid w:val="2F3F44CE"/>
    <w:rsid w:val="2F3F611E"/>
    <w:rsid w:val="2F921C7C"/>
    <w:rsid w:val="2FB3570D"/>
    <w:rsid w:val="2FB7198C"/>
    <w:rsid w:val="2FCB6302"/>
    <w:rsid w:val="2FD065E6"/>
    <w:rsid w:val="2FD96870"/>
    <w:rsid w:val="2FF1366D"/>
    <w:rsid w:val="30066CA6"/>
    <w:rsid w:val="300D7EF4"/>
    <w:rsid w:val="30346152"/>
    <w:rsid w:val="30580BC9"/>
    <w:rsid w:val="30D5180D"/>
    <w:rsid w:val="311E2ED7"/>
    <w:rsid w:val="315619EE"/>
    <w:rsid w:val="315C449C"/>
    <w:rsid w:val="31B82709"/>
    <w:rsid w:val="31D05482"/>
    <w:rsid w:val="32061C8D"/>
    <w:rsid w:val="32137867"/>
    <w:rsid w:val="321C4C9E"/>
    <w:rsid w:val="32365D80"/>
    <w:rsid w:val="323D21FF"/>
    <w:rsid w:val="32400B34"/>
    <w:rsid w:val="324028DB"/>
    <w:rsid w:val="324031B9"/>
    <w:rsid w:val="32477E4F"/>
    <w:rsid w:val="3288427A"/>
    <w:rsid w:val="329E6876"/>
    <w:rsid w:val="32B2106D"/>
    <w:rsid w:val="32BA7CAD"/>
    <w:rsid w:val="331D4B86"/>
    <w:rsid w:val="333015F2"/>
    <w:rsid w:val="334B6320"/>
    <w:rsid w:val="335A45CF"/>
    <w:rsid w:val="336770EC"/>
    <w:rsid w:val="33D934D4"/>
    <w:rsid w:val="33FE2F6A"/>
    <w:rsid w:val="3406128E"/>
    <w:rsid w:val="340E07E5"/>
    <w:rsid w:val="34235BF7"/>
    <w:rsid w:val="3433249B"/>
    <w:rsid w:val="34395B7A"/>
    <w:rsid w:val="347B725D"/>
    <w:rsid w:val="34917B95"/>
    <w:rsid w:val="351110D8"/>
    <w:rsid w:val="355665DC"/>
    <w:rsid w:val="35714D14"/>
    <w:rsid w:val="35792055"/>
    <w:rsid w:val="357A5B17"/>
    <w:rsid w:val="358C5FA8"/>
    <w:rsid w:val="35A52CA2"/>
    <w:rsid w:val="35C15DF1"/>
    <w:rsid w:val="35D20B8C"/>
    <w:rsid w:val="35DD54EF"/>
    <w:rsid w:val="35E67EFB"/>
    <w:rsid w:val="35F810FE"/>
    <w:rsid w:val="36074A7F"/>
    <w:rsid w:val="36260CAC"/>
    <w:rsid w:val="36793AE1"/>
    <w:rsid w:val="36923549"/>
    <w:rsid w:val="36AF6414"/>
    <w:rsid w:val="36B75FBF"/>
    <w:rsid w:val="36BB1053"/>
    <w:rsid w:val="36BD0C45"/>
    <w:rsid w:val="36DF427A"/>
    <w:rsid w:val="36FC2878"/>
    <w:rsid w:val="3706292C"/>
    <w:rsid w:val="372F5314"/>
    <w:rsid w:val="375830BF"/>
    <w:rsid w:val="37776E72"/>
    <w:rsid w:val="37855375"/>
    <w:rsid w:val="37A01A08"/>
    <w:rsid w:val="37A56123"/>
    <w:rsid w:val="37B00F8F"/>
    <w:rsid w:val="37B020DF"/>
    <w:rsid w:val="37C544B4"/>
    <w:rsid w:val="37DD1E8B"/>
    <w:rsid w:val="37E00298"/>
    <w:rsid w:val="38106202"/>
    <w:rsid w:val="384D74F5"/>
    <w:rsid w:val="385E0909"/>
    <w:rsid w:val="38694C6C"/>
    <w:rsid w:val="38827E14"/>
    <w:rsid w:val="38945E1E"/>
    <w:rsid w:val="38B302F9"/>
    <w:rsid w:val="38BE495F"/>
    <w:rsid w:val="38D23EA9"/>
    <w:rsid w:val="38DD43EE"/>
    <w:rsid w:val="38F12CD3"/>
    <w:rsid w:val="38F94775"/>
    <w:rsid w:val="3904187D"/>
    <w:rsid w:val="39157524"/>
    <w:rsid w:val="3926441F"/>
    <w:rsid w:val="392971ED"/>
    <w:rsid w:val="39325651"/>
    <w:rsid w:val="39501A3D"/>
    <w:rsid w:val="3985390D"/>
    <w:rsid w:val="3998735C"/>
    <w:rsid w:val="3A216ACA"/>
    <w:rsid w:val="3A872856"/>
    <w:rsid w:val="3ACC466F"/>
    <w:rsid w:val="3AF82ADD"/>
    <w:rsid w:val="3B082EDC"/>
    <w:rsid w:val="3B24475A"/>
    <w:rsid w:val="3B2B51FC"/>
    <w:rsid w:val="3B3763D1"/>
    <w:rsid w:val="3BA4032D"/>
    <w:rsid w:val="3BA51031"/>
    <w:rsid w:val="3BBF2F59"/>
    <w:rsid w:val="3BE016A3"/>
    <w:rsid w:val="3BEC6ED6"/>
    <w:rsid w:val="3C105D0D"/>
    <w:rsid w:val="3C202271"/>
    <w:rsid w:val="3C2F6E1E"/>
    <w:rsid w:val="3C4F64BA"/>
    <w:rsid w:val="3C8110C7"/>
    <w:rsid w:val="3C961564"/>
    <w:rsid w:val="3C9A2440"/>
    <w:rsid w:val="3CDA245A"/>
    <w:rsid w:val="3D1E06B7"/>
    <w:rsid w:val="3D550F35"/>
    <w:rsid w:val="3D5D3538"/>
    <w:rsid w:val="3D633828"/>
    <w:rsid w:val="3D6508FD"/>
    <w:rsid w:val="3D7530EA"/>
    <w:rsid w:val="3DAD4BE3"/>
    <w:rsid w:val="3DCA0392"/>
    <w:rsid w:val="3E3676EC"/>
    <w:rsid w:val="3E4E5A56"/>
    <w:rsid w:val="3E6C263B"/>
    <w:rsid w:val="3E806C55"/>
    <w:rsid w:val="3E8410E6"/>
    <w:rsid w:val="3E8F453E"/>
    <w:rsid w:val="3E98755C"/>
    <w:rsid w:val="3EBD3659"/>
    <w:rsid w:val="3EC1343C"/>
    <w:rsid w:val="3ECD1941"/>
    <w:rsid w:val="3EDA0523"/>
    <w:rsid w:val="3F0A0720"/>
    <w:rsid w:val="3F47619E"/>
    <w:rsid w:val="3F8D5C86"/>
    <w:rsid w:val="3F9976EE"/>
    <w:rsid w:val="3FA6375E"/>
    <w:rsid w:val="3FB90390"/>
    <w:rsid w:val="3FED50E8"/>
    <w:rsid w:val="401761CF"/>
    <w:rsid w:val="406A2270"/>
    <w:rsid w:val="407A6407"/>
    <w:rsid w:val="408F1B57"/>
    <w:rsid w:val="408F3A9A"/>
    <w:rsid w:val="41160F08"/>
    <w:rsid w:val="41517600"/>
    <w:rsid w:val="41693543"/>
    <w:rsid w:val="4188717C"/>
    <w:rsid w:val="41F827ED"/>
    <w:rsid w:val="4200449D"/>
    <w:rsid w:val="4224007C"/>
    <w:rsid w:val="423A3BCC"/>
    <w:rsid w:val="42493E2D"/>
    <w:rsid w:val="424E57D2"/>
    <w:rsid w:val="42B26C49"/>
    <w:rsid w:val="42ED240B"/>
    <w:rsid w:val="42F33775"/>
    <w:rsid w:val="42F45127"/>
    <w:rsid w:val="42F71E19"/>
    <w:rsid w:val="433A6FE6"/>
    <w:rsid w:val="43480868"/>
    <w:rsid w:val="4350713C"/>
    <w:rsid w:val="43547AF7"/>
    <w:rsid w:val="435B1653"/>
    <w:rsid w:val="436653E0"/>
    <w:rsid w:val="43911D66"/>
    <w:rsid w:val="43A77903"/>
    <w:rsid w:val="43AF64F0"/>
    <w:rsid w:val="43C4431A"/>
    <w:rsid w:val="43C769DA"/>
    <w:rsid w:val="441E5932"/>
    <w:rsid w:val="44545A19"/>
    <w:rsid w:val="448843F2"/>
    <w:rsid w:val="44B951CC"/>
    <w:rsid w:val="44BE090A"/>
    <w:rsid w:val="44C02167"/>
    <w:rsid w:val="44CD14E0"/>
    <w:rsid w:val="44F20B0B"/>
    <w:rsid w:val="45040EC9"/>
    <w:rsid w:val="450C2BD2"/>
    <w:rsid w:val="45252745"/>
    <w:rsid w:val="452E5F4C"/>
    <w:rsid w:val="453D0E64"/>
    <w:rsid w:val="45612018"/>
    <w:rsid w:val="457C0EB2"/>
    <w:rsid w:val="45892190"/>
    <w:rsid w:val="458936F8"/>
    <w:rsid w:val="458946E9"/>
    <w:rsid w:val="45A46DD1"/>
    <w:rsid w:val="45A47C0E"/>
    <w:rsid w:val="45B02934"/>
    <w:rsid w:val="45B666E9"/>
    <w:rsid w:val="45B9157C"/>
    <w:rsid w:val="45BB2A48"/>
    <w:rsid w:val="46206F5E"/>
    <w:rsid w:val="462F51FA"/>
    <w:rsid w:val="463C08C5"/>
    <w:rsid w:val="46471161"/>
    <w:rsid w:val="46577FD6"/>
    <w:rsid w:val="465A54A8"/>
    <w:rsid w:val="46794FBC"/>
    <w:rsid w:val="46B94F60"/>
    <w:rsid w:val="46D955A7"/>
    <w:rsid w:val="46F20F35"/>
    <w:rsid w:val="46F52FFC"/>
    <w:rsid w:val="46F94B12"/>
    <w:rsid w:val="47133957"/>
    <w:rsid w:val="474B4605"/>
    <w:rsid w:val="47664550"/>
    <w:rsid w:val="47750FF8"/>
    <w:rsid w:val="4777411D"/>
    <w:rsid w:val="477B242B"/>
    <w:rsid w:val="478A772D"/>
    <w:rsid w:val="47A07E0C"/>
    <w:rsid w:val="47B26989"/>
    <w:rsid w:val="48216D57"/>
    <w:rsid w:val="4839064D"/>
    <w:rsid w:val="485B6399"/>
    <w:rsid w:val="4870272E"/>
    <w:rsid w:val="489A1D6A"/>
    <w:rsid w:val="48AE5751"/>
    <w:rsid w:val="48D41330"/>
    <w:rsid w:val="49156525"/>
    <w:rsid w:val="49485601"/>
    <w:rsid w:val="494E24DA"/>
    <w:rsid w:val="495C3076"/>
    <w:rsid w:val="49B71401"/>
    <w:rsid w:val="49C378B5"/>
    <w:rsid w:val="49DC7715"/>
    <w:rsid w:val="4A023139"/>
    <w:rsid w:val="4A1B2199"/>
    <w:rsid w:val="4A74690C"/>
    <w:rsid w:val="4A7B576F"/>
    <w:rsid w:val="4AA235A8"/>
    <w:rsid w:val="4AD042EC"/>
    <w:rsid w:val="4AF561A9"/>
    <w:rsid w:val="4B13062E"/>
    <w:rsid w:val="4B364540"/>
    <w:rsid w:val="4B7302E5"/>
    <w:rsid w:val="4B7C69D9"/>
    <w:rsid w:val="4B887838"/>
    <w:rsid w:val="4B8A1E15"/>
    <w:rsid w:val="4B962A13"/>
    <w:rsid w:val="4BC25CDD"/>
    <w:rsid w:val="4BDE0E30"/>
    <w:rsid w:val="4BE236B8"/>
    <w:rsid w:val="4C070947"/>
    <w:rsid w:val="4C0C0CB2"/>
    <w:rsid w:val="4C1249B7"/>
    <w:rsid w:val="4C19230C"/>
    <w:rsid w:val="4C4A0649"/>
    <w:rsid w:val="4C4C5CD2"/>
    <w:rsid w:val="4C621793"/>
    <w:rsid w:val="4C78058A"/>
    <w:rsid w:val="4C7E5ECA"/>
    <w:rsid w:val="4C876AA5"/>
    <w:rsid w:val="4CE3458F"/>
    <w:rsid w:val="4CF0270B"/>
    <w:rsid w:val="4D0253F7"/>
    <w:rsid w:val="4D0E00FB"/>
    <w:rsid w:val="4D0F2303"/>
    <w:rsid w:val="4D176606"/>
    <w:rsid w:val="4D980F24"/>
    <w:rsid w:val="4DEA3974"/>
    <w:rsid w:val="4DEC4FB0"/>
    <w:rsid w:val="4DFA4D99"/>
    <w:rsid w:val="4E075D8A"/>
    <w:rsid w:val="4E2F321F"/>
    <w:rsid w:val="4E3C1482"/>
    <w:rsid w:val="4E9C7749"/>
    <w:rsid w:val="4EA92CA0"/>
    <w:rsid w:val="4EC00FAD"/>
    <w:rsid w:val="4F037132"/>
    <w:rsid w:val="4F730B48"/>
    <w:rsid w:val="4F8E7315"/>
    <w:rsid w:val="4F9843DC"/>
    <w:rsid w:val="4FA66B96"/>
    <w:rsid w:val="4FA95011"/>
    <w:rsid w:val="4FC62A8C"/>
    <w:rsid w:val="4FC91822"/>
    <w:rsid w:val="4FE20F0D"/>
    <w:rsid w:val="4FE51552"/>
    <w:rsid w:val="50164245"/>
    <w:rsid w:val="50437BAC"/>
    <w:rsid w:val="504D1248"/>
    <w:rsid w:val="50504C4B"/>
    <w:rsid w:val="50663A4B"/>
    <w:rsid w:val="50770F38"/>
    <w:rsid w:val="50804832"/>
    <w:rsid w:val="5085278C"/>
    <w:rsid w:val="509102F3"/>
    <w:rsid w:val="509C6E7C"/>
    <w:rsid w:val="50C82A3C"/>
    <w:rsid w:val="50CD334D"/>
    <w:rsid w:val="50D8547B"/>
    <w:rsid w:val="511C66F3"/>
    <w:rsid w:val="512150F5"/>
    <w:rsid w:val="51313466"/>
    <w:rsid w:val="5162104E"/>
    <w:rsid w:val="516D0CB2"/>
    <w:rsid w:val="518F7B36"/>
    <w:rsid w:val="519F0CE2"/>
    <w:rsid w:val="51D65E1F"/>
    <w:rsid w:val="5208144E"/>
    <w:rsid w:val="522B30EE"/>
    <w:rsid w:val="525F19AC"/>
    <w:rsid w:val="527C78E0"/>
    <w:rsid w:val="528167C6"/>
    <w:rsid w:val="52876FBC"/>
    <w:rsid w:val="52A77139"/>
    <w:rsid w:val="52CB3A69"/>
    <w:rsid w:val="52D92C7B"/>
    <w:rsid w:val="531F542D"/>
    <w:rsid w:val="53341368"/>
    <w:rsid w:val="535D6F09"/>
    <w:rsid w:val="53682DCA"/>
    <w:rsid w:val="53A039CC"/>
    <w:rsid w:val="53A1505A"/>
    <w:rsid w:val="54063E08"/>
    <w:rsid w:val="540D521B"/>
    <w:rsid w:val="541B496C"/>
    <w:rsid w:val="5432700A"/>
    <w:rsid w:val="543437E8"/>
    <w:rsid w:val="544233C6"/>
    <w:rsid w:val="54481D11"/>
    <w:rsid w:val="54564B55"/>
    <w:rsid w:val="545F0A3C"/>
    <w:rsid w:val="5483138E"/>
    <w:rsid w:val="54BF0BE7"/>
    <w:rsid w:val="54CA3EAB"/>
    <w:rsid w:val="54EA002B"/>
    <w:rsid w:val="54F73313"/>
    <w:rsid w:val="54F80955"/>
    <w:rsid w:val="554B65F4"/>
    <w:rsid w:val="555170A7"/>
    <w:rsid w:val="55687DD6"/>
    <w:rsid w:val="55712F45"/>
    <w:rsid w:val="55847B72"/>
    <w:rsid w:val="5587536D"/>
    <w:rsid w:val="558F233D"/>
    <w:rsid w:val="559B174B"/>
    <w:rsid w:val="55CE0CF4"/>
    <w:rsid w:val="55F056A8"/>
    <w:rsid w:val="560F5B4E"/>
    <w:rsid w:val="56211F00"/>
    <w:rsid w:val="56267BEF"/>
    <w:rsid w:val="5669593C"/>
    <w:rsid w:val="566D372F"/>
    <w:rsid w:val="56817EEC"/>
    <w:rsid w:val="56823706"/>
    <w:rsid w:val="56B22A9C"/>
    <w:rsid w:val="56F736EE"/>
    <w:rsid w:val="57061BD9"/>
    <w:rsid w:val="571F3FCE"/>
    <w:rsid w:val="57AF3376"/>
    <w:rsid w:val="57B72A76"/>
    <w:rsid w:val="57C3426C"/>
    <w:rsid w:val="57CE1F93"/>
    <w:rsid w:val="57EA789A"/>
    <w:rsid w:val="587F062E"/>
    <w:rsid w:val="588743D1"/>
    <w:rsid w:val="5887701A"/>
    <w:rsid w:val="58A249E3"/>
    <w:rsid w:val="58D74943"/>
    <w:rsid w:val="590749D9"/>
    <w:rsid w:val="59292501"/>
    <w:rsid w:val="59637968"/>
    <w:rsid w:val="598B3970"/>
    <w:rsid w:val="59BF7F63"/>
    <w:rsid w:val="59C0439F"/>
    <w:rsid w:val="59F06734"/>
    <w:rsid w:val="59FF6155"/>
    <w:rsid w:val="5A1C4C04"/>
    <w:rsid w:val="5A783B24"/>
    <w:rsid w:val="5A847F18"/>
    <w:rsid w:val="5A9F06E6"/>
    <w:rsid w:val="5ABE2233"/>
    <w:rsid w:val="5AFC33FC"/>
    <w:rsid w:val="5B2E3871"/>
    <w:rsid w:val="5B5575DC"/>
    <w:rsid w:val="5B8B3750"/>
    <w:rsid w:val="5B9F5F4E"/>
    <w:rsid w:val="5BC13A0E"/>
    <w:rsid w:val="5BDF5D95"/>
    <w:rsid w:val="5BFB348A"/>
    <w:rsid w:val="5BFE7528"/>
    <w:rsid w:val="5C7018AE"/>
    <w:rsid w:val="5C834DA5"/>
    <w:rsid w:val="5C87693F"/>
    <w:rsid w:val="5C910C51"/>
    <w:rsid w:val="5CA24830"/>
    <w:rsid w:val="5CFB4A73"/>
    <w:rsid w:val="5D1D6639"/>
    <w:rsid w:val="5D2E3013"/>
    <w:rsid w:val="5D336704"/>
    <w:rsid w:val="5D5229BB"/>
    <w:rsid w:val="5D5F2E13"/>
    <w:rsid w:val="5D7E4ED5"/>
    <w:rsid w:val="5D9D2D9D"/>
    <w:rsid w:val="5E2467F1"/>
    <w:rsid w:val="5E853B8C"/>
    <w:rsid w:val="5EC104AD"/>
    <w:rsid w:val="5EF46298"/>
    <w:rsid w:val="5EF53A38"/>
    <w:rsid w:val="5F1A2B43"/>
    <w:rsid w:val="5F684682"/>
    <w:rsid w:val="5F8C215D"/>
    <w:rsid w:val="5FA7725B"/>
    <w:rsid w:val="5FB837BB"/>
    <w:rsid w:val="5FD65E66"/>
    <w:rsid w:val="5FF52E15"/>
    <w:rsid w:val="602B4AC8"/>
    <w:rsid w:val="60440A11"/>
    <w:rsid w:val="60534379"/>
    <w:rsid w:val="605952AB"/>
    <w:rsid w:val="60A40819"/>
    <w:rsid w:val="60CC405A"/>
    <w:rsid w:val="60E02136"/>
    <w:rsid w:val="6134063B"/>
    <w:rsid w:val="61832FCB"/>
    <w:rsid w:val="6197105C"/>
    <w:rsid w:val="61E215D8"/>
    <w:rsid w:val="621B3775"/>
    <w:rsid w:val="62351D80"/>
    <w:rsid w:val="62364782"/>
    <w:rsid w:val="626D22D8"/>
    <w:rsid w:val="628668D4"/>
    <w:rsid w:val="63036DD7"/>
    <w:rsid w:val="6328196E"/>
    <w:rsid w:val="633D24F5"/>
    <w:rsid w:val="637F0918"/>
    <w:rsid w:val="638011C9"/>
    <w:rsid w:val="6394356A"/>
    <w:rsid w:val="63A62BD5"/>
    <w:rsid w:val="63AD358C"/>
    <w:rsid w:val="63C61B2C"/>
    <w:rsid w:val="63D40BE9"/>
    <w:rsid w:val="64102431"/>
    <w:rsid w:val="64440C12"/>
    <w:rsid w:val="646417BE"/>
    <w:rsid w:val="64795E76"/>
    <w:rsid w:val="64A5243A"/>
    <w:rsid w:val="64C50928"/>
    <w:rsid w:val="64F531DE"/>
    <w:rsid w:val="6523520A"/>
    <w:rsid w:val="65373578"/>
    <w:rsid w:val="653F759A"/>
    <w:rsid w:val="65B853B3"/>
    <w:rsid w:val="661A0A56"/>
    <w:rsid w:val="6667540E"/>
    <w:rsid w:val="66A26F68"/>
    <w:rsid w:val="66AD2D82"/>
    <w:rsid w:val="66C76E49"/>
    <w:rsid w:val="66DE76A9"/>
    <w:rsid w:val="66E95B0F"/>
    <w:rsid w:val="66F85315"/>
    <w:rsid w:val="66F86615"/>
    <w:rsid w:val="671F124A"/>
    <w:rsid w:val="6744731B"/>
    <w:rsid w:val="6759663F"/>
    <w:rsid w:val="67736009"/>
    <w:rsid w:val="677A33C6"/>
    <w:rsid w:val="67A711D3"/>
    <w:rsid w:val="67B1650E"/>
    <w:rsid w:val="67D66E8B"/>
    <w:rsid w:val="68101E59"/>
    <w:rsid w:val="681F6961"/>
    <w:rsid w:val="682558E5"/>
    <w:rsid w:val="684F2A0F"/>
    <w:rsid w:val="68610A2F"/>
    <w:rsid w:val="68805514"/>
    <w:rsid w:val="68A97E89"/>
    <w:rsid w:val="68B25241"/>
    <w:rsid w:val="68B463F0"/>
    <w:rsid w:val="68ED2D68"/>
    <w:rsid w:val="68F311EA"/>
    <w:rsid w:val="69316E2F"/>
    <w:rsid w:val="693F055B"/>
    <w:rsid w:val="694E2071"/>
    <w:rsid w:val="694E793E"/>
    <w:rsid w:val="69660230"/>
    <w:rsid w:val="69766163"/>
    <w:rsid w:val="697A3B33"/>
    <w:rsid w:val="69832232"/>
    <w:rsid w:val="698E1178"/>
    <w:rsid w:val="69BC46B9"/>
    <w:rsid w:val="69BC4B0D"/>
    <w:rsid w:val="69D44760"/>
    <w:rsid w:val="69F34DA2"/>
    <w:rsid w:val="6A0128E7"/>
    <w:rsid w:val="6A4423F7"/>
    <w:rsid w:val="6A4447BD"/>
    <w:rsid w:val="6A4754E2"/>
    <w:rsid w:val="6A520EC7"/>
    <w:rsid w:val="6A622930"/>
    <w:rsid w:val="6AC733BB"/>
    <w:rsid w:val="6AF87728"/>
    <w:rsid w:val="6AF87E20"/>
    <w:rsid w:val="6B322639"/>
    <w:rsid w:val="6B4667EF"/>
    <w:rsid w:val="6B6751E0"/>
    <w:rsid w:val="6B9D42BD"/>
    <w:rsid w:val="6BB430DC"/>
    <w:rsid w:val="6BC81F03"/>
    <w:rsid w:val="6BD44BDE"/>
    <w:rsid w:val="6BD74275"/>
    <w:rsid w:val="6BE04561"/>
    <w:rsid w:val="6C1329AA"/>
    <w:rsid w:val="6C457B42"/>
    <w:rsid w:val="6C636C38"/>
    <w:rsid w:val="6C67343F"/>
    <w:rsid w:val="6C922340"/>
    <w:rsid w:val="6CD9218B"/>
    <w:rsid w:val="6CE62A29"/>
    <w:rsid w:val="6D076059"/>
    <w:rsid w:val="6D1A7611"/>
    <w:rsid w:val="6D59213A"/>
    <w:rsid w:val="6D8D7E99"/>
    <w:rsid w:val="6DB34098"/>
    <w:rsid w:val="6DB545B6"/>
    <w:rsid w:val="6DDE456C"/>
    <w:rsid w:val="6DE02FB4"/>
    <w:rsid w:val="6DF91576"/>
    <w:rsid w:val="6E022832"/>
    <w:rsid w:val="6E167BAA"/>
    <w:rsid w:val="6E514CED"/>
    <w:rsid w:val="6E896EF1"/>
    <w:rsid w:val="6E90449B"/>
    <w:rsid w:val="6E976B66"/>
    <w:rsid w:val="6EAE375A"/>
    <w:rsid w:val="6EB563D5"/>
    <w:rsid w:val="6EC37717"/>
    <w:rsid w:val="6ED92677"/>
    <w:rsid w:val="6F225983"/>
    <w:rsid w:val="6F2E2769"/>
    <w:rsid w:val="6F4E4A91"/>
    <w:rsid w:val="6F542173"/>
    <w:rsid w:val="6F63386F"/>
    <w:rsid w:val="6F7C614A"/>
    <w:rsid w:val="6FC21A5C"/>
    <w:rsid w:val="6FC82EC0"/>
    <w:rsid w:val="6FCB5E97"/>
    <w:rsid w:val="6FFC5590"/>
    <w:rsid w:val="70121C1D"/>
    <w:rsid w:val="702C4925"/>
    <w:rsid w:val="7034326F"/>
    <w:rsid w:val="704D4176"/>
    <w:rsid w:val="704F6291"/>
    <w:rsid w:val="706D1DD0"/>
    <w:rsid w:val="70856B87"/>
    <w:rsid w:val="70D527EE"/>
    <w:rsid w:val="70DA08E5"/>
    <w:rsid w:val="71183D75"/>
    <w:rsid w:val="71376EA8"/>
    <w:rsid w:val="715B5300"/>
    <w:rsid w:val="716D24CA"/>
    <w:rsid w:val="71860847"/>
    <w:rsid w:val="71993A26"/>
    <w:rsid w:val="71996E86"/>
    <w:rsid w:val="71BF23AB"/>
    <w:rsid w:val="71CA0163"/>
    <w:rsid w:val="71D27F8A"/>
    <w:rsid w:val="71E73D3C"/>
    <w:rsid w:val="71F04582"/>
    <w:rsid w:val="72241386"/>
    <w:rsid w:val="72405B3F"/>
    <w:rsid w:val="72553024"/>
    <w:rsid w:val="72820C4B"/>
    <w:rsid w:val="72900B76"/>
    <w:rsid w:val="72B94FCF"/>
    <w:rsid w:val="72CD6776"/>
    <w:rsid w:val="72D601B3"/>
    <w:rsid w:val="73084A50"/>
    <w:rsid w:val="73122968"/>
    <w:rsid w:val="731F5D5E"/>
    <w:rsid w:val="73315CFA"/>
    <w:rsid w:val="7368762F"/>
    <w:rsid w:val="73820EF8"/>
    <w:rsid w:val="73900909"/>
    <w:rsid w:val="73986F61"/>
    <w:rsid w:val="73B14335"/>
    <w:rsid w:val="73C51AD5"/>
    <w:rsid w:val="73C57969"/>
    <w:rsid w:val="73CF3E37"/>
    <w:rsid w:val="73F710D1"/>
    <w:rsid w:val="741E793C"/>
    <w:rsid w:val="74216DC1"/>
    <w:rsid w:val="744461C8"/>
    <w:rsid w:val="745E3944"/>
    <w:rsid w:val="749041B2"/>
    <w:rsid w:val="74B16CA1"/>
    <w:rsid w:val="74D86289"/>
    <w:rsid w:val="74EB6458"/>
    <w:rsid w:val="751C481E"/>
    <w:rsid w:val="754119BD"/>
    <w:rsid w:val="754D560C"/>
    <w:rsid w:val="75583169"/>
    <w:rsid w:val="75751C2B"/>
    <w:rsid w:val="75AF20F3"/>
    <w:rsid w:val="760034CA"/>
    <w:rsid w:val="76042B02"/>
    <w:rsid w:val="76277742"/>
    <w:rsid w:val="7635099D"/>
    <w:rsid w:val="763B7AE8"/>
    <w:rsid w:val="77140088"/>
    <w:rsid w:val="773A4B45"/>
    <w:rsid w:val="77457A72"/>
    <w:rsid w:val="775D45BD"/>
    <w:rsid w:val="776D5856"/>
    <w:rsid w:val="77762421"/>
    <w:rsid w:val="77786D8D"/>
    <w:rsid w:val="7798250B"/>
    <w:rsid w:val="77B56B1F"/>
    <w:rsid w:val="77CA2D8D"/>
    <w:rsid w:val="780F09F4"/>
    <w:rsid w:val="781D2D14"/>
    <w:rsid w:val="785129BA"/>
    <w:rsid w:val="785B3419"/>
    <w:rsid w:val="78897CBD"/>
    <w:rsid w:val="78A90480"/>
    <w:rsid w:val="79234C07"/>
    <w:rsid w:val="793F7CE2"/>
    <w:rsid w:val="794F4EEB"/>
    <w:rsid w:val="797D05F4"/>
    <w:rsid w:val="79805BAC"/>
    <w:rsid w:val="798B0686"/>
    <w:rsid w:val="79A33A0C"/>
    <w:rsid w:val="79CC7C8E"/>
    <w:rsid w:val="7A021D3B"/>
    <w:rsid w:val="7A0D26E4"/>
    <w:rsid w:val="7A184574"/>
    <w:rsid w:val="7A364017"/>
    <w:rsid w:val="7A8265E1"/>
    <w:rsid w:val="7A9444D2"/>
    <w:rsid w:val="7B030F01"/>
    <w:rsid w:val="7B0C0951"/>
    <w:rsid w:val="7B127743"/>
    <w:rsid w:val="7B1B2580"/>
    <w:rsid w:val="7B3F1744"/>
    <w:rsid w:val="7B686D42"/>
    <w:rsid w:val="7B7664AA"/>
    <w:rsid w:val="7B841746"/>
    <w:rsid w:val="7B991CCF"/>
    <w:rsid w:val="7BCA4DE2"/>
    <w:rsid w:val="7BD6171F"/>
    <w:rsid w:val="7BEA0FE2"/>
    <w:rsid w:val="7C162EED"/>
    <w:rsid w:val="7C1662D1"/>
    <w:rsid w:val="7C323261"/>
    <w:rsid w:val="7C403514"/>
    <w:rsid w:val="7C624733"/>
    <w:rsid w:val="7C6C5AC7"/>
    <w:rsid w:val="7C8F6A43"/>
    <w:rsid w:val="7CC6544B"/>
    <w:rsid w:val="7CD647BE"/>
    <w:rsid w:val="7D0239FF"/>
    <w:rsid w:val="7D2B68BA"/>
    <w:rsid w:val="7D452C2A"/>
    <w:rsid w:val="7D5C76BD"/>
    <w:rsid w:val="7D5E40CD"/>
    <w:rsid w:val="7D6A6154"/>
    <w:rsid w:val="7D714829"/>
    <w:rsid w:val="7DCD56F2"/>
    <w:rsid w:val="7DEF3881"/>
    <w:rsid w:val="7E1A1042"/>
    <w:rsid w:val="7E205834"/>
    <w:rsid w:val="7E250ACC"/>
    <w:rsid w:val="7E494CFF"/>
    <w:rsid w:val="7E531039"/>
    <w:rsid w:val="7E7512AF"/>
    <w:rsid w:val="7E974C28"/>
    <w:rsid w:val="7ED93E88"/>
    <w:rsid w:val="7F001CE7"/>
    <w:rsid w:val="7FC0331F"/>
    <w:rsid w:val="7FE47E50"/>
    <w:rsid w:val="7FEA62CC"/>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nhideWhenUsed="0" w:uiPriority="0" w:semiHidden="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0" w:name="index 1" w:locked="1"/>
    <w:lsdException w:uiPriority="0" w:name="index 2" w:locked="1"/>
    <w:lsdException w:uiPriority="0" w:name="index 3" w:locked="1"/>
    <w:lsdException w:uiPriority="0" w:name="index 4" w:locked="1"/>
    <w:lsdException w:uiPriority="0" w:name="index 5" w:locked="1"/>
    <w:lsdException w:uiPriority="0" w:name="index 6" w:locked="1"/>
    <w:lsdException w:uiPriority="0" w:name="index 7" w:locked="1"/>
    <w:lsdException w:uiPriority="0" w:name="index 8" w:locked="1"/>
    <w:lsdException w:uiPriority="0" w:name="index 9" w:locked="1"/>
    <w:lsdException w:qFormat="1" w:unhideWhenUsed="0" w:uiPriority="39" w:semiHidden="0" w:name="toc 1" w:locked="1"/>
    <w:lsdException w:qFormat="1" w:unhideWhenUsed="0" w:uiPriority="39" w:semiHidden="0" w:name="toc 2" w:locked="1"/>
    <w:lsdException w:uiPriority="0" w:name="toc 3" w:locked="1"/>
    <w:lsdException w:uiPriority="0" w:name="toc 4" w:locked="1"/>
    <w:lsdException w:uiPriority="0" w:name="toc 5" w:locked="1"/>
    <w:lsdException w:uiPriority="0" w:name="toc 6" w:locked="1"/>
    <w:lsdException w:uiPriority="0" w:name="toc 7" w:locked="1"/>
    <w:lsdException w:uiPriority="0" w:name="toc 8" w:locked="1"/>
    <w:lsdException w:uiPriority="0" w:name="toc 9" w:locked="1"/>
    <w:lsdException w:qFormat="1" w:unhideWhenUsed="0" w:uiPriority="0" w:semiHidden="0" w:name="Normal Indent" w:locked="1"/>
    <w:lsdException w:uiPriority="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iPriority="0" w:name="index heading" w:locked="1"/>
    <w:lsdException w:qFormat="1" w:uiPriority="0" w:semiHidden="0" w:name="caption" w:locked="1"/>
    <w:lsdException w:uiPriority="0" w:name="table of figures" w:locked="1"/>
    <w:lsdException w:uiPriority="0" w:name="envelope address" w:locked="1"/>
    <w:lsdException w:uiPriority="0" w:name="envelope return" w:locked="1"/>
    <w:lsdException w:uiPriority="0" w:name="footnote reference" w:locked="1"/>
    <w:lsdException w:qFormat="1" w:unhideWhenUsed="0" w:uiPriority="0" w:semiHidden="0" w:name="annotation reference"/>
    <w:lsdException w:uiPriority="0" w:name="line number" w:locked="1"/>
    <w:lsdException w:qFormat="1" w:unhideWhenUsed="0" w:uiPriority="0" w:semiHidden="0" w:name="page number" w:locked="1"/>
    <w:lsdException w:qFormat="1" w:uiPriority="0" w:name="endnote reference" w:locked="1"/>
    <w:lsdException w:qFormat="1" w:uiPriority="0" w:name="endnote text" w:locked="1"/>
    <w:lsdException w:uiPriority="0" w:name="table of authorities" w:locked="1"/>
    <w:lsdException w:uiPriority="0" w:name="macro" w:locked="1"/>
    <w:lsdException w:uiPriority="0" w:name="toa heading" w:locked="1"/>
    <w:lsdException w:qFormat="1" w:unhideWhenUsed="0" w:uiPriority="0" w:semiHidden="0" w:name="List" w:locked="1"/>
    <w:lsdException w:uiPriority="0" w:name="List Bullet" w:locked="1"/>
    <w:lsdException w:uiPriority="0" w:name="List Number" w:locked="1"/>
    <w:lsdException w:uiPriority="0" w:name="List 2" w:locked="1"/>
    <w:lsdException w:uiPriority="0" w:name="List 3" w:locked="1"/>
    <w:lsdException w:uiPriority="0" w:name="List 4" w:locked="1"/>
    <w:lsdException w:uiPriority="0" w:name="List 5" w:locked="1"/>
    <w:lsdException w:uiPriority="0" w:name="List Bullet 2" w:locked="1"/>
    <w:lsdException w:uiPriority="0" w:name="List Bullet 3" w:locked="1"/>
    <w:lsdException w:uiPriority="0" w:name="List Bullet 4" w:locked="1"/>
    <w:lsdException w:uiPriority="0" w:name="List Bullet 5" w:locked="1"/>
    <w:lsdException w:uiPriority="0" w:name="List Number 2" w:locked="1"/>
    <w:lsdException w:uiPriority="0" w:name="List Number 3" w:locked="1"/>
    <w:lsdException w:uiPriority="0" w:name="List Number 4" w:locked="1"/>
    <w:lsdException w:uiPriority="0" w:name="List Number 5" w:locked="1"/>
    <w:lsdException w:qFormat="1" w:unhideWhenUsed="0" w:uiPriority="0" w:semiHidden="0" w:name="Title" w:locked="1"/>
    <w:lsdException w:uiPriority="0" w:name="Closing" w:locked="1"/>
    <w:lsdException w:uiPriority="0" w:name="Signature" w:locked="1"/>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ocked="1"/>
    <w:lsdException w:uiPriority="0" w:name="List Continue 2" w:locked="1"/>
    <w:lsdException w:uiPriority="0" w:name="List Continue 3" w:locked="1"/>
    <w:lsdException w:uiPriority="0" w:name="List Continue 4" w:locked="1"/>
    <w:lsdException w:uiPriority="0" w:name="List Continue 5" w:locked="1"/>
    <w:lsdException w:qFormat="1" w:unhideWhenUsed="0" w:uiPriority="0" w:semiHidden="0" w:name="Message Header" w:locked="1"/>
    <w:lsdException w:qFormat="1" w:unhideWhenUsed="0" w:uiPriority="0" w:semiHidden="0" w:name="Subtitle" w:locked="1"/>
    <w:lsdException w:uiPriority="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iPriority="0" w:name="Note Heading" w:locked="1"/>
    <w:lsdException w:uiPriority="0" w:name="Body Text 2" w:locked="1"/>
    <w:lsdException w:uiPriority="0" w:name="Body Text 3" w:locked="1"/>
    <w:lsdException w:uiPriority="0" w:name="Body Text Indent 2" w:locked="1"/>
    <w:lsdException w:qFormat="1" w:unhideWhenUsed="0" w:uiPriority="0" w:semiHidden="0" w:name="Body Text Indent 3" w:locked="1"/>
    <w:lsdException w:qFormat="1" w:unhideWhenUsed="0" w:uiPriority="0" w:semiHidden="0" w:name="Block Text" w:locked="1"/>
    <w:lsdException w:qFormat="1" w:uiPriority="99" w:semiHidden="0" w:name="Hyperlink" w:locked="1"/>
    <w:lsdException w:uiPriority="0" w:name="FollowedHyperlink" w:locked="1"/>
    <w:lsdException w:qFormat="1" w:unhideWhenUsed="0" w:uiPriority="22" w:semiHidden="0" w:name="Strong" w:locked="1"/>
    <w:lsdException w:qFormat="1" w:unhideWhenUsed="0" w:uiPriority="0" w:semiHidden="0" w:name="Emphasis" w:locked="1"/>
    <w:lsdException w:qFormat="1" w:unhideWhenUsed="0" w:uiPriority="0" w:semiHidden="0" w:name="Document Map" w:locked="1"/>
    <w:lsdException w:qFormat="1" w:uiPriority="0" w:semiHidden="0" w:name="Plain Text" w:locked="1"/>
    <w:lsdException w:uiPriority="0" w:name="E-mail Signature" w:locked="1"/>
    <w:lsdException w:qFormat="1" w:unhideWhenUsed="0" w:uiPriority="99" w:semiHidden="0" w:name="Normal (Web)"/>
    <w:lsdException w:uiPriority="0" w:name="HTML Acronym" w:locked="1"/>
    <w:lsdException w:uiPriority="0" w:name="HTML Address" w:locked="1"/>
    <w:lsdException w:uiPriority="0" w:name="HTML Cite" w:locked="1"/>
    <w:lsdException w:uiPriority="0" w:name="HTML Code" w:locked="1"/>
    <w:lsdException w:uiPriority="0" w:name="HTML Definition" w:locked="1"/>
    <w:lsdException w:uiPriority="0" w:name="HTML Keyboard" w:locked="1"/>
    <w:lsdException w:uiPriority="0" w:name="HTML Preformatted" w:locked="1"/>
    <w:lsdException w:uiPriority="0" w:name="HTML Sample" w:locked="1"/>
    <w:lsdException w:uiPriority="0" w:name="HTML Typewriter" w:locked="1"/>
    <w:lsdException w:uiPriority="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link w:val="102"/>
    <w:semiHidden/>
    <w:unhideWhenUsed/>
    <w:qFormat/>
    <w:locked/>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7">
    <w:name w:val="heading 3"/>
    <w:basedOn w:val="1"/>
    <w:next w:val="1"/>
    <w:link w:val="47"/>
    <w:qFormat/>
    <w:locked/>
    <w:uiPriority w:val="0"/>
    <w:pPr>
      <w:keepNext/>
      <w:keepLines/>
      <w:spacing w:before="260" w:after="260" w:line="416" w:lineRule="auto"/>
      <w:outlineLvl w:val="2"/>
    </w:pPr>
    <w:rPr>
      <w:b/>
      <w:bCs/>
      <w:sz w:val="32"/>
      <w:szCs w:val="32"/>
    </w:rPr>
  </w:style>
  <w:style w:type="character" w:default="1" w:styleId="34">
    <w:name w:val="Default Paragraph Font"/>
    <w:semiHidden/>
    <w:unhideWhenUsed/>
    <w:qFormat/>
    <w:uiPriority w:val="1"/>
  </w:style>
  <w:style w:type="table" w:default="1" w:styleId="32">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link w:val="44"/>
    <w:qFormat/>
    <w:uiPriority w:val="0"/>
    <w:pPr>
      <w:widowControl/>
      <w:snapToGrid w:val="0"/>
      <w:spacing w:before="60" w:after="160" w:line="259" w:lineRule="auto"/>
      <w:ind w:right="113"/>
    </w:pPr>
    <w:rPr>
      <w:kern w:val="0"/>
      <w:sz w:val="18"/>
      <w:szCs w:val="20"/>
    </w:rPr>
  </w:style>
  <w:style w:type="paragraph" w:customStyle="1" w:styleId="3">
    <w:name w:val="Normal (Web)1"/>
    <w:basedOn w:val="1"/>
    <w:next w:val="4"/>
    <w:qFormat/>
    <w:uiPriority w:val="0"/>
    <w:pPr>
      <w:widowControl/>
      <w:jc w:val="left"/>
    </w:pPr>
    <w:rPr>
      <w:rFonts w:ascii="宋体"/>
      <w:kern w:val="0"/>
      <w:sz w:val="24"/>
      <w:szCs w:val="21"/>
    </w:rPr>
  </w:style>
  <w:style w:type="paragraph" w:customStyle="1" w:styleId="4">
    <w:name w:val="Date1"/>
    <w:basedOn w:val="1"/>
    <w:next w:val="1"/>
    <w:qFormat/>
    <w:uiPriority w:val="0"/>
    <w:pPr>
      <w:ind w:left="2500" w:leftChars="2500"/>
    </w:pPr>
  </w:style>
  <w:style w:type="paragraph" w:styleId="8">
    <w:name w:val="Normal Indent"/>
    <w:basedOn w:val="1"/>
    <w:next w:val="9"/>
    <w:link w:val="71"/>
    <w:qFormat/>
    <w:locked/>
    <w:uiPriority w:val="0"/>
    <w:pPr>
      <w:widowControl/>
      <w:spacing w:line="240" w:lineRule="exact"/>
      <w:ind w:firstLine="420" w:firstLineChars="200"/>
      <w:jc w:val="left"/>
    </w:pPr>
    <w:rPr>
      <w:kern w:val="0"/>
      <w:sz w:val="20"/>
      <w:szCs w:val="20"/>
    </w:rPr>
  </w:style>
  <w:style w:type="paragraph" w:customStyle="1" w:styleId="9">
    <w:name w:val="正文首行缩进2个字 Char"/>
    <w:basedOn w:val="1"/>
    <w:qFormat/>
    <w:uiPriority w:val="0"/>
    <w:pPr>
      <w:ind w:firstLine="480" w:firstLineChars="200"/>
    </w:pPr>
    <w:rPr>
      <w:rFonts w:eastAsia="楷体"/>
      <w:sz w:val="24"/>
      <w:szCs w:val="24"/>
    </w:rPr>
  </w:style>
  <w:style w:type="paragraph" w:styleId="10">
    <w:name w:val="caption"/>
    <w:basedOn w:val="1"/>
    <w:next w:val="1"/>
    <w:unhideWhenUsed/>
    <w:qFormat/>
    <w:locked/>
    <w:uiPriority w:val="0"/>
    <w:pPr>
      <w:jc w:val="center"/>
    </w:pPr>
    <w:rPr>
      <w:rFonts w:ascii="Arial" w:hAnsi="Arial"/>
      <w:b/>
      <w:kern w:val="0"/>
      <w:szCs w:val="20"/>
    </w:rPr>
  </w:style>
  <w:style w:type="paragraph" w:styleId="11">
    <w:name w:val="Document Map"/>
    <w:basedOn w:val="1"/>
    <w:next w:val="12"/>
    <w:link w:val="57"/>
    <w:qFormat/>
    <w:locked/>
    <w:uiPriority w:val="0"/>
    <w:rPr>
      <w:rFonts w:ascii="宋体"/>
      <w:sz w:val="18"/>
      <w:szCs w:val="18"/>
    </w:rPr>
  </w:style>
  <w:style w:type="paragraph" w:customStyle="1" w:styleId="12">
    <w:name w:val="正文*"/>
    <w:basedOn w:val="1"/>
    <w:qFormat/>
    <w:uiPriority w:val="0"/>
    <w:pPr>
      <w:spacing w:line="360" w:lineRule="auto"/>
      <w:ind w:firstLine="480" w:firstLineChars="200"/>
    </w:pPr>
    <w:rPr>
      <w:rFonts w:eastAsia="宋体"/>
      <w:sz w:val="24"/>
    </w:rPr>
  </w:style>
  <w:style w:type="paragraph" w:styleId="13">
    <w:name w:val="annotation text"/>
    <w:basedOn w:val="1"/>
    <w:link w:val="45"/>
    <w:qFormat/>
    <w:uiPriority w:val="0"/>
    <w:pPr>
      <w:jc w:val="left"/>
    </w:pPr>
    <w:rPr>
      <w:kern w:val="0"/>
      <w:sz w:val="24"/>
      <w:szCs w:val="20"/>
    </w:rPr>
  </w:style>
  <w:style w:type="paragraph" w:styleId="14">
    <w:name w:val="Body Text Indent"/>
    <w:basedOn w:val="1"/>
    <w:link w:val="46"/>
    <w:qFormat/>
    <w:uiPriority w:val="0"/>
    <w:pPr>
      <w:spacing w:after="120"/>
      <w:ind w:left="420" w:leftChars="200"/>
    </w:pPr>
    <w:rPr>
      <w:kern w:val="0"/>
      <w:sz w:val="24"/>
      <w:szCs w:val="20"/>
    </w:rPr>
  </w:style>
  <w:style w:type="paragraph" w:styleId="15">
    <w:name w:val="Block Text"/>
    <w:basedOn w:val="1"/>
    <w:qFormat/>
    <w:locked/>
    <w:uiPriority w:val="0"/>
    <w:pPr>
      <w:adjustRightInd w:val="0"/>
      <w:snapToGrid w:val="0"/>
      <w:spacing w:line="490" w:lineRule="atLeast"/>
      <w:ind w:left="10" w:leftChars="5" w:right="-449" w:rightChars="-214" w:firstLine="560" w:firstLineChars="200"/>
    </w:pPr>
    <w:rPr>
      <w:color w:val="000000"/>
      <w:sz w:val="28"/>
    </w:rPr>
  </w:style>
  <w:style w:type="paragraph" w:styleId="16">
    <w:name w:val="Plain Text"/>
    <w:basedOn w:val="1"/>
    <w:unhideWhenUsed/>
    <w:qFormat/>
    <w:locked/>
    <w:uiPriority w:val="0"/>
    <w:pPr>
      <w:ind w:firstLine="0" w:firstLineChars="0"/>
    </w:pPr>
    <w:rPr>
      <w:rFonts w:ascii="宋体" w:hAnsi="Courier New" w:eastAsia="宋体" w:cs="Courier New"/>
      <w:sz w:val="21"/>
    </w:rPr>
  </w:style>
  <w:style w:type="paragraph" w:styleId="17">
    <w:name w:val="Date"/>
    <w:basedOn w:val="1"/>
    <w:next w:val="1"/>
    <w:link w:val="55"/>
    <w:qFormat/>
    <w:uiPriority w:val="0"/>
    <w:pPr>
      <w:ind w:left="100" w:leftChars="2500"/>
    </w:pPr>
    <w:rPr>
      <w:kern w:val="0"/>
      <w:sz w:val="24"/>
      <w:szCs w:val="20"/>
    </w:rPr>
  </w:style>
  <w:style w:type="paragraph" w:styleId="18">
    <w:name w:val="endnote text"/>
    <w:basedOn w:val="1"/>
    <w:link w:val="92"/>
    <w:semiHidden/>
    <w:unhideWhenUsed/>
    <w:qFormat/>
    <w:locked/>
    <w:uiPriority w:val="0"/>
    <w:pPr>
      <w:snapToGrid w:val="0"/>
      <w:jc w:val="left"/>
    </w:pPr>
  </w:style>
  <w:style w:type="paragraph" w:styleId="19">
    <w:name w:val="Balloon Text"/>
    <w:basedOn w:val="1"/>
    <w:link w:val="48"/>
    <w:semiHidden/>
    <w:qFormat/>
    <w:uiPriority w:val="0"/>
    <w:rPr>
      <w:kern w:val="0"/>
      <w:sz w:val="18"/>
      <w:szCs w:val="20"/>
    </w:rPr>
  </w:style>
  <w:style w:type="paragraph" w:styleId="20">
    <w:name w:val="footer"/>
    <w:basedOn w:val="1"/>
    <w:link w:val="59"/>
    <w:qFormat/>
    <w:uiPriority w:val="99"/>
    <w:pPr>
      <w:tabs>
        <w:tab w:val="center" w:pos="4153"/>
        <w:tab w:val="right" w:pos="8306"/>
      </w:tabs>
      <w:snapToGrid w:val="0"/>
      <w:jc w:val="left"/>
    </w:pPr>
    <w:rPr>
      <w:kern w:val="0"/>
      <w:sz w:val="18"/>
      <w:szCs w:val="20"/>
    </w:rPr>
  </w:style>
  <w:style w:type="paragraph" w:styleId="21">
    <w:name w:val="header"/>
    <w:basedOn w:val="1"/>
    <w:link w:val="43"/>
    <w:qFormat/>
    <w:uiPriority w:val="0"/>
    <w:pPr>
      <w:pBdr>
        <w:bottom w:val="single" w:color="auto" w:sz="6" w:space="1"/>
      </w:pBdr>
      <w:tabs>
        <w:tab w:val="center" w:pos="4153"/>
        <w:tab w:val="right" w:pos="8306"/>
      </w:tabs>
      <w:snapToGrid w:val="0"/>
      <w:jc w:val="center"/>
    </w:pPr>
    <w:rPr>
      <w:kern w:val="0"/>
      <w:sz w:val="18"/>
      <w:szCs w:val="20"/>
    </w:rPr>
  </w:style>
  <w:style w:type="paragraph" w:styleId="22">
    <w:name w:val="toc 1"/>
    <w:basedOn w:val="1"/>
    <w:next w:val="1"/>
    <w:qFormat/>
    <w:locked/>
    <w:uiPriority w:val="39"/>
  </w:style>
  <w:style w:type="paragraph" w:styleId="23">
    <w:name w:val="List"/>
    <w:basedOn w:val="1"/>
    <w:next w:val="2"/>
    <w:qFormat/>
    <w:locked/>
    <w:uiPriority w:val="0"/>
    <w:pPr>
      <w:jc w:val="center"/>
    </w:pPr>
    <w:rPr>
      <w:kern w:val="0"/>
      <w:szCs w:val="20"/>
    </w:rPr>
  </w:style>
  <w:style w:type="paragraph" w:styleId="24">
    <w:name w:val="Body Text Indent 3"/>
    <w:basedOn w:val="1"/>
    <w:link w:val="67"/>
    <w:qFormat/>
    <w:locked/>
    <w:uiPriority w:val="0"/>
    <w:pPr>
      <w:spacing w:after="120"/>
      <w:ind w:left="420" w:leftChars="200"/>
    </w:pPr>
    <w:rPr>
      <w:sz w:val="16"/>
      <w:szCs w:val="16"/>
    </w:rPr>
  </w:style>
  <w:style w:type="paragraph" w:styleId="25">
    <w:name w:val="toc 2"/>
    <w:basedOn w:val="1"/>
    <w:next w:val="1"/>
    <w:qFormat/>
    <w:locked/>
    <w:uiPriority w:val="39"/>
    <w:pPr>
      <w:spacing w:line="360" w:lineRule="auto"/>
      <w:ind w:firstLine="200" w:firstLineChars="200"/>
    </w:pPr>
    <w:rPr>
      <w:iCs/>
      <w:szCs w:val="20"/>
    </w:rPr>
  </w:style>
  <w:style w:type="paragraph" w:styleId="26">
    <w:name w:val="Message Header"/>
    <w:basedOn w:val="1"/>
    <w:qFormat/>
    <w:locked/>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z w:val="24"/>
    </w:rPr>
  </w:style>
  <w:style w:type="paragraph" w:styleId="27">
    <w:name w:val="Normal (Web)"/>
    <w:basedOn w:val="1"/>
    <w:link w:val="51"/>
    <w:qFormat/>
    <w:uiPriority w:val="99"/>
    <w:pPr>
      <w:widowControl/>
      <w:spacing w:before="100" w:beforeAutospacing="1" w:after="100" w:afterAutospacing="1"/>
      <w:jc w:val="left"/>
    </w:pPr>
    <w:rPr>
      <w:rFonts w:ascii="宋体" w:hAnsi="宋体"/>
      <w:kern w:val="0"/>
      <w:sz w:val="24"/>
      <w:szCs w:val="20"/>
    </w:rPr>
  </w:style>
  <w:style w:type="paragraph" w:styleId="28">
    <w:name w:val="Title"/>
    <w:basedOn w:val="1"/>
    <w:next w:val="1"/>
    <w:qFormat/>
    <w:locked/>
    <w:uiPriority w:val="0"/>
    <w:pPr>
      <w:spacing w:before="240" w:after="60"/>
      <w:jc w:val="center"/>
      <w:outlineLvl w:val="0"/>
    </w:pPr>
    <w:rPr>
      <w:rFonts w:ascii="等线 Light" w:hAnsi="等线 Light"/>
      <w:b/>
      <w:bCs/>
      <w:sz w:val="32"/>
      <w:szCs w:val="32"/>
    </w:rPr>
  </w:style>
  <w:style w:type="paragraph" w:styleId="29">
    <w:name w:val="annotation subject"/>
    <w:basedOn w:val="13"/>
    <w:next w:val="13"/>
    <w:link w:val="49"/>
    <w:semiHidden/>
    <w:qFormat/>
    <w:uiPriority w:val="0"/>
    <w:rPr>
      <w:b/>
      <w:kern w:val="2"/>
    </w:rPr>
  </w:style>
  <w:style w:type="paragraph" w:styleId="30">
    <w:name w:val="Body Text First Indent"/>
    <w:basedOn w:val="1"/>
    <w:next w:val="1"/>
    <w:qFormat/>
    <w:locked/>
    <w:uiPriority w:val="0"/>
    <w:pPr>
      <w:spacing w:after="120" w:line="240" w:lineRule="auto"/>
      <w:ind w:firstLine="420" w:firstLineChars="100"/>
      <w:textAlignment w:val="auto"/>
    </w:pPr>
    <w:rPr>
      <w:rFonts w:eastAsia="宋体"/>
      <w:sz w:val="21"/>
    </w:rPr>
  </w:style>
  <w:style w:type="paragraph" w:styleId="31">
    <w:name w:val="Body Text First Indent 2"/>
    <w:basedOn w:val="14"/>
    <w:qFormat/>
    <w:locked/>
    <w:uiPriority w:val="0"/>
    <w:pPr>
      <w:tabs>
        <w:tab w:val="left" w:pos="210"/>
      </w:tabs>
      <w:spacing w:after="120" w:line="240" w:lineRule="auto"/>
      <w:ind w:left="420" w:leftChars="200" w:firstLineChars="200"/>
    </w:pPr>
    <w:rPr>
      <w:sz w:val="21"/>
    </w:rPr>
  </w:style>
  <w:style w:type="table" w:styleId="33">
    <w:name w:val="Table Grid"/>
    <w:basedOn w:val="3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Strong"/>
    <w:basedOn w:val="34"/>
    <w:qFormat/>
    <w:locked/>
    <w:uiPriority w:val="22"/>
    <w:rPr>
      <w:b/>
      <w:bCs/>
    </w:rPr>
  </w:style>
  <w:style w:type="character" w:styleId="36">
    <w:name w:val="endnote reference"/>
    <w:basedOn w:val="34"/>
    <w:semiHidden/>
    <w:unhideWhenUsed/>
    <w:qFormat/>
    <w:locked/>
    <w:uiPriority w:val="0"/>
    <w:rPr>
      <w:vertAlign w:val="superscript"/>
    </w:rPr>
  </w:style>
  <w:style w:type="character" w:styleId="37">
    <w:name w:val="page number"/>
    <w:basedOn w:val="34"/>
    <w:qFormat/>
    <w:locked/>
    <w:uiPriority w:val="0"/>
  </w:style>
  <w:style w:type="character" w:styleId="38">
    <w:name w:val="Emphasis"/>
    <w:basedOn w:val="34"/>
    <w:qFormat/>
    <w:locked/>
    <w:uiPriority w:val="0"/>
    <w:rPr>
      <w:i/>
    </w:rPr>
  </w:style>
  <w:style w:type="character" w:styleId="39">
    <w:name w:val="Hyperlink"/>
    <w:basedOn w:val="34"/>
    <w:unhideWhenUsed/>
    <w:qFormat/>
    <w:locked/>
    <w:uiPriority w:val="99"/>
    <w:rPr>
      <w:color w:val="0000FF" w:themeColor="hyperlink"/>
      <w:u w:val="single"/>
      <w14:textFill>
        <w14:solidFill>
          <w14:schemeClr w14:val="hlink"/>
        </w14:solidFill>
      </w14:textFill>
    </w:rPr>
  </w:style>
  <w:style w:type="character" w:styleId="40">
    <w:name w:val="annotation reference"/>
    <w:basedOn w:val="34"/>
    <w:qFormat/>
    <w:uiPriority w:val="0"/>
    <w:rPr>
      <w:sz w:val="21"/>
    </w:rPr>
  </w:style>
  <w:style w:type="paragraph" w:customStyle="1" w:styleId="41">
    <w:name w:val="表格内容"/>
    <w:basedOn w:val="42"/>
    <w:next w:val="1"/>
    <w:qFormat/>
    <w:uiPriority w:val="0"/>
    <w:pPr>
      <w:overflowPunct w:val="0"/>
    </w:pPr>
    <w:rPr>
      <w:rFonts w:ascii="Arial" w:hAnsi="Arial" w:eastAsia="宋体"/>
      <w:sz w:val="21"/>
      <w:szCs w:val="22"/>
    </w:rPr>
  </w:style>
  <w:style w:type="paragraph" w:customStyle="1" w:styleId="42">
    <w:name w:val="封皮-证书编号"/>
    <w:basedOn w:val="1"/>
    <w:qFormat/>
    <w:uiPriority w:val="0"/>
    <w:pPr>
      <w:jc w:val="center"/>
    </w:pPr>
    <w:rPr>
      <w:rFonts w:eastAsia="黑体"/>
      <w:sz w:val="28"/>
    </w:rPr>
  </w:style>
  <w:style w:type="character" w:customStyle="1" w:styleId="43">
    <w:name w:val="页眉 字符"/>
    <w:link w:val="21"/>
    <w:qFormat/>
    <w:locked/>
    <w:uiPriority w:val="0"/>
    <w:rPr>
      <w:sz w:val="18"/>
    </w:rPr>
  </w:style>
  <w:style w:type="character" w:customStyle="1" w:styleId="44">
    <w:name w:val="正文文本 字符"/>
    <w:link w:val="2"/>
    <w:qFormat/>
    <w:locked/>
    <w:uiPriority w:val="0"/>
    <w:rPr>
      <w:sz w:val="18"/>
    </w:rPr>
  </w:style>
  <w:style w:type="character" w:customStyle="1" w:styleId="45">
    <w:name w:val="批注文字 字符"/>
    <w:link w:val="13"/>
    <w:qFormat/>
    <w:locked/>
    <w:uiPriority w:val="99"/>
    <w:rPr>
      <w:rFonts w:ascii="Times New Roman" w:hAnsi="Times New Roman" w:eastAsia="宋体"/>
      <w:sz w:val="24"/>
    </w:rPr>
  </w:style>
  <w:style w:type="character" w:customStyle="1" w:styleId="46">
    <w:name w:val="正文文本缩进 字符"/>
    <w:link w:val="14"/>
    <w:semiHidden/>
    <w:qFormat/>
    <w:locked/>
    <w:uiPriority w:val="0"/>
    <w:rPr>
      <w:rFonts w:ascii="Times New Roman" w:hAnsi="Times New Roman" w:eastAsia="宋体"/>
      <w:sz w:val="24"/>
    </w:rPr>
  </w:style>
  <w:style w:type="character" w:customStyle="1" w:styleId="47">
    <w:name w:val="标题 3 字符"/>
    <w:basedOn w:val="34"/>
    <w:link w:val="7"/>
    <w:qFormat/>
    <w:uiPriority w:val="0"/>
    <w:rPr>
      <w:b/>
      <w:bCs/>
      <w:kern w:val="2"/>
      <w:sz w:val="32"/>
      <w:szCs w:val="32"/>
    </w:rPr>
  </w:style>
  <w:style w:type="character" w:customStyle="1" w:styleId="48">
    <w:name w:val="批注框文本 字符"/>
    <w:link w:val="19"/>
    <w:semiHidden/>
    <w:qFormat/>
    <w:locked/>
    <w:uiPriority w:val="0"/>
    <w:rPr>
      <w:rFonts w:ascii="Times New Roman" w:hAnsi="Times New Roman" w:eastAsia="宋体"/>
      <w:sz w:val="18"/>
    </w:rPr>
  </w:style>
  <w:style w:type="character" w:customStyle="1" w:styleId="49">
    <w:name w:val="批注主题 字符"/>
    <w:link w:val="29"/>
    <w:semiHidden/>
    <w:qFormat/>
    <w:locked/>
    <w:uiPriority w:val="0"/>
    <w:rPr>
      <w:rFonts w:ascii="Times New Roman" w:hAnsi="Times New Roman" w:eastAsia="宋体"/>
      <w:b/>
      <w:kern w:val="2"/>
      <w:sz w:val="24"/>
    </w:rPr>
  </w:style>
  <w:style w:type="character" w:customStyle="1" w:styleId="50">
    <w:name w:val="批注文字 字符1"/>
    <w:semiHidden/>
    <w:qFormat/>
    <w:uiPriority w:val="0"/>
    <w:rPr>
      <w:rFonts w:ascii="Times New Roman" w:hAnsi="Times New Roman" w:eastAsia="宋体"/>
      <w:sz w:val="24"/>
    </w:rPr>
  </w:style>
  <w:style w:type="character" w:customStyle="1" w:styleId="51">
    <w:name w:val="普通(网站) 字符"/>
    <w:link w:val="27"/>
    <w:qFormat/>
    <w:locked/>
    <w:uiPriority w:val="0"/>
    <w:rPr>
      <w:rFonts w:ascii="宋体" w:hAnsi="宋体" w:eastAsia="宋体"/>
      <w:sz w:val="24"/>
    </w:rPr>
  </w:style>
  <w:style w:type="character" w:customStyle="1" w:styleId="52">
    <w:name w:val="页脚 字符"/>
    <w:basedOn w:val="34"/>
    <w:qFormat/>
    <w:uiPriority w:val="99"/>
  </w:style>
  <w:style w:type="character" w:customStyle="1" w:styleId="53">
    <w:name w:val="表格 Char"/>
    <w:link w:val="54"/>
    <w:qFormat/>
    <w:locked/>
    <w:uiPriority w:val="0"/>
    <w:rPr>
      <w:rFonts w:ascii="宋体"/>
      <w:sz w:val="21"/>
    </w:rPr>
  </w:style>
  <w:style w:type="paragraph" w:customStyle="1" w:styleId="54">
    <w:name w:val="表格"/>
    <w:basedOn w:val="1"/>
    <w:next w:val="1"/>
    <w:link w:val="53"/>
    <w:qFormat/>
    <w:uiPriority w:val="0"/>
    <w:pPr>
      <w:adjustRightInd w:val="0"/>
      <w:snapToGrid w:val="0"/>
      <w:spacing w:beforeLines="10" w:afterLines="10" w:line="259" w:lineRule="auto"/>
      <w:jc w:val="center"/>
    </w:pPr>
    <w:rPr>
      <w:rFonts w:ascii="宋体"/>
      <w:kern w:val="0"/>
      <w:szCs w:val="20"/>
    </w:rPr>
  </w:style>
  <w:style w:type="character" w:customStyle="1" w:styleId="55">
    <w:name w:val="日期 字符1"/>
    <w:link w:val="17"/>
    <w:qFormat/>
    <w:locked/>
    <w:uiPriority w:val="0"/>
    <w:rPr>
      <w:rFonts w:ascii="Times New Roman" w:hAnsi="Times New Roman" w:eastAsia="宋体"/>
      <w:sz w:val="24"/>
    </w:rPr>
  </w:style>
  <w:style w:type="character" w:customStyle="1" w:styleId="56">
    <w:name w:val="日期 字符"/>
    <w:semiHidden/>
    <w:qFormat/>
    <w:uiPriority w:val="0"/>
    <w:rPr>
      <w:rFonts w:ascii="Times New Roman" w:hAnsi="Times New Roman" w:eastAsia="宋体"/>
      <w:sz w:val="24"/>
    </w:rPr>
  </w:style>
  <w:style w:type="character" w:customStyle="1" w:styleId="57">
    <w:name w:val="文档结构图 字符"/>
    <w:basedOn w:val="34"/>
    <w:link w:val="11"/>
    <w:qFormat/>
    <w:uiPriority w:val="0"/>
    <w:rPr>
      <w:rFonts w:ascii="宋体"/>
      <w:kern w:val="2"/>
      <w:sz w:val="18"/>
      <w:szCs w:val="18"/>
    </w:rPr>
  </w:style>
  <w:style w:type="character" w:customStyle="1" w:styleId="58">
    <w:name w:val="正文文本 字符1"/>
    <w:semiHidden/>
    <w:qFormat/>
    <w:uiPriority w:val="0"/>
    <w:rPr>
      <w:rFonts w:ascii="Times New Roman" w:hAnsi="Times New Roman" w:eastAsia="宋体"/>
      <w:sz w:val="24"/>
    </w:rPr>
  </w:style>
  <w:style w:type="character" w:customStyle="1" w:styleId="59">
    <w:name w:val="页脚 字符1"/>
    <w:link w:val="20"/>
    <w:qFormat/>
    <w:locked/>
    <w:uiPriority w:val="99"/>
    <w:rPr>
      <w:sz w:val="18"/>
    </w:rPr>
  </w:style>
  <w:style w:type="paragraph" w:customStyle="1" w:styleId="60">
    <w:name w:val="标题 段落4级"/>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paragraph" w:customStyle="1" w:styleId="61">
    <w:name w:val="Table Paragraph"/>
    <w:basedOn w:val="1"/>
    <w:qFormat/>
    <w:uiPriority w:val="1"/>
    <w:rPr>
      <w:rFonts w:ascii="宋体" w:hAnsi="宋体" w:cs="宋体"/>
      <w:szCs w:val="20"/>
      <w:lang w:val="zh-CN" w:bidi="zh-CN"/>
    </w:rPr>
  </w:style>
  <w:style w:type="paragraph" w:customStyle="1" w:styleId="62">
    <w:name w:val="Default"/>
    <w:basedOn w:val="63"/>
    <w:next w:val="1"/>
    <w:qFormat/>
    <w:uiPriority w:val="0"/>
    <w:pPr>
      <w:widowControl w:val="0"/>
      <w:autoSpaceDE w:val="0"/>
      <w:autoSpaceDN w:val="0"/>
      <w:adjustRightInd w:val="0"/>
      <w:spacing w:line="240" w:lineRule="exact"/>
    </w:pPr>
    <w:rPr>
      <w:rFonts w:ascii="宋体" w:hAnsi="宋体"/>
      <w:color w:val="000000"/>
      <w:sz w:val="24"/>
    </w:rPr>
  </w:style>
  <w:style w:type="paragraph" w:customStyle="1" w:styleId="63">
    <w:name w:val="纯文本1"/>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64">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5">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66">
    <w:name w:val="Body Text 21"/>
    <w:basedOn w:val="1"/>
    <w:qFormat/>
    <w:uiPriority w:val="99"/>
    <w:pPr>
      <w:adjustRightInd w:val="0"/>
      <w:textAlignment w:val="baseline"/>
    </w:pPr>
    <w:rPr>
      <w:rFonts w:ascii="仿宋_GB2312" w:eastAsia="仿宋体"/>
      <w:sz w:val="24"/>
    </w:rPr>
  </w:style>
  <w:style w:type="character" w:customStyle="1" w:styleId="67">
    <w:name w:val="正文文本缩进 3 字符"/>
    <w:basedOn w:val="34"/>
    <w:link w:val="24"/>
    <w:qFormat/>
    <w:uiPriority w:val="0"/>
    <w:rPr>
      <w:kern w:val="2"/>
      <w:sz w:val="16"/>
      <w:szCs w:val="16"/>
    </w:rPr>
  </w:style>
  <w:style w:type="paragraph" w:customStyle="1" w:styleId="68">
    <w:name w:val="正文文本缩进1"/>
    <w:basedOn w:val="1"/>
    <w:qFormat/>
    <w:uiPriority w:val="0"/>
    <w:pPr>
      <w:widowControl/>
      <w:spacing w:line="360" w:lineRule="auto"/>
      <w:ind w:firstLine="560"/>
      <w:jc w:val="left"/>
    </w:pPr>
    <w:rPr>
      <w:rFonts w:ascii="仿宋_GB2312" w:hAnsi="宋体" w:eastAsia="仿宋_GB2312"/>
      <w:sz w:val="28"/>
    </w:rPr>
  </w:style>
  <w:style w:type="paragraph" w:customStyle="1" w:styleId="69">
    <w:name w:val="简单回函地址"/>
    <w:basedOn w:val="1"/>
    <w:qFormat/>
    <w:uiPriority w:val="0"/>
    <w:pPr>
      <w:widowControl/>
      <w:spacing w:line="240" w:lineRule="exact"/>
      <w:jc w:val="left"/>
    </w:pPr>
    <w:rPr>
      <w:kern w:val="0"/>
      <w:sz w:val="24"/>
      <w:szCs w:val="20"/>
    </w:rPr>
  </w:style>
  <w:style w:type="paragraph" w:customStyle="1" w:styleId="70">
    <w:name w:val="+列表1"/>
    <w:basedOn w:val="1"/>
    <w:qFormat/>
    <w:uiPriority w:val="0"/>
    <w:pPr>
      <w:widowControl/>
      <w:jc w:val="center"/>
    </w:pPr>
    <w:rPr>
      <w:kern w:val="0"/>
      <w:sz w:val="20"/>
      <w:lang w:eastAsia="en-US"/>
    </w:rPr>
  </w:style>
  <w:style w:type="character" w:customStyle="1" w:styleId="71">
    <w:name w:val="正文缩进 字符"/>
    <w:basedOn w:val="34"/>
    <w:link w:val="8"/>
    <w:qFormat/>
    <w:uiPriority w:val="0"/>
  </w:style>
  <w:style w:type="character" w:customStyle="1" w:styleId="72">
    <w:name w:val="Body text|2_"/>
    <w:basedOn w:val="34"/>
    <w:link w:val="73"/>
    <w:qFormat/>
    <w:uiPriority w:val="0"/>
    <w:rPr>
      <w:rFonts w:ascii="宋体" w:hAnsi="宋体" w:eastAsia="宋体" w:cs="宋体"/>
      <w:sz w:val="22"/>
      <w:szCs w:val="22"/>
      <w:lang w:val="zh-TW" w:eastAsia="zh-TW" w:bidi="zh-TW"/>
    </w:rPr>
  </w:style>
  <w:style w:type="paragraph" w:customStyle="1" w:styleId="73">
    <w:name w:val="Body text|2"/>
    <w:basedOn w:val="1"/>
    <w:link w:val="72"/>
    <w:qFormat/>
    <w:uiPriority w:val="0"/>
    <w:pPr>
      <w:spacing w:after="140"/>
      <w:jc w:val="left"/>
    </w:pPr>
    <w:rPr>
      <w:rFonts w:ascii="宋体" w:hAnsi="宋体" w:cs="宋体"/>
      <w:kern w:val="0"/>
      <w:sz w:val="22"/>
      <w:szCs w:val="22"/>
      <w:lang w:val="zh-TW" w:eastAsia="zh-TW" w:bidi="zh-TW"/>
    </w:rPr>
  </w:style>
  <w:style w:type="paragraph" w:customStyle="1" w:styleId="74">
    <w:name w:val="Body text|1"/>
    <w:basedOn w:val="1"/>
    <w:qFormat/>
    <w:uiPriority w:val="0"/>
    <w:rPr>
      <w:rFonts w:ascii="宋体" w:hAnsi="宋体" w:cs="宋体"/>
      <w:sz w:val="26"/>
      <w:szCs w:val="26"/>
      <w:lang w:val="zh-TW" w:eastAsia="zh-TW" w:bidi="zh-TW"/>
    </w:rPr>
  </w:style>
  <w:style w:type="paragraph" w:customStyle="1" w:styleId="75">
    <w:name w:val="Body text|4"/>
    <w:basedOn w:val="1"/>
    <w:qFormat/>
    <w:uiPriority w:val="0"/>
    <w:pPr>
      <w:spacing w:line="343" w:lineRule="auto"/>
      <w:ind w:firstLine="280"/>
    </w:pPr>
    <w:rPr>
      <w:rFonts w:ascii="宋体" w:hAnsi="宋体" w:cs="宋体"/>
      <w:sz w:val="30"/>
      <w:szCs w:val="30"/>
      <w:lang w:val="zh-TW" w:eastAsia="zh-TW" w:bidi="zh-TW"/>
    </w:rPr>
  </w:style>
  <w:style w:type="paragraph" w:customStyle="1" w:styleId="76">
    <w:name w:val="正文表标题"/>
    <w:next w:val="77"/>
    <w:qFormat/>
    <w:uiPriority w:val="0"/>
    <w:pPr>
      <w:numPr>
        <w:ilvl w:val="0"/>
        <w:numId w:val="1"/>
      </w:numPr>
      <w:spacing w:beforeLines="50" w:afterLines="50"/>
      <w:jc w:val="center"/>
    </w:pPr>
    <w:rPr>
      <w:rFonts w:ascii="黑体" w:hAnsi="Times New Roman" w:eastAsia="黑体" w:cs="Times New Roman"/>
      <w:sz w:val="21"/>
      <w:lang w:val="en-US" w:eastAsia="zh-CN" w:bidi="ar-SA"/>
    </w:rPr>
  </w:style>
  <w:style w:type="paragraph" w:customStyle="1" w:styleId="77">
    <w:name w:val="段"/>
    <w:qFormat/>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lang w:val="en-US" w:eastAsia="zh-CN" w:bidi="ar-SA"/>
    </w:rPr>
  </w:style>
  <w:style w:type="character" w:customStyle="1" w:styleId="78">
    <w:name w:val="font11"/>
    <w:basedOn w:val="34"/>
    <w:qFormat/>
    <w:uiPriority w:val="0"/>
    <w:rPr>
      <w:rFonts w:hint="default" w:ascii="Times New Roman" w:hAnsi="Times New Roman" w:cs="Times New Roman"/>
      <w:color w:val="FF0000"/>
      <w:sz w:val="18"/>
      <w:szCs w:val="18"/>
      <w:u w:val="none"/>
    </w:rPr>
  </w:style>
  <w:style w:type="character" w:customStyle="1" w:styleId="79">
    <w:name w:val="font31"/>
    <w:basedOn w:val="34"/>
    <w:qFormat/>
    <w:uiPriority w:val="0"/>
    <w:rPr>
      <w:rFonts w:hint="eastAsia" w:ascii="宋体" w:hAnsi="宋体" w:eastAsia="宋体" w:cs="宋体"/>
      <w:color w:val="FF0000"/>
      <w:sz w:val="18"/>
      <w:szCs w:val="18"/>
      <w:u w:val="none"/>
    </w:rPr>
  </w:style>
  <w:style w:type="paragraph" w:styleId="80">
    <w:name w:val="List Paragraph"/>
    <w:basedOn w:val="1"/>
    <w:qFormat/>
    <w:uiPriority w:val="1"/>
    <w:pPr>
      <w:spacing w:before="105"/>
      <w:ind w:left="538" w:hanging="421"/>
    </w:pPr>
    <w:rPr>
      <w:rFonts w:ascii="仿宋" w:hAnsi="仿宋" w:eastAsia="仿宋" w:cs="仿宋"/>
      <w:lang w:val="zh-CN" w:bidi="zh-CN"/>
    </w:rPr>
  </w:style>
  <w:style w:type="paragraph" w:customStyle="1" w:styleId="81">
    <w:name w:val="修订1"/>
    <w:hidden/>
    <w:unhideWhenUsed/>
    <w:qFormat/>
    <w:uiPriority w:val="99"/>
    <w:rPr>
      <w:rFonts w:ascii="Times New Roman" w:hAnsi="Times New Roman" w:eastAsia="宋体" w:cs="Times New Roman"/>
      <w:kern w:val="2"/>
      <w:sz w:val="21"/>
      <w:szCs w:val="24"/>
      <w:lang w:val="en-US" w:eastAsia="zh-CN" w:bidi="ar-SA"/>
    </w:rPr>
  </w:style>
  <w:style w:type="character" w:customStyle="1" w:styleId="82">
    <w:name w:val="font21"/>
    <w:basedOn w:val="34"/>
    <w:qFormat/>
    <w:uiPriority w:val="0"/>
    <w:rPr>
      <w:rFonts w:hint="default" w:ascii="Times New Roman" w:hAnsi="Times New Roman" w:cs="Times New Roman"/>
      <w:b/>
      <w:bCs/>
      <w:color w:val="FF0000"/>
      <w:sz w:val="18"/>
      <w:szCs w:val="18"/>
      <w:u w:val="none"/>
    </w:rPr>
  </w:style>
  <w:style w:type="character" w:customStyle="1" w:styleId="83">
    <w:name w:val="font81"/>
    <w:basedOn w:val="34"/>
    <w:qFormat/>
    <w:uiPriority w:val="0"/>
    <w:rPr>
      <w:rFonts w:hint="eastAsia" w:ascii="宋体" w:hAnsi="宋体" w:eastAsia="宋体" w:cs="宋体"/>
      <w:b/>
      <w:bCs/>
      <w:color w:val="FF0000"/>
      <w:sz w:val="18"/>
      <w:szCs w:val="18"/>
      <w:u w:val="none"/>
    </w:rPr>
  </w:style>
  <w:style w:type="character" w:customStyle="1" w:styleId="84">
    <w:name w:val="font91"/>
    <w:basedOn w:val="34"/>
    <w:qFormat/>
    <w:uiPriority w:val="0"/>
    <w:rPr>
      <w:rFonts w:hint="default" w:ascii="Times New Roman" w:hAnsi="Times New Roman" w:cs="Times New Roman"/>
      <w:b/>
      <w:bCs/>
      <w:color w:val="000000"/>
      <w:sz w:val="18"/>
      <w:szCs w:val="18"/>
      <w:u w:val="none"/>
    </w:rPr>
  </w:style>
  <w:style w:type="character" w:customStyle="1" w:styleId="85">
    <w:name w:val="font101"/>
    <w:basedOn w:val="34"/>
    <w:qFormat/>
    <w:uiPriority w:val="0"/>
    <w:rPr>
      <w:rFonts w:hint="default" w:ascii="Times New Roman" w:hAnsi="Times New Roman" w:cs="Times New Roman"/>
      <w:b/>
      <w:bCs/>
      <w:color w:val="000000"/>
      <w:sz w:val="18"/>
      <w:szCs w:val="18"/>
      <w:u w:val="none"/>
      <w:vertAlign w:val="superscript"/>
    </w:rPr>
  </w:style>
  <w:style w:type="character" w:customStyle="1" w:styleId="86">
    <w:name w:val="font112"/>
    <w:basedOn w:val="34"/>
    <w:qFormat/>
    <w:uiPriority w:val="0"/>
    <w:rPr>
      <w:rFonts w:hint="default" w:ascii="Times New Roman" w:hAnsi="Times New Roman" w:cs="Times New Roman"/>
      <w:b/>
      <w:bCs/>
      <w:color w:val="FF0000"/>
      <w:sz w:val="18"/>
      <w:szCs w:val="18"/>
      <w:u w:val="none"/>
      <w:vertAlign w:val="superscript"/>
    </w:rPr>
  </w:style>
  <w:style w:type="character" w:customStyle="1" w:styleId="87">
    <w:name w:val="font121"/>
    <w:basedOn w:val="34"/>
    <w:qFormat/>
    <w:uiPriority w:val="0"/>
    <w:rPr>
      <w:rFonts w:hint="default" w:ascii="Times New Roman" w:hAnsi="Times New Roman" w:cs="Times New Roman"/>
      <w:color w:val="000000"/>
      <w:sz w:val="18"/>
      <w:szCs w:val="18"/>
      <w:u w:val="none"/>
      <w:vertAlign w:val="subscript"/>
    </w:rPr>
  </w:style>
  <w:style w:type="character" w:customStyle="1" w:styleId="88">
    <w:name w:val="font41"/>
    <w:basedOn w:val="34"/>
    <w:qFormat/>
    <w:uiPriority w:val="0"/>
    <w:rPr>
      <w:rFonts w:hint="default" w:ascii="Times New Roman" w:hAnsi="Times New Roman" w:cs="Times New Roman"/>
      <w:color w:val="000000"/>
      <w:sz w:val="18"/>
      <w:szCs w:val="18"/>
      <w:u w:val="none"/>
    </w:rPr>
  </w:style>
  <w:style w:type="character" w:customStyle="1" w:styleId="89">
    <w:name w:val="font61"/>
    <w:basedOn w:val="34"/>
    <w:qFormat/>
    <w:uiPriority w:val="0"/>
    <w:rPr>
      <w:rFonts w:hint="default" w:ascii="Times New Roman" w:hAnsi="Times New Roman" w:cs="Times New Roman"/>
      <w:color w:val="FF0000"/>
      <w:sz w:val="18"/>
      <w:szCs w:val="18"/>
      <w:u w:val="none"/>
    </w:rPr>
  </w:style>
  <w:style w:type="character" w:customStyle="1" w:styleId="90">
    <w:name w:val="font71"/>
    <w:basedOn w:val="34"/>
    <w:qFormat/>
    <w:uiPriority w:val="0"/>
    <w:rPr>
      <w:rFonts w:hint="eastAsia" w:ascii="宋体" w:hAnsi="宋体" w:eastAsia="宋体" w:cs="宋体"/>
      <w:color w:val="FF0000"/>
      <w:sz w:val="18"/>
      <w:szCs w:val="18"/>
      <w:u w:val="none"/>
    </w:rPr>
  </w:style>
  <w:style w:type="character" w:customStyle="1" w:styleId="91">
    <w:name w:val="font51"/>
    <w:basedOn w:val="34"/>
    <w:qFormat/>
    <w:uiPriority w:val="0"/>
    <w:rPr>
      <w:rFonts w:hint="default" w:ascii="Times New Roman" w:hAnsi="Times New Roman" w:cs="Times New Roman"/>
      <w:color w:val="FF0000"/>
      <w:sz w:val="18"/>
      <w:szCs w:val="18"/>
      <w:u w:val="none"/>
      <w:vertAlign w:val="subscript"/>
    </w:rPr>
  </w:style>
  <w:style w:type="character" w:customStyle="1" w:styleId="92">
    <w:name w:val="尾注文本 字符"/>
    <w:basedOn w:val="34"/>
    <w:link w:val="18"/>
    <w:semiHidden/>
    <w:qFormat/>
    <w:uiPriority w:val="0"/>
    <w:rPr>
      <w:kern w:val="2"/>
      <w:sz w:val="21"/>
      <w:szCs w:val="24"/>
    </w:rPr>
  </w:style>
  <w:style w:type="character" w:customStyle="1" w:styleId="93">
    <w:name w:val="表格内文字 Char"/>
    <w:link w:val="94"/>
    <w:qFormat/>
    <w:locked/>
    <w:uiPriority w:val="0"/>
    <w:rPr>
      <w:rFonts w:ascii="Calibri" w:hAnsi="Calibri"/>
      <w:snapToGrid w:val="0"/>
    </w:rPr>
  </w:style>
  <w:style w:type="paragraph" w:customStyle="1" w:styleId="94">
    <w:name w:val="表格内文字"/>
    <w:basedOn w:val="1"/>
    <w:link w:val="93"/>
    <w:qFormat/>
    <w:uiPriority w:val="0"/>
    <w:pPr>
      <w:widowControl/>
      <w:kinsoku w:val="0"/>
      <w:wordWrap w:val="0"/>
      <w:overflowPunct w:val="0"/>
      <w:snapToGrid w:val="0"/>
      <w:jc w:val="center"/>
    </w:pPr>
    <w:rPr>
      <w:rFonts w:ascii="Calibri" w:hAnsi="Calibri"/>
      <w:snapToGrid w:val="0"/>
      <w:kern w:val="0"/>
      <w:sz w:val="20"/>
      <w:szCs w:val="20"/>
    </w:rPr>
  </w:style>
  <w:style w:type="character" w:customStyle="1" w:styleId="95">
    <w:name w:val="批注文字 Char1"/>
    <w:basedOn w:val="34"/>
    <w:qFormat/>
    <w:uiPriority w:val="99"/>
    <w:rPr>
      <w:rFonts w:ascii="Times New Roman" w:hAnsi="Times New Roman" w:eastAsia="宋体" w:cs="Times New Roman"/>
      <w:szCs w:val="24"/>
    </w:rPr>
  </w:style>
  <w:style w:type="paragraph" w:customStyle="1" w:styleId="96">
    <w:name w:val="修订2"/>
    <w:hidden/>
    <w:semiHidden/>
    <w:qFormat/>
    <w:uiPriority w:val="99"/>
    <w:rPr>
      <w:rFonts w:ascii="Times New Roman" w:hAnsi="Times New Roman" w:eastAsia="宋体" w:cs="Times New Roman"/>
      <w:kern w:val="2"/>
      <w:sz w:val="21"/>
      <w:szCs w:val="24"/>
      <w:lang w:val="en-US" w:eastAsia="zh-CN" w:bidi="ar-SA"/>
    </w:rPr>
  </w:style>
  <w:style w:type="paragraph" w:customStyle="1" w:styleId="97">
    <w:name w:val="修订3"/>
    <w:hidden/>
    <w:semiHidden/>
    <w:qFormat/>
    <w:uiPriority w:val="99"/>
    <w:rPr>
      <w:rFonts w:ascii="Times New Roman" w:hAnsi="Times New Roman" w:eastAsia="宋体" w:cs="Times New Roman"/>
      <w:kern w:val="2"/>
      <w:sz w:val="21"/>
      <w:szCs w:val="24"/>
      <w:lang w:val="en-US" w:eastAsia="zh-CN" w:bidi="ar-SA"/>
    </w:rPr>
  </w:style>
  <w:style w:type="paragraph" w:customStyle="1" w:styleId="98">
    <w:name w:val="修订4"/>
    <w:hidden/>
    <w:semiHidden/>
    <w:qFormat/>
    <w:uiPriority w:val="99"/>
    <w:rPr>
      <w:rFonts w:ascii="Times New Roman" w:hAnsi="Times New Roman" w:eastAsia="宋体" w:cs="Times New Roman"/>
      <w:kern w:val="2"/>
      <w:sz w:val="21"/>
      <w:szCs w:val="24"/>
      <w:lang w:val="en-US" w:eastAsia="zh-CN" w:bidi="ar-SA"/>
    </w:rPr>
  </w:style>
  <w:style w:type="paragraph" w:customStyle="1" w:styleId="99">
    <w:name w:val="修订5"/>
    <w:hidden/>
    <w:semiHidden/>
    <w:qFormat/>
    <w:uiPriority w:val="99"/>
    <w:rPr>
      <w:rFonts w:ascii="Times New Roman" w:hAnsi="Times New Roman" w:eastAsia="宋体" w:cs="Times New Roman"/>
      <w:kern w:val="2"/>
      <w:sz w:val="21"/>
      <w:szCs w:val="24"/>
      <w:lang w:val="en-US" w:eastAsia="zh-CN" w:bidi="ar-SA"/>
    </w:rPr>
  </w:style>
  <w:style w:type="paragraph" w:customStyle="1" w:styleId="100">
    <w:name w:val="正文1"/>
    <w:qFormat/>
    <w:uiPriority w:val="0"/>
    <w:pPr>
      <w:jc w:val="both"/>
    </w:pPr>
    <w:rPr>
      <w:rFonts w:ascii="Times New Roman" w:hAnsi="Times New Roman" w:eastAsia="宋体" w:cs="Times New Roman"/>
      <w:kern w:val="2"/>
      <w:sz w:val="21"/>
      <w:szCs w:val="21"/>
      <w:lang w:val="en-US" w:eastAsia="zh-CN" w:bidi="ar-SA"/>
    </w:rPr>
  </w:style>
  <w:style w:type="paragraph" w:customStyle="1" w:styleId="101">
    <w:name w:val="修订6"/>
    <w:hidden/>
    <w:semiHidden/>
    <w:qFormat/>
    <w:uiPriority w:val="99"/>
    <w:rPr>
      <w:rFonts w:ascii="Times New Roman" w:hAnsi="Times New Roman" w:eastAsia="宋体" w:cs="Times New Roman"/>
      <w:kern w:val="2"/>
      <w:sz w:val="21"/>
      <w:szCs w:val="24"/>
      <w:lang w:val="en-US" w:eastAsia="zh-CN" w:bidi="ar-SA"/>
    </w:rPr>
  </w:style>
  <w:style w:type="character" w:customStyle="1" w:styleId="102">
    <w:name w:val="标题 2 字符"/>
    <w:basedOn w:val="34"/>
    <w:link w:val="6"/>
    <w:semiHidden/>
    <w:qFormat/>
    <w:uiPriority w:val="0"/>
    <w:rPr>
      <w:rFonts w:asciiTheme="majorHAnsi" w:hAnsiTheme="majorHAnsi" w:eastAsiaTheme="majorEastAsia" w:cstheme="majorBidi"/>
      <w:b/>
      <w:bCs/>
      <w:kern w:val="2"/>
      <w:sz w:val="32"/>
      <w:szCs w:val="32"/>
    </w:rPr>
  </w:style>
  <w:style w:type="paragraph" w:customStyle="1" w:styleId="103">
    <w:name w:val="图头00"/>
    <w:basedOn w:val="1"/>
    <w:qFormat/>
    <w:uiPriority w:val="0"/>
    <w:pPr>
      <w:adjustRightInd w:val="0"/>
      <w:spacing w:line="360" w:lineRule="auto"/>
      <w:jc w:val="center"/>
      <w:textAlignment w:val="baseline"/>
    </w:pPr>
    <w:rPr>
      <w:rFonts w:ascii="宋体" w:eastAsia="黑体"/>
      <w:kern w:val="0"/>
      <w:sz w:val="24"/>
      <w:szCs w:val="20"/>
    </w:rPr>
  </w:style>
  <w:style w:type="paragraph" w:customStyle="1" w:styleId="104">
    <w:name w:val="表中文字"/>
    <w:basedOn w:val="1"/>
    <w:qFormat/>
    <w:uiPriority w:val="0"/>
    <w:pPr>
      <w:adjustRightInd w:val="0"/>
      <w:snapToGrid w:val="0"/>
      <w:jc w:val="center"/>
    </w:pPr>
    <w:rPr>
      <w:szCs w:val="22"/>
    </w:rPr>
  </w:style>
  <w:style w:type="paragraph" w:customStyle="1" w:styleId="105">
    <w:name w:val="表格里"/>
    <w:basedOn w:val="100"/>
    <w:next w:val="100"/>
    <w:qFormat/>
    <w:uiPriority w:val="0"/>
    <w:pPr>
      <w:spacing w:line="240" w:lineRule="auto"/>
      <w:ind w:firstLine="0" w:firstLineChars="0"/>
      <w:jc w:val="center"/>
    </w:pPr>
    <w:rPr>
      <w:rFonts w:ascii="Times New Roman" w:hAnsi="Times New Roman"/>
      <w:snapToGrid w:val="0"/>
    </w:rPr>
  </w:style>
  <w:style w:type="paragraph" w:customStyle="1" w:styleId="106">
    <w:name w:val="表文"/>
    <w:basedOn w:val="1"/>
    <w:qFormat/>
    <w:uiPriority w:val="0"/>
    <w:pPr>
      <w:tabs>
        <w:tab w:val="left" w:pos="1021"/>
      </w:tabs>
      <w:spacing w:line="360" w:lineRule="auto"/>
      <w:jc w:val="center"/>
    </w:pPr>
    <w:rPr>
      <w:kern w:val="0"/>
      <w:position w:val="-24"/>
      <w:szCs w:val="21"/>
    </w:rPr>
  </w:style>
  <w:style w:type="paragraph" w:customStyle="1" w:styleId="107">
    <w:name w:val="报告表正文"/>
    <w:basedOn w:val="108"/>
    <w:next w:val="1"/>
    <w:qFormat/>
    <w:uiPriority w:val="0"/>
    <w:pPr>
      <w:spacing w:line="360" w:lineRule="auto"/>
      <w:ind w:firstLine="420" w:firstLineChars="200"/>
      <w:jc w:val="both"/>
    </w:pPr>
    <w:rPr>
      <w:sz w:val="24"/>
      <w:szCs w:val="22"/>
      <w:lang w:val="zh-CN"/>
    </w:rPr>
  </w:style>
  <w:style w:type="paragraph" w:customStyle="1" w:styleId="108">
    <w:name w:val="CM4"/>
    <w:basedOn w:val="1"/>
    <w:next w:val="1"/>
    <w:qFormat/>
    <w:uiPriority w:val="0"/>
    <w:pPr>
      <w:keepNext/>
      <w:spacing w:line="520" w:lineRule="exact"/>
      <w:jc w:val="center"/>
    </w:pPr>
    <w:rPr>
      <w:b/>
      <w:kern w:val="0"/>
      <w:szCs w:val="21"/>
    </w:rPr>
  </w:style>
  <w:style w:type="paragraph" w:customStyle="1" w:styleId="109">
    <w:name w:val="【表中文字】"/>
    <w:basedOn w:val="110"/>
    <w:qFormat/>
    <w:uiPriority w:val="0"/>
    <w:pPr>
      <w:jc w:val="center"/>
    </w:pPr>
    <w:rPr>
      <w:kern w:val="0"/>
      <w:szCs w:val="20"/>
    </w:rPr>
  </w:style>
  <w:style w:type="paragraph" w:customStyle="1" w:styleId="110">
    <w:name w:val=".表1-1-1内容"/>
    <w:basedOn w:val="1"/>
    <w:qFormat/>
    <w:uiPriority w:val="0"/>
    <w:pPr>
      <w:spacing w:line="300" w:lineRule="exact"/>
      <w:jc w:val="center"/>
    </w:pPr>
    <w:rPr>
      <w:kern w:val="0"/>
      <w:sz w:val="21"/>
      <w:szCs w:val="21"/>
    </w:rPr>
  </w:style>
  <w:style w:type="paragraph" w:customStyle="1" w:styleId="111">
    <w:name w:val="【表头】"/>
    <w:basedOn w:val="112"/>
    <w:next w:val="1"/>
    <w:qFormat/>
    <w:uiPriority w:val="0"/>
    <w:pPr>
      <w:spacing w:line="460" w:lineRule="exact"/>
      <w:jc w:val="center"/>
    </w:pPr>
    <w:rPr>
      <w:b/>
      <w:kern w:val="0"/>
      <w:sz w:val="24"/>
      <w:szCs w:val="20"/>
    </w:rPr>
  </w:style>
  <w:style w:type="paragraph" w:customStyle="1" w:styleId="112">
    <w:name w:val="0"/>
    <w:basedOn w:val="1"/>
    <w:qFormat/>
    <w:uiPriority w:val="99"/>
    <w:pPr>
      <w:widowControl/>
      <w:snapToGrid w:val="0"/>
      <w:jc w:val="left"/>
    </w:pPr>
    <w:rPr>
      <w:rFonts w:ascii="宋体"/>
      <w:kern w:val="0"/>
      <w:sz w:val="20"/>
      <w:szCs w:val="20"/>
    </w:rPr>
  </w:style>
  <w:style w:type="paragraph" w:customStyle="1" w:styleId="113">
    <w:name w:val="表格文字"/>
    <w:basedOn w:val="114"/>
    <w:qFormat/>
    <w:uiPriority w:val="0"/>
    <w:pPr>
      <w:widowControl/>
    </w:pPr>
    <w:rPr>
      <w:rFonts w:ascii="宋体" w:hAnsi="宋体" w:cs="宋体"/>
      <w:color w:val="000000"/>
      <w:szCs w:val="21"/>
    </w:rPr>
  </w:style>
  <w:style w:type="paragraph" w:customStyle="1" w:styleId="114">
    <w:name w:val="表头"/>
    <w:basedOn w:val="23"/>
    <w:next w:val="115"/>
    <w:qFormat/>
    <w:uiPriority w:val="0"/>
    <w:pPr>
      <w:adjustRightInd w:val="0"/>
      <w:snapToGrid w:val="0"/>
      <w:spacing w:line="360" w:lineRule="auto"/>
    </w:pPr>
    <w:rPr>
      <w:rFonts w:eastAsia="黑体"/>
      <w:sz w:val="24"/>
      <w:szCs w:val="22"/>
    </w:rPr>
  </w:style>
  <w:style w:type="paragraph" w:customStyle="1" w:styleId="115">
    <w:name w:val="表1"/>
    <w:next w:val="1"/>
    <w:qFormat/>
    <w:uiPriority w:val="0"/>
    <w:pPr>
      <w:adjustRightInd w:val="0"/>
      <w:snapToGrid w:val="0"/>
      <w:jc w:val="center"/>
    </w:pPr>
    <w:rPr>
      <w:rFonts w:ascii="宋体" w:hAnsi="Times New Roman" w:eastAsia="宋体" w:cs="Times New Roman"/>
      <w:sz w:val="21"/>
      <w:lang w:val="en-US" w:eastAsia="zh-CN" w:bidi="ar-SA"/>
    </w:rPr>
  </w:style>
  <w:style w:type="paragraph" w:customStyle="1" w:styleId="116">
    <w:name w:val="首行缩进"/>
    <w:basedOn w:val="1"/>
    <w:qFormat/>
    <w:uiPriority w:val="0"/>
    <w:pPr>
      <w:ind w:firstLine="480" w:firstLineChars="200"/>
    </w:pPr>
    <w:rPr>
      <w:lang w:val="zh-CN"/>
    </w:rPr>
  </w:style>
  <w:style w:type="paragraph" w:customStyle="1" w:styleId="117">
    <w:name w:val="【正文】"/>
    <w:basedOn w:val="1"/>
    <w:next w:val="26"/>
    <w:qFormat/>
    <w:uiPriority w:val="0"/>
    <w:pPr>
      <w:spacing w:line="500" w:lineRule="exact"/>
      <w:ind w:firstLine="200" w:firstLineChars="200"/>
    </w:pPr>
    <w:rPr>
      <w:kern w:val="0"/>
      <w:sz w:val="24"/>
      <w:szCs w:val="20"/>
    </w:rPr>
  </w:style>
  <w:style w:type="paragraph" w:customStyle="1" w:styleId="118">
    <w:name w:val="正文00"/>
    <w:basedOn w:val="1"/>
    <w:next w:val="1"/>
    <w:qFormat/>
    <w:uiPriority w:val="0"/>
    <w:pPr>
      <w:spacing w:line="360" w:lineRule="auto"/>
      <w:ind w:firstLine="480" w:firstLineChars="200"/>
    </w:pPr>
    <w:rPr>
      <w:sz w:val="24"/>
    </w:rPr>
  </w:style>
  <w:style w:type="character" w:customStyle="1" w:styleId="119">
    <w:name w:val="font01"/>
    <w:basedOn w:val="34"/>
    <w:qFormat/>
    <w:uiPriority w:val="0"/>
    <w:rPr>
      <w:rFonts w:hint="default" w:ascii="Times New Roman" w:hAnsi="Times New Roman" w:cs="Times New Roman"/>
      <w:color w:val="000000"/>
      <w:sz w:val="21"/>
      <w:szCs w:val="21"/>
      <w:u w:val="none"/>
    </w:rPr>
  </w:style>
  <w:style w:type="paragraph" w:customStyle="1" w:styleId="120">
    <w:name w:val="正文格式"/>
    <w:basedOn w:val="1"/>
    <w:next w:val="1"/>
    <w:qFormat/>
    <w:uiPriority w:val="0"/>
    <w:pPr>
      <w:spacing w:line="360" w:lineRule="auto"/>
      <w:ind w:firstLine="544"/>
    </w:pPr>
    <w:rPr>
      <w:szCs w:val="20"/>
    </w:rPr>
  </w:style>
  <w:style w:type="paragraph" w:customStyle="1" w:styleId="121">
    <w:name w:val="样式 黑体 居中 行距: 1.5 倍行距"/>
    <w:basedOn w:val="1"/>
    <w:qFormat/>
    <w:uiPriority w:val="0"/>
    <w:pPr>
      <w:spacing w:line="360" w:lineRule="auto"/>
      <w:jc w:val="center"/>
    </w:pPr>
    <w:rPr>
      <w:rFonts w:ascii="黑体" w:hAnsi="黑体" w:eastAsia="黑体" w:cs="宋体"/>
    </w:rPr>
  </w:style>
  <w:style w:type="paragraph" w:customStyle="1" w:styleId="122">
    <w:name w:val="表中文字（工大）"/>
    <w:basedOn w:val="1"/>
    <w:qFormat/>
    <w:uiPriority w:val="0"/>
    <w:pPr>
      <w:spacing w:line="400" w:lineRule="exact"/>
      <w:jc w:val="center"/>
    </w:pPr>
    <w:rPr>
      <w:szCs w:val="20"/>
    </w:rPr>
  </w:style>
  <w:style w:type="paragraph" w:customStyle="1" w:styleId="123">
    <w:name w:val="正文_6"/>
    <w:qFormat/>
    <w:uiPriority w:val="0"/>
    <w:pPr>
      <w:widowControl w:val="0"/>
      <w:jc w:val="both"/>
    </w:pPr>
    <w:rPr>
      <w:rFonts w:ascii="Calibri" w:hAnsi="Calibri" w:eastAsia="宋体" w:cs="Times New Roman"/>
      <w:kern w:val="2"/>
      <w:sz w:val="21"/>
      <w:lang w:val="en-US" w:eastAsia="zh-CN" w:bidi="ar-SA"/>
    </w:rPr>
  </w:style>
  <w:style w:type="paragraph" w:customStyle="1" w:styleId="124">
    <w:name w:val="报告书正文"/>
    <w:basedOn w:val="1"/>
    <w:qFormat/>
    <w:uiPriority w:val="0"/>
    <w:pPr>
      <w:adjustRightInd w:val="0"/>
      <w:snapToGrid w:val="0"/>
      <w:spacing w:line="360" w:lineRule="auto"/>
      <w:ind w:firstLine="425"/>
      <w:textAlignment w:val="baseline"/>
    </w:pPr>
    <w:rPr>
      <w:rFonts w:ascii="Arial" w:hAnsi="Arial"/>
      <w:sz w:val="24"/>
    </w:rPr>
  </w:style>
  <w:style w:type="paragraph" w:customStyle="1" w:styleId="125">
    <w:name w:val="样式"/>
    <w:basedOn w:val="1"/>
    <w:next w:val="24"/>
    <w:qFormat/>
    <w:uiPriority w:val="0"/>
    <w:pPr>
      <w:tabs>
        <w:tab w:val="left" w:pos="6720"/>
      </w:tabs>
      <w:spacing w:line="360" w:lineRule="auto"/>
      <w:ind w:firstLine="480" w:firstLineChars="200"/>
    </w:pPr>
    <w:rPr>
      <w:rFonts w:ascii="楷体_GB2312" w:eastAsia="楷体_GB2312"/>
      <w:kern w:val="0"/>
      <w:sz w:val="24"/>
      <w:szCs w:val="20"/>
    </w:rPr>
  </w:style>
  <w:style w:type="paragraph" w:customStyle="1" w:styleId="126">
    <w:name w:val="a正文"/>
    <w:basedOn w:val="120"/>
    <w:qFormat/>
    <w:uiPriority w:val="0"/>
    <w:pPr>
      <w:spacing w:line="520" w:lineRule="exact"/>
      <w:ind w:firstLine="200"/>
    </w:pPr>
    <w:rPr>
      <w:sz w:val="24"/>
    </w:rPr>
  </w:style>
  <w:style w:type="paragraph" w:customStyle="1" w:styleId="127">
    <w:name w:val="11111"/>
    <w:basedOn w:val="1"/>
    <w:next w:val="1"/>
    <w:qFormat/>
    <w:uiPriority w:val="0"/>
    <w:pPr>
      <w:spacing w:line="360" w:lineRule="auto"/>
      <w:ind w:firstLine="200" w:firstLineChars="200"/>
    </w:pPr>
    <w:rPr>
      <w:rFonts w:hAnsi="宋体" w:cs="宋体"/>
    </w:rPr>
  </w:style>
  <w:style w:type="paragraph" w:customStyle="1" w:styleId="128">
    <w:name w:val="正文缩进1"/>
    <w:basedOn w:val="1"/>
    <w:qFormat/>
    <w:uiPriority w:val="0"/>
    <w:pPr>
      <w:ind w:firstLine="420"/>
    </w:pPr>
    <w:rPr>
      <w:sz w:val="28"/>
    </w:rPr>
  </w:style>
  <w:style w:type="paragraph" w:customStyle="1" w:styleId="129">
    <w:name w:val="C首行缩进正文"/>
    <w:basedOn w:val="117"/>
    <w:qFormat/>
    <w:uiPriority w:val="0"/>
    <w:pPr>
      <w:spacing w:line="360" w:lineRule="auto"/>
      <w:ind w:firstLine="200"/>
    </w:pPr>
    <w:rPr>
      <w:rFonts w:cs="宋体"/>
      <w:color w:val="000000"/>
      <w:spacing w:val="0"/>
      <w:sz w:val="21"/>
    </w:rPr>
  </w:style>
  <w:style w:type="paragraph" w:customStyle="1" w:styleId="130">
    <w:name w:val="L首行缩进正文"/>
    <w:basedOn w:val="117"/>
    <w:qFormat/>
    <w:uiPriority w:val="0"/>
    <w:pPr>
      <w:ind w:firstLine="480"/>
    </w:pPr>
    <w:rPr>
      <w:rFonts w:cs="Times New Roman"/>
      <w:color w:val="auto"/>
      <w:sz w:val="21"/>
      <w:szCs w:val="21"/>
    </w:rPr>
  </w:style>
  <w:style w:type="character" w:customStyle="1" w:styleId="131">
    <w:name w:val="【表中文字】 Char"/>
    <w:qFormat/>
    <w:uiPriority w:val="0"/>
    <w:rPr>
      <w:rFonts w:hint="default" w:ascii="Times New Roman" w:hAnsi="Times New Roman" w:cs="Times New Roman"/>
      <w:kern w:val="2"/>
      <w:sz w:val="21"/>
    </w:rPr>
  </w:style>
  <w:style w:type="paragraph" w:customStyle="1" w:styleId="132">
    <w:name w:val="正文（首行缩进两字） Char"/>
    <w:basedOn w:val="1"/>
    <w:qFormat/>
    <w:uiPriority w:val="0"/>
    <w:pPr>
      <w:widowControl/>
      <w:spacing w:line="360" w:lineRule="auto"/>
      <w:ind w:firstLine="420"/>
    </w:pPr>
    <w:rPr>
      <w:kern w:val="0"/>
      <w:sz w:val="24"/>
      <w:szCs w:val="20"/>
    </w:rPr>
  </w:style>
  <w:style w:type="paragraph" w:customStyle="1" w:styleId="133">
    <w:name w:val="居中表格内容"/>
    <w:basedOn w:val="1"/>
    <w:qFormat/>
    <w:uiPriority w:val="0"/>
    <w:pPr>
      <w:jc w:val="center"/>
    </w:pPr>
    <w:rPr>
      <w:rFonts w:ascii="Times New Roman" w:hAnsi="Times New Roman" w:eastAsia="宋体"/>
    </w:rPr>
  </w:style>
  <w:style w:type="paragraph" w:customStyle="1" w:styleId="134">
    <w:name w:val="图注"/>
    <w:basedOn w:val="1"/>
    <w:unhideWhenUsed/>
    <w:qFormat/>
    <w:uiPriority w:val="0"/>
    <w:pPr>
      <w:spacing w:beforeLines="0" w:afterLines="0"/>
      <w:jc w:val="center"/>
    </w:pPr>
    <w:rPr>
      <w:rFonts w:hint="default" w:ascii="Courier New" w:hAnsi="Courier New" w:eastAsia="黑体"/>
      <w:sz w:val="21"/>
      <w:szCs w:val="24"/>
    </w:rPr>
  </w:style>
  <w:style w:type="paragraph" w:customStyle="1" w:styleId="135">
    <w:name w:val="表格正文"/>
    <w:basedOn w:val="1"/>
    <w:qFormat/>
    <w:uiPriority w:val="0"/>
    <w:pPr>
      <w:spacing w:line="320" w:lineRule="exact"/>
      <w:jc w:val="center"/>
    </w:pPr>
    <w:rPr>
      <w:rFonts w:cs="宋体"/>
    </w:rPr>
  </w:style>
  <w:style w:type="paragraph" w:customStyle="1" w:styleId="136">
    <w:name w:val="填表样式"/>
    <w:basedOn w:val="1"/>
    <w:unhideWhenUsed/>
    <w:qFormat/>
    <w:uiPriority w:val="0"/>
    <w:pPr>
      <w:adjustRightInd w:val="0"/>
      <w:snapToGrid w:val="0"/>
      <w:spacing w:line="360" w:lineRule="auto"/>
      <w:ind w:firstLine="720" w:firstLineChars="200"/>
    </w:pPr>
    <w:rPr>
      <w:rFonts w:hint="default" w:ascii="Times New Roman" w:hAnsi="Times New Roman" w:eastAsia="宋体"/>
      <w:sz w:val="21"/>
      <w:szCs w:val="24"/>
    </w:rPr>
  </w:style>
  <w:style w:type="paragraph" w:customStyle="1" w:styleId="137">
    <w:name w:val="首行缩进表格正文"/>
    <w:basedOn w:val="1"/>
    <w:qFormat/>
    <w:uiPriority w:val="0"/>
    <w:pPr>
      <w:spacing w:line="360" w:lineRule="auto"/>
      <w:ind w:firstLine="720" w:firstLineChars="200"/>
      <w:jc w:val="left"/>
    </w:pPr>
    <w:rPr>
      <w:rFonts w:ascii="Times New Roman" w:hAnsi="Times New Roman" w:eastAsia="宋体"/>
      <w:sz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png"/><Relationship Id="rId74" Type="http://schemas.openxmlformats.org/officeDocument/2006/relationships/fontTable" Target="fontTable.xml"/><Relationship Id="rId73" Type="http://schemas.openxmlformats.org/officeDocument/2006/relationships/customXml" Target="../customXml/item2.xml"/><Relationship Id="rId72" Type="http://schemas.openxmlformats.org/officeDocument/2006/relationships/numbering" Target="numbering.xml"/><Relationship Id="rId71" Type="http://schemas.openxmlformats.org/officeDocument/2006/relationships/customXml" Target="../customXml/item1.xml"/><Relationship Id="rId70" Type="http://schemas.openxmlformats.org/officeDocument/2006/relationships/image" Target="media/image60.wmf"/><Relationship Id="rId7" Type="http://schemas.openxmlformats.org/officeDocument/2006/relationships/theme" Target="theme/theme1.xml"/><Relationship Id="rId69" Type="http://schemas.openxmlformats.org/officeDocument/2006/relationships/oleObject" Target="embeddings/oleObject3.bin"/><Relationship Id="rId68" Type="http://schemas.openxmlformats.org/officeDocument/2006/relationships/image" Target="media/image59.png"/><Relationship Id="rId67" Type="http://schemas.openxmlformats.org/officeDocument/2006/relationships/image" Target="media/image58.jpeg"/><Relationship Id="rId66" Type="http://schemas.openxmlformats.org/officeDocument/2006/relationships/image" Target="media/image57.jpeg"/><Relationship Id="rId65" Type="http://schemas.openxmlformats.org/officeDocument/2006/relationships/image" Target="media/image56.jpeg"/><Relationship Id="rId64" Type="http://schemas.openxmlformats.org/officeDocument/2006/relationships/image" Target="media/image55.jpeg"/><Relationship Id="rId63" Type="http://schemas.openxmlformats.org/officeDocument/2006/relationships/image" Target="media/image54.jpeg"/><Relationship Id="rId62" Type="http://schemas.openxmlformats.org/officeDocument/2006/relationships/image" Target="media/image53.jpeg"/><Relationship Id="rId61" Type="http://schemas.openxmlformats.org/officeDocument/2006/relationships/image" Target="media/image52.jpeg"/><Relationship Id="rId60" Type="http://schemas.openxmlformats.org/officeDocument/2006/relationships/image" Target="media/image51.jpeg"/><Relationship Id="rId6" Type="http://schemas.openxmlformats.org/officeDocument/2006/relationships/footer" Target="footer4.xml"/><Relationship Id="rId59" Type="http://schemas.openxmlformats.org/officeDocument/2006/relationships/image" Target="media/image50.jpeg"/><Relationship Id="rId58" Type="http://schemas.openxmlformats.org/officeDocument/2006/relationships/image" Target="media/image49.jpeg"/><Relationship Id="rId57" Type="http://schemas.openxmlformats.org/officeDocument/2006/relationships/image" Target="media/image48.jpeg"/><Relationship Id="rId56" Type="http://schemas.openxmlformats.org/officeDocument/2006/relationships/image" Target="media/image47.jpe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jpeg"/><Relationship Id="rId5" Type="http://schemas.openxmlformats.org/officeDocument/2006/relationships/footer" Target="footer3.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png"/><Relationship Id="rId4" Type="http://schemas.openxmlformats.org/officeDocument/2006/relationships/footer" Target="footer2.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wmf"/><Relationship Id="rId34" Type="http://schemas.openxmlformats.org/officeDocument/2006/relationships/image" Target="media/image25.wmf"/><Relationship Id="rId33" Type="http://schemas.openxmlformats.org/officeDocument/2006/relationships/image" Target="media/image24.wmf"/><Relationship Id="rId32" Type="http://schemas.openxmlformats.org/officeDocument/2006/relationships/oleObject" Target="embeddings/oleObject2.bin"/><Relationship Id="rId31" Type="http://schemas.openxmlformats.org/officeDocument/2006/relationships/image" Target="media/image23.wmf"/><Relationship Id="rId30" Type="http://schemas.openxmlformats.org/officeDocument/2006/relationships/image" Target="media/image22.wmf"/><Relationship Id="rId3" Type="http://schemas.openxmlformats.org/officeDocument/2006/relationships/footer" Target="footer1.xml"/><Relationship Id="rId29" Type="http://schemas.openxmlformats.org/officeDocument/2006/relationships/oleObject" Target="embeddings/oleObject1.bin"/><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wmf"/><Relationship Id="rId21" Type="http://schemas.openxmlformats.org/officeDocument/2006/relationships/image" Target="media/image14.wmf"/><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4748FA1-9333-45D5-A910-91965217FE86}">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93</Pages>
  <Words>1441</Words>
  <Characters>1549</Characters>
  <Lines>360</Lines>
  <Paragraphs>101</Paragraphs>
  <TotalTime>1</TotalTime>
  <ScaleCrop>false</ScaleCrop>
  <LinksUpToDate>false</LinksUpToDate>
  <CharactersWithSpaces>1680</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2022-01-06T12:44:00Z</dcterms:created>
  <dc:creator>lhj</dc:creator>
  <cp:lastModifiedBy>橘子</cp:lastModifiedBy>
  <cp:lastPrinted>2022-01-10T06:35:00Z</cp:lastPrinted>
  <dcterms:modified xsi:type="dcterms:W3CDTF">2025-12-10T06:42:41Z</dcterms:modified>
  <dc:title>附件2</dc:title>
  <cp:revision>84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E5AE70EA15484AA2AB41A03B96A213CB_13</vt:lpwstr>
  </property>
  <property fmtid="{D5CDD505-2E9C-101B-9397-08002B2CF9AE}" pid="4" name="KSOTemplateDocerSaveRecord">
    <vt:lpwstr>eyJoZGlkIjoiOWMxYWY3NDlhNWQwMjI5ZjliNjQzMjQ1YjI3Y2EwNDgiLCJ1c2VySWQiOiIyNjE3NTc3MjMifQ==</vt:lpwstr>
  </property>
</Properties>
</file>