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E5904C3">
      <w:pPr>
        <w:rPr>
          <w:rFonts w:hint="default" w:ascii="Times New Roman" w:hAnsi="Times New Roman" w:eastAsia="仿宋_GB2312" w:cs="Times New Roman"/>
          <w:color w:val="000000" w:themeColor="text1"/>
          <w:sz w:val="36"/>
          <w:szCs w:val="36"/>
          <w:highlight w:val="none"/>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0528" behindDoc="0" locked="0" layoutInCell="1" allowOverlap="1">
            <wp:simplePos x="0" y="0"/>
            <wp:positionH relativeFrom="column">
              <wp:posOffset>-920750</wp:posOffset>
            </wp:positionH>
            <wp:positionV relativeFrom="paragraph">
              <wp:posOffset>-1070610</wp:posOffset>
            </wp:positionV>
            <wp:extent cx="7419975" cy="10652125"/>
            <wp:effectExtent l="0" t="0" r="9525" b="15875"/>
            <wp:wrapNone/>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9"/>
                    <a:stretch>
                      <a:fillRect/>
                    </a:stretch>
                  </pic:blipFill>
                  <pic:spPr>
                    <a:xfrm>
                      <a:off x="0" y="0"/>
                      <a:ext cx="7419975" cy="10652125"/>
                    </a:xfrm>
                    <a:prstGeom prst="rect">
                      <a:avLst/>
                    </a:prstGeom>
                    <a:noFill/>
                    <a:ln>
                      <a:noFill/>
                    </a:ln>
                  </pic:spPr>
                </pic:pic>
              </a:graphicData>
            </a:graphic>
          </wp:anchor>
        </w:drawing>
      </w:r>
    </w:p>
    <w:p w14:paraId="624CF9B9">
      <w:pPr>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14:paraId="158F6B00">
      <w:pPr>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14:paraId="6B15DA03">
      <w:pPr>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14:paraId="7E506C08">
      <w:pPr>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14:paraId="424DBB03">
      <w:pPr>
        <w:adjustRightInd w:val="0"/>
        <w:snapToGrid w:val="0"/>
        <w:jc w:val="center"/>
        <w:outlineLvl w:val="0"/>
        <w:rPr>
          <w:rFonts w:hint="default" w:ascii="Times New Roman" w:hAnsi="Times New Roman" w:eastAsia="方正小标宋_GBK" w:cs="Times New Roman"/>
          <w:bCs/>
          <w:color w:val="000000" w:themeColor="text1"/>
          <w:sz w:val="72"/>
          <w:szCs w:val="72"/>
          <w:highlight w:val="none"/>
          <w14:textFill>
            <w14:solidFill>
              <w14:schemeClr w14:val="tx1"/>
            </w14:solidFill>
          </w14:textFill>
        </w:rPr>
      </w:pPr>
      <w:bookmarkStart w:id="0" w:name="_Toc10671"/>
      <w:bookmarkStart w:id="1" w:name="_Toc5304"/>
      <w:bookmarkStart w:id="2" w:name="_Toc6813"/>
      <w:bookmarkStart w:id="3" w:name="_Toc1371"/>
      <w:bookmarkStart w:id="4" w:name="_Toc10963"/>
      <w:r>
        <w:rPr>
          <w:rFonts w:hint="default" w:ascii="Times New Roman" w:hAnsi="Times New Roman" w:eastAsia="方正小标宋_GBK" w:cs="Times New Roman"/>
          <w:bCs/>
          <w:color w:val="000000" w:themeColor="text1"/>
          <w:sz w:val="72"/>
          <w:szCs w:val="72"/>
          <w:highlight w:val="none"/>
          <w14:textFill>
            <w14:solidFill>
              <w14:schemeClr w14:val="tx1"/>
            </w14:solidFill>
          </w14:textFill>
        </w:rPr>
        <w:t>建设项目环境影响报告表</w:t>
      </w:r>
      <w:bookmarkEnd w:id="0"/>
      <w:bookmarkEnd w:id="1"/>
      <w:bookmarkEnd w:id="2"/>
      <w:bookmarkEnd w:id="3"/>
      <w:bookmarkEnd w:id="4"/>
    </w:p>
    <w:p w14:paraId="06774787">
      <w:pPr>
        <w:adjustRightInd w:val="0"/>
        <w:snapToGrid w:val="0"/>
        <w:spacing w:before="192" w:beforeLines="80"/>
        <w:jc w:val="center"/>
        <w:rPr>
          <w:rFonts w:hint="default" w:ascii="Times New Roman" w:hAnsi="Times New Roman" w:eastAsia="楷体_GB2312" w:cs="Times New Roman"/>
          <w:bCs/>
          <w:color w:val="000000" w:themeColor="text1"/>
          <w:sz w:val="48"/>
          <w:szCs w:val="48"/>
          <w:highlight w:val="none"/>
          <w14:textFill>
            <w14:solidFill>
              <w14:schemeClr w14:val="tx1"/>
            </w14:solidFill>
          </w14:textFill>
        </w:rPr>
      </w:pPr>
      <w:r>
        <w:rPr>
          <w:rFonts w:hint="default" w:ascii="Times New Roman" w:hAnsi="Times New Roman" w:eastAsia="楷体_GB2312" w:cs="Times New Roman"/>
          <w:bCs/>
          <w:color w:val="000000" w:themeColor="text1"/>
          <w:sz w:val="48"/>
          <w:szCs w:val="48"/>
          <w:highlight w:val="none"/>
          <w14:textFill>
            <w14:solidFill>
              <w14:schemeClr w14:val="tx1"/>
            </w14:solidFill>
          </w14:textFill>
        </w:rPr>
        <w:t>（污染影响类）</w:t>
      </w:r>
    </w:p>
    <w:p w14:paraId="7A461A83">
      <w:pPr>
        <w:jc w:val="center"/>
        <w:rPr>
          <w:rFonts w:hint="default" w:ascii="Times New Roman" w:hAnsi="Times New Roman" w:eastAsia="仿宋" w:cs="Times New Roman"/>
          <w:color w:val="000000" w:themeColor="text1"/>
          <w:sz w:val="52"/>
          <w:szCs w:val="52"/>
          <w:highlight w:val="none"/>
          <w14:textFill>
            <w14:solidFill>
              <w14:schemeClr w14:val="tx1"/>
            </w14:solidFill>
          </w14:textFill>
        </w:rPr>
      </w:pPr>
    </w:p>
    <w:p w14:paraId="7A474D94">
      <w:pPr>
        <w:jc w:val="center"/>
        <w:rPr>
          <w:rFonts w:hint="default" w:ascii="Times New Roman" w:hAnsi="Times New Roman" w:eastAsia="仿宋" w:cs="Times New Roman"/>
          <w:color w:val="000000" w:themeColor="text1"/>
          <w:sz w:val="52"/>
          <w:szCs w:val="52"/>
          <w:highlight w:val="none"/>
          <w14:textFill>
            <w14:solidFill>
              <w14:schemeClr w14:val="tx1"/>
            </w14:solidFill>
          </w14:textFill>
        </w:rPr>
      </w:pPr>
    </w:p>
    <w:p w14:paraId="6F8409F1">
      <w:pPr>
        <w:ind w:firstLine="1040"/>
        <w:rPr>
          <w:rFonts w:hint="default" w:ascii="Times New Roman" w:hAnsi="Times New Roman" w:eastAsia="仿宋" w:cs="Times New Roman"/>
          <w:color w:val="000000" w:themeColor="text1"/>
          <w:sz w:val="44"/>
          <w:szCs w:val="44"/>
          <w:highlight w:val="none"/>
          <w14:textFill>
            <w14:solidFill>
              <w14:schemeClr w14:val="tx1"/>
            </w14:solidFill>
          </w14:textFill>
        </w:rPr>
      </w:pPr>
    </w:p>
    <w:p w14:paraId="42821412">
      <w:pPr>
        <w:ind w:firstLine="1040"/>
        <w:rPr>
          <w:rFonts w:hint="default" w:ascii="Times New Roman" w:hAnsi="Times New Roman" w:eastAsia="仿宋" w:cs="Times New Roman"/>
          <w:color w:val="000000" w:themeColor="text1"/>
          <w:sz w:val="44"/>
          <w:szCs w:val="44"/>
          <w:highlight w:val="none"/>
          <w14:textFill>
            <w14:solidFill>
              <w14:schemeClr w14:val="tx1"/>
            </w14:solidFill>
          </w14:textFill>
        </w:rPr>
      </w:pPr>
    </w:p>
    <w:p w14:paraId="619A6825">
      <w:pPr>
        <w:ind w:firstLine="1040"/>
        <w:rPr>
          <w:rFonts w:hint="default" w:ascii="Times New Roman" w:hAnsi="Times New Roman" w:eastAsia="仿宋" w:cs="Times New Roman"/>
          <w:color w:val="000000" w:themeColor="text1"/>
          <w:sz w:val="44"/>
          <w:szCs w:val="44"/>
          <w:highlight w:val="none"/>
          <w14:textFill>
            <w14:solidFill>
              <w14:schemeClr w14:val="tx1"/>
            </w14:solidFill>
          </w14:textFill>
        </w:rPr>
      </w:pPr>
    </w:p>
    <w:p w14:paraId="3B2B93A0">
      <w:pPr>
        <w:ind w:firstLine="1040"/>
        <w:rPr>
          <w:rFonts w:hint="default" w:ascii="Times New Roman" w:hAnsi="Times New Roman" w:eastAsia="仿宋" w:cs="Times New Roman"/>
          <w:color w:val="000000" w:themeColor="text1"/>
          <w:sz w:val="44"/>
          <w:szCs w:val="44"/>
          <w:highlight w:val="none"/>
          <w14:textFill>
            <w14:solidFill>
              <w14:schemeClr w14:val="tx1"/>
            </w14:solidFill>
          </w14:textFill>
        </w:rPr>
      </w:pPr>
    </w:p>
    <w:p w14:paraId="16892F94">
      <w:pPr>
        <w:adjustRightInd w:val="0"/>
        <w:snapToGrid w:val="0"/>
        <w:spacing w:line="288" w:lineRule="auto"/>
        <w:ind w:left="2739" w:leftChars="495" w:hanging="1700" w:firstLineChars="0"/>
        <w:rPr>
          <w:rFonts w:hint="default" w:ascii="Times New Roman" w:hAnsi="Times New Roman" w:eastAsia="仿宋_GB2312" w:cs="Times New Roman"/>
          <w:color w:val="000000" w:themeColor="text1"/>
          <w:spacing w:val="-20"/>
          <w:sz w:val="36"/>
          <w:szCs w:val="36"/>
          <w:highlight w:val="none"/>
          <w:u w:val="single"/>
          <w:lang w:eastAsia="zh-CN"/>
          <w14:textFill>
            <w14:solidFill>
              <w14:schemeClr w14:val="tx1"/>
            </w14:solidFill>
          </w14:textFill>
        </w:rPr>
      </w:pPr>
      <w:r>
        <w:rPr>
          <w:rFonts w:hint="default" w:ascii="Times New Roman" w:hAnsi="Times New Roman" w:eastAsia="仿宋_GB2312" w:cs="Times New Roman"/>
          <w:color w:val="000000" w:themeColor="text1"/>
          <w:sz w:val="36"/>
          <w:szCs w:val="36"/>
          <w:highlight w:val="none"/>
          <w14:textFill>
            <w14:solidFill>
              <w14:schemeClr w14:val="tx1"/>
            </w14:solidFill>
          </w14:textFill>
        </w:rPr>
        <w:t>项目名称：</w:t>
      </w:r>
      <w:r>
        <w:rPr>
          <w:rFonts w:hint="default" w:ascii="Times New Roman" w:hAnsi="Times New Roman" w:eastAsia="仿宋_GB2312" w:cs="Times New Roman"/>
          <w:color w:val="000000" w:themeColor="text1"/>
          <w:sz w:val="36"/>
          <w:szCs w:val="36"/>
          <w:highlight w:val="none"/>
          <w:u w:val="single"/>
          <w:lang w:val="en-US" w:eastAsia="zh-CN"/>
          <w14:textFill>
            <w14:solidFill>
              <w14:schemeClr w14:val="tx1"/>
            </w14:solidFill>
          </w14:textFill>
        </w:rPr>
        <w:t>黑龙江森柏岚图家具制造有限公司扩建锅炉房项目</w:t>
      </w:r>
    </w:p>
    <w:p w14:paraId="644DA35F">
      <w:pPr>
        <w:adjustRightInd w:val="0"/>
        <w:snapToGrid w:val="0"/>
        <w:spacing w:line="288" w:lineRule="auto"/>
        <w:ind w:firstLine="1040"/>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14:paraId="7B56E42F">
      <w:pPr>
        <w:adjustRightInd w:val="0"/>
        <w:snapToGrid w:val="0"/>
        <w:spacing w:line="288" w:lineRule="auto"/>
        <w:ind w:left="2739" w:leftChars="495" w:hanging="1700" w:firstLineChars="0"/>
        <w:rPr>
          <w:rFonts w:hint="default" w:ascii="Times New Roman" w:hAnsi="Times New Roman" w:eastAsia="仿宋_GB2312" w:cs="Times New Roman"/>
          <w:color w:val="000000" w:themeColor="text1"/>
          <w:sz w:val="36"/>
          <w:szCs w:val="36"/>
          <w:highlight w:val="none"/>
          <w:u w:val="single"/>
          <w:lang w:val="en-US" w:eastAsia="zh-CN"/>
          <w14:textFill>
            <w14:solidFill>
              <w14:schemeClr w14:val="tx1"/>
            </w14:solidFill>
          </w14:textFill>
        </w:rPr>
      </w:pPr>
      <w:r>
        <w:rPr>
          <w:rFonts w:hint="default" w:ascii="Times New Roman" w:hAnsi="Times New Roman" w:eastAsia="仿宋_GB2312" w:cs="Times New Roman"/>
          <w:color w:val="000000" w:themeColor="text1"/>
          <w:sz w:val="36"/>
          <w:szCs w:val="36"/>
          <w:highlight w:val="none"/>
          <w14:textFill>
            <w14:solidFill>
              <w14:schemeClr w14:val="tx1"/>
            </w14:solidFill>
          </w14:textFill>
        </w:rPr>
        <w:t>建设单位（盖章）：</w:t>
      </w:r>
      <w:r>
        <w:rPr>
          <w:rFonts w:hint="default" w:ascii="Times New Roman" w:hAnsi="Times New Roman" w:eastAsia="仿宋_GB2312" w:cs="Times New Roman"/>
          <w:color w:val="000000" w:themeColor="text1"/>
          <w:sz w:val="36"/>
          <w:szCs w:val="36"/>
          <w:highlight w:val="none"/>
          <w:u w:val="single"/>
          <w:lang w:val="en-US" w:eastAsia="zh-CN"/>
          <w14:textFill>
            <w14:solidFill>
              <w14:schemeClr w14:val="tx1"/>
            </w14:solidFill>
          </w14:textFill>
        </w:rPr>
        <w:t>黑龙江森柏岚图家具制造有限公司</w:t>
      </w:r>
    </w:p>
    <w:p w14:paraId="6CFE7E80">
      <w:pPr>
        <w:adjustRightInd w:val="0"/>
        <w:snapToGrid w:val="0"/>
        <w:spacing w:line="288" w:lineRule="auto"/>
        <w:ind w:firstLine="1040"/>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14:paraId="09EAFB23">
      <w:pPr>
        <w:adjustRightInd w:val="0"/>
        <w:snapToGrid w:val="0"/>
        <w:spacing w:line="288" w:lineRule="auto"/>
        <w:ind w:firstLine="1040"/>
        <w:rPr>
          <w:rFonts w:hint="default" w:ascii="Times New Roman" w:hAnsi="Times New Roman" w:eastAsia="仿宋_GB2312" w:cs="Times New Roman"/>
          <w:color w:val="000000" w:themeColor="text1"/>
          <w:sz w:val="36"/>
          <w:szCs w:val="36"/>
          <w:highlight w:val="none"/>
          <w:u w:val="single"/>
          <w:lang w:eastAsia="zh-CN"/>
          <w14:textFill>
            <w14:solidFill>
              <w14:schemeClr w14:val="tx1"/>
            </w14:solidFill>
          </w14:textFill>
        </w:rPr>
      </w:pPr>
      <w:r>
        <w:rPr>
          <w:rFonts w:hint="default" w:ascii="Times New Roman" w:hAnsi="Times New Roman" w:eastAsia="仿宋_GB2312" w:cs="Times New Roman"/>
          <w:color w:val="000000" w:themeColor="text1"/>
          <w:sz w:val="36"/>
          <w:szCs w:val="36"/>
          <w:highlight w:val="none"/>
          <w14:textFill>
            <w14:solidFill>
              <w14:schemeClr w14:val="tx1"/>
            </w14:solidFill>
          </w14:textFill>
        </w:rPr>
        <w:t>编制日期：</w:t>
      </w:r>
      <w:r>
        <w:rPr>
          <w:rFonts w:hint="default" w:ascii="Times New Roman" w:hAnsi="Times New Roman" w:eastAsia="仿宋_GB2312" w:cs="Times New Roman"/>
          <w:color w:val="000000" w:themeColor="text1"/>
          <w:sz w:val="36"/>
          <w:szCs w:val="36"/>
          <w:highlight w:val="none"/>
          <w:u w:val="single"/>
          <w:lang w:val="en-US" w:eastAsia="zh-CN"/>
          <w14:textFill>
            <w14:solidFill>
              <w14:schemeClr w14:val="tx1"/>
            </w14:solidFill>
          </w14:textFill>
        </w:rPr>
        <w:t>2025年11月</w:t>
      </w:r>
    </w:p>
    <w:p w14:paraId="0407A851">
      <w:pPr>
        <w:adjustRightInd w:val="0"/>
        <w:snapToGrid w:val="0"/>
        <w:spacing w:line="288" w:lineRule="auto"/>
        <w:ind w:firstLine="1040"/>
        <w:rPr>
          <w:rFonts w:hint="default" w:ascii="Times New Roman" w:hAnsi="Times New Roman" w:eastAsia="仿宋_GB2312" w:cs="Times New Roman"/>
          <w:color w:val="000000" w:themeColor="text1"/>
          <w:sz w:val="36"/>
          <w:szCs w:val="36"/>
          <w:highlight w:val="none"/>
          <w:u w:val="single"/>
          <w14:textFill>
            <w14:solidFill>
              <w14:schemeClr w14:val="tx1"/>
            </w14:solidFill>
          </w14:textFill>
        </w:rPr>
      </w:pPr>
      <w:bookmarkStart w:id="5" w:name="_Hlk57884087"/>
    </w:p>
    <w:p w14:paraId="58F3D85A">
      <w:pPr>
        <w:adjustRightInd w:val="0"/>
        <w:snapToGrid w:val="0"/>
        <w:spacing w:line="288" w:lineRule="auto"/>
        <w:ind w:firstLine="1040"/>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14:paraId="15CF036A">
      <w:pPr>
        <w:adjustRightInd w:val="0"/>
        <w:snapToGrid w:val="0"/>
        <w:spacing w:line="288" w:lineRule="auto"/>
        <w:ind w:firstLine="1040"/>
        <w:rPr>
          <w:rFonts w:hint="default" w:ascii="Times New Roman" w:hAnsi="Times New Roman" w:eastAsia="仿宋_GB2312" w:cs="Times New Roman"/>
          <w:color w:val="000000" w:themeColor="text1"/>
          <w:sz w:val="36"/>
          <w:szCs w:val="36"/>
          <w:highlight w:val="none"/>
          <w14:textFill>
            <w14:solidFill>
              <w14:schemeClr w14:val="tx1"/>
            </w14:solidFill>
          </w14:textFill>
        </w:rPr>
      </w:pPr>
    </w:p>
    <w:bookmarkEnd w:id="5"/>
    <w:p w14:paraId="283909E6">
      <w:pPr>
        <w:adjustRightInd w:val="0"/>
        <w:snapToGrid w:val="0"/>
        <w:spacing w:line="288" w:lineRule="auto"/>
        <w:jc w:val="center"/>
        <w:rPr>
          <w:rFonts w:hint="default" w:ascii="Times New Roman" w:hAnsi="Times New Roman" w:eastAsia="楷体_GB2312" w:cs="Times New Roman"/>
          <w:color w:val="000000" w:themeColor="text1"/>
          <w:sz w:val="36"/>
          <w:szCs w:val="36"/>
          <w:highlight w:val="none"/>
          <w14:textFill>
            <w14:solidFill>
              <w14:schemeClr w14:val="tx1"/>
            </w14:solidFill>
          </w14:textFill>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r>
        <w:rPr>
          <w:rFonts w:hint="default" w:ascii="Times New Roman" w:hAnsi="Times New Roman" w:eastAsia="楷体_GB2312" w:cs="Times New Roman"/>
          <w:color w:val="000000" w:themeColor="text1"/>
          <w:sz w:val="36"/>
          <w:szCs w:val="36"/>
          <w:highlight w:val="none"/>
          <w14:textFill>
            <w14:solidFill>
              <w14:schemeClr w14:val="tx1"/>
            </w14:solidFill>
          </w14:textFill>
        </w:rPr>
        <w:t>中华人民共和国生态环境部制</w:t>
      </w:r>
    </w:p>
    <w:p w14:paraId="77CA09EF">
      <w:pPr>
        <w:adjustRightInd w:val="0"/>
        <w:snapToGrid w:val="0"/>
        <w:spacing w:line="288" w:lineRule="auto"/>
        <w:jc w:val="center"/>
        <w:rPr>
          <w:rFonts w:hint="default" w:ascii="Times New Roman" w:hAnsi="Times New Roman" w:eastAsia="楷体_GB2312" w:cs="Times New Roman"/>
          <w:color w:val="000000" w:themeColor="text1"/>
          <w:sz w:val="36"/>
          <w:szCs w:val="36"/>
          <w:highlight w:val="none"/>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r>
        <w:rPr>
          <w:rFonts w:hint="default" w:ascii="Times New Roman" w:hAnsi="Times New Roman" w:eastAsia="宋体" w:cs="Times New Roman"/>
          <w:color w:val="000000" w:themeColor="text1"/>
          <w:sz w:val="44"/>
          <w:szCs w:val="44"/>
          <w14:textFill>
            <w14:solidFill>
              <w14:schemeClr w14:val="tx1"/>
            </w14:solidFill>
          </w14:textFill>
        </w:rPr>
        <w:drawing>
          <wp:anchor distT="0" distB="0" distL="114300" distR="114300" simplePos="0" relativeHeight="251675648" behindDoc="0" locked="0" layoutInCell="1" allowOverlap="1">
            <wp:simplePos x="0" y="0"/>
            <wp:positionH relativeFrom="column">
              <wp:posOffset>4775835</wp:posOffset>
            </wp:positionH>
            <wp:positionV relativeFrom="paragraph">
              <wp:posOffset>7665085</wp:posOffset>
            </wp:positionV>
            <wp:extent cx="831850" cy="498475"/>
            <wp:effectExtent l="0" t="0" r="0" b="16510"/>
            <wp:wrapNone/>
            <wp:docPr id="30" name="图片 30" descr="6309d1f81286815289fde74051248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6309d1f81286815289fde74051248708"/>
                    <pic:cNvPicPr>
                      <a:picLocks noChangeAspect="1"/>
                    </pic:cNvPicPr>
                  </pic:nvPicPr>
                  <pic:blipFill>
                    <a:blip r:embed="rId10">
                      <a:clrChange>
                        <a:clrFrom>
                          <a:srgbClr val="FFFFFF">
                            <a:alpha val="100000"/>
                          </a:srgbClr>
                        </a:clrFrom>
                        <a:clrTo>
                          <a:srgbClr val="FFFFFF">
                            <a:alpha val="100000"/>
                            <a:alpha val="0"/>
                          </a:srgbClr>
                        </a:clrTo>
                      </a:clrChange>
                    </a:blip>
                    <a:stretch>
                      <a:fillRect/>
                    </a:stretch>
                  </pic:blipFill>
                  <pic:spPr>
                    <a:xfrm>
                      <a:off x="0" y="0"/>
                      <a:ext cx="831850" cy="498475"/>
                    </a:xfrm>
                    <a:prstGeom prst="rect">
                      <a:avLst/>
                    </a:prstGeom>
                  </pic:spPr>
                </pic:pic>
              </a:graphicData>
            </a:graphic>
          </wp:anchor>
        </w:drawing>
      </w:r>
      <w:r>
        <w:rPr>
          <w:rFonts w:hint="default" w:ascii="Times New Roman" w:hAnsi="Times New Roman" w:eastAsia="宋体" w:cs="Times New Roman"/>
          <w:color w:val="000000" w:themeColor="text1"/>
          <w:sz w:val="44"/>
          <w:szCs w:val="44"/>
          <w14:textFill>
            <w14:solidFill>
              <w14:schemeClr w14:val="tx1"/>
            </w14:solidFill>
          </w14:textFill>
        </w:rPr>
        <w:drawing>
          <wp:anchor distT="0" distB="0" distL="114300" distR="114300" simplePos="0" relativeHeight="251674624" behindDoc="0" locked="0" layoutInCell="1" allowOverlap="1">
            <wp:simplePos x="0" y="0"/>
            <wp:positionH relativeFrom="column">
              <wp:posOffset>4772660</wp:posOffset>
            </wp:positionH>
            <wp:positionV relativeFrom="paragraph">
              <wp:posOffset>7221855</wp:posOffset>
            </wp:positionV>
            <wp:extent cx="1004570" cy="440690"/>
            <wp:effectExtent l="0" t="0" r="0" b="17780"/>
            <wp:wrapNone/>
            <wp:docPr id="29" name="图片 29" descr="2edd44b8c9cc5ffbcab73f40d2604c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edd44b8c9cc5ffbcab73f40d2604c33"/>
                    <pic:cNvPicPr>
                      <a:picLocks noChangeAspect="1"/>
                    </pic:cNvPicPr>
                  </pic:nvPicPr>
                  <pic:blipFill>
                    <a:blip r:embed="rId11">
                      <a:clrChange>
                        <a:clrFrom>
                          <a:srgbClr val="000000">
                            <a:alpha val="0"/>
                          </a:srgbClr>
                        </a:clrFrom>
                        <a:clrTo>
                          <a:srgbClr val="000000">
                            <a:alpha val="0"/>
                            <a:alpha val="0"/>
                          </a:srgbClr>
                        </a:clrTo>
                      </a:clrChange>
                    </a:blip>
                    <a:stretch>
                      <a:fillRect/>
                    </a:stretch>
                  </pic:blipFill>
                  <pic:spPr>
                    <a:xfrm>
                      <a:off x="0" y="0"/>
                      <a:ext cx="1004570" cy="440690"/>
                    </a:xfrm>
                    <a:prstGeom prst="rect">
                      <a:avLst/>
                    </a:prstGeom>
                  </pic:spPr>
                </pic:pic>
              </a:graphicData>
            </a:graphic>
          </wp:anchor>
        </w:drawing>
      </w:r>
      <w:r>
        <w:rPr>
          <w:rFonts w:hint="default" w:ascii="Times New Roman" w:hAnsi="Times New Roman" w:eastAsia="宋体" w:cs="Times New Roman"/>
          <w:color w:val="000000" w:themeColor="text1"/>
          <w:sz w:val="44"/>
          <w:szCs w:val="44"/>
          <w14:textFill>
            <w14:solidFill>
              <w14:schemeClr w14:val="tx1"/>
            </w14:solidFill>
          </w14:textFill>
        </w:rPr>
        <w:drawing>
          <wp:anchor distT="0" distB="0" distL="114300" distR="114300" simplePos="0" relativeHeight="251673600" behindDoc="0" locked="0" layoutInCell="1" allowOverlap="1">
            <wp:simplePos x="0" y="0"/>
            <wp:positionH relativeFrom="column">
              <wp:posOffset>4770755</wp:posOffset>
            </wp:positionH>
            <wp:positionV relativeFrom="paragraph">
              <wp:posOffset>6109335</wp:posOffset>
            </wp:positionV>
            <wp:extent cx="1004570" cy="440690"/>
            <wp:effectExtent l="0" t="0" r="0" b="17780"/>
            <wp:wrapNone/>
            <wp:docPr id="28" name="图片 28" descr="2edd44b8c9cc5ffbcab73f40d2604c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edd44b8c9cc5ffbcab73f40d2604c33"/>
                    <pic:cNvPicPr>
                      <a:picLocks noChangeAspect="1"/>
                    </pic:cNvPicPr>
                  </pic:nvPicPr>
                  <pic:blipFill>
                    <a:blip r:embed="rId11">
                      <a:clrChange>
                        <a:clrFrom>
                          <a:srgbClr val="000000">
                            <a:alpha val="0"/>
                          </a:srgbClr>
                        </a:clrFrom>
                        <a:clrTo>
                          <a:srgbClr val="000000">
                            <a:alpha val="0"/>
                            <a:alpha val="0"/>
                          </a:srgbClr>
                        </a:clrTo>
                      </a:clrChange>
                    </a:blip>
                    <a:stretch>
                      <a:fillRect/>
                    </a:stretch>
                  </pic:blipFill>
                  <pic:spPr>
                    <a:xfrm>
                      <a:off x="0" y="0"/>
                      <a:ext cx="1004570" cy="440690"/>
                    </a:xfrm>
                    <a:prstGeom prst="rect">
                      <a:avLst/>
                    </a:prstGeom>
                  </pic:spPr>
                </pic:pic>
              </a:graphicData>
            </a:graphic>
          </wp:anchor>
        </w:drawing>
      </w:r>
      <w:r>
        <w:rPr>
          <w:rFonts w:hint="default" w:ascii="Times New Roman" w:hAnsi="Times New Roman" w:eastAsia="宋体" w:cs="Times New Roman"/>
          <w:color w:val="000000" w:themeColor="text1"/>
          <w:sz w:val="44"/>
          <w:szCs w:val="44"/>
          <w14:textFill>
            <w14:solidFill>
              <w14:schemeClr w14:val="tx1"/>
            </w14:solidFill>
          </w14:textFill>
        </w:rPr>
        <w:drawing>
          <wp:anchor distT="0" distB="0" distL="114300" distR="114300" simplePos="0" relativeHeight="251672576" behindDoc="0" locked="0" layoutInCell="1" allowOverlap="1">
            <wp:simplePos x="0" y="0"/>
            <wp:positionH relativeFrom="column">
              <wp:posOffset>3389630</wp:posOffset>
            </wp:positionH>
            <wp:positionV relativeFrom="paragraph">
              <wp:posOffset>3768090</wp:posOffset>
            </wp:positionV>
            <wp:extent cx="1687830" cy="1595120"/>
            <wp:effectExtent l="0" t="0" r="0" b="12065"/>
            <wp:wrapNone/>
            <wp:docPr id="27" name="图片 27" descr="泽文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泽文章"/>
                    <pic:cNvPicPr>
                      <a:picLocks noChangeAspect="1"/>
                    </pic:cNvPicPr>
                  </pic:nvPicPr>
                  <pic:blipFill>
                    <a:blip r:embed="rId12">
                      <a:clrChange>
                        <a:clrFrom>
                          <a:srgbClr val="FFFFFF">
                            <a:alpha val="100000"/>
                          </a:srgbClr>
                        </a:clrFrom>
                        <a:clrTo>
                          <a:srgbClr val="FFFFFF">
                            <a:alpha val="100000"/>
                            <a:alpha val="0"/>
                          </a:srgbClr>
                        </a:clrTo>
                      </a:clrChange>
                    </a:blip>
                    <a:stretch>
                      <a:fillRect/>
                    </a:stretch>
                  </pic:blipFill>
                  <pic:spPr>
                    <a:xfrm rot="5160000">
                      <a:off x="0" y="0"/>
                      <a:ext cx="1687830" cy="1595120"/>
                    </a:xfrm>
                    <a:prstGeom prst="rect">
                      <a:avLst/>
                    </a:prstGeom>
                  </pic:spPr>
                </pic:pic>
              </a:graphicData>
            </a:graphic>
          </wp:anchor>
        </w:drawing>
      </w:r>
      <w:r>
        <w:rPr>
          <w:color w:val="000000" w:themeColor="text1"/>
          <w14:textFill>
            <w14:solidFill>
              <w14:schemeClr w14:val="tx1"/>
            </w14:solidFill>
          </w14:textFill>
        </w:rPr>
        <w:drawing>
          <wp:anchor distT="0" distB="0" distL="114300" distR="114300" simplePos="0" relativeHeight="251671552" behindDoc="0" locked="0" layoutInCell="1" allowOverlap="1">
            <wp:simplePos x="0" y="0"/>
            <wp:positionH relativeFrom="column">
              <wp:posOffset>-932180</wp:posOffset>
            </wp:positionH>
            <wp:positionV relativeFrom="paragraph">
              <wp:posOffset>-1063625</wp:posOffset>
            </wp:positionV>
            <wp:extent cx="7511415" cy="10647680"/>
            <wp:effectExtent l="0" t="0" r="13335" b="1270"/>
            <wp:wrapNone/>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13"/>
                    <a:stretch>
                      <a:fillRect/>
                    </a:stretch>
                  </pic:blipFill>
                  <pic:spPr>
                    <a:xfrm>
                      <a:off x="0" y="0"/>
                      <a:ext cx="7511415" cy="10647680"/>
                    </a:xfrm>
                    <a:prstGeom prst="rect">
                      <a:avLst/>
                    </a:prstGeom>
                    <a:noFill/>
                    <a:ln>
                      <a:noFill/>
                    </a:ln>
                  </pic:spPr>
                </pic:pic>
              </a:graphicData>
            </a:graphic>
          </wp:anchor>
        </w:drawing>
      </w:r>
    </w:p>
    <w:sdt>
      <w:sdtPr>
        <w:rPr>
          <w:rFonts w:hint="default" w:ascii="Times New Roman" w:hAnsi="Times New Roman" w:eastAsia="宋体" w:cs="Times New Roman"/>
          <w:color w:val="000000" w:themeColor="text1"/>
          <w:kern w:val="2"/>
          <w:sz w:val="44"/>
          <w:szCs w:val="44"/>
          <w:lang w:val="en-US" w:eastAsia="zh-CN" w:bidi="ar-SA"/>
          <w14:textFill>
            <w14:solidFill>
              <w14:schemeClr w14:val="tx1"/>
            </w14:solidFill>
          </w14:textFill>
        </w:rPr>
        <w:id w:val="147472584"/>
        <w15:color w:val="DBDBDB"/>
        <w:docPartObj>
          <w:docPartGallery w:val="Table of Contents"/>
          <w:docPartUnique/>
        </w:docPartObj>
      </w:sdtPr>
      <w:sdtEndPr>
        <w:rPr>
          <w:rFonts w:hint="default" w:ascii="Times New Roman" w:hAnsi="Times New Roman" w:eastAsia="楷体_GB2312" w:cs="Times New Roman"/>
          <w:color w:val="000000" w:themeColor="text1"/>
          <w:kern w:val="2"/>
          <w:sz w:val="21"/>
          <w:szCs w:val="36"/>
          <w:highlight w:val="none"/>
          <w:lang w:val="en-US" w:eastAsia="zh-CN" w:bidi="ar-SA"/>
          <w14:textFill>
            <w14:solidFill>
              <w14:schemeClr w14:val="tx1"/>
            </w14:solidFill>
          </w14:textFill>
        </w:rPr>
      </w:sdtEndPr>
      <w:sdtContent>
        <w:p w14:paraId="63AA763F">
          <w:pPr>
            <w:spacing w:before="0" w:beforeLines="0" w:after="0" w:afterLines="0" w:line="240" w:lineRule="auto"/>
            <w:ind w:left="0" w:leftChars="0" w:right="0" w:rightChars="0" w:firstLine="0" w:firstLineChars="0"/>
            <w:jc w:val="center"/>
            <w:rPr>
              <w:rFonts w:hint="default" w:ascii="Times New Roman" w:hAnsi="Times New Roman" w:cs="Times New Roman"/>
              <w:color w:val="000000" w:themeColor="text1"/>
              <w:sz w:val="44"/>
              <w:szCs w:val="44"/>
              <w14:textFill>
                <w14:solidFill>
                  <w14:schemeClr w14:val="tx1"/>
                </w14:solidFill>
              </w14:textFill>
            </w:rPr>
          </w:pPr>
          <w:r>
            <w:rPr>
              <w:rFonts w:hint="default" w:ascii="Times New Roman" w:hAnsi="Times New Roman" w:eastAsia="宋体" w:cs="Times New Roman"/>
              <w:color w:val="000000" w:themeColor="text1"/>
              <w:sz w:val="44"/>
              <w:szCs w:val="44"/>
              <w14:textFill>
                <w14:solidFill>
                  <w14:schemeClr w14:val="tx1"/>
                </w14:solidFill>
              </w14:textFill>
            </w:rPr>
            <w:t>目</w:t>
          </w:r>
          <w:r>
            <w:rPr>
              <w:rFonts w:hint="eastAsia" w:cs="Times New Roman"/>
              <w:color w:val="000000" w:themeColor="text1"/>
              <w:sz w:val="44"/>
              <w:szCs w:val="44"/>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44"/>
              <w:szCs w:val="44"/>
              <w14:textFill>
                <w14:solidFill>
                  <w14:schemeClr w14:val="tx1"/>
                </w14:solidFill>
              </w14:textFill>
            </w:rPr>
            <w:t>录</w:t>
          </w:r>
        </w:p>
        <w:p w14:paraId="102FCDF5">
          <w:pPr>
            <w:pStyle w:val="8"/>
            <w:tabs>
              <w:tab w:val="right" w:leader="dot" w:pos="8844"/>
            </w:tabs>
          </w:pPr>
          <w:r>
            <w:rPr>
              <w:rFonts w:hint="default" w:ascii="Times New Roman" w:hAnsi="Times New Roman" w:eastAsia="楷体_GB2312" w:cs="Times New Roman"/>
              <w:color w:val="000000" w:themeColor="text1"/>
              <w:sz w:val="36"/>
              <w:szCs w:val="36"/>
              <w:highlight w:val="none"/>
              <w14:textFill>
                <w14:solidFill>
                  <w14:schemeClr w14:val="tx1"/>
                </w14:solidFill>
              </w14:textFill>
            </w:rPr>
            <w:fldChar w:fldCharType="begin"/>
          </w:r>
          <w:r>
            <w:rPr>
              <w:rFonts w:hint="default" w:ascii="Times New Roman" w:hAnsi="Times New Roman" w:eastAsia="楷体_GB2312" w:cs="Times New Roman"/>
              <w:color w:val="000000" w:themeColor="text1"/>
              <w:sz w:val="36"/>
              <w:szCs w:val="36"/>
              <w:highlight w:val="none"/>
              <w14:textFill>
                <w14:solidFill>
                  <w14:schemeClr w14:val="tx1"/>
                </w14:solidFill>
              </w14:textFill>
            </w:rPr>
            <w:instrText xml:space="preserve">TOC \o "1-1" \h \u </w:instrText>
          </w:r>
          <w:r>
            <w:rPr>
              <w:rFonts w:hint="default" w:ascii="Times New Roman" w:hAnsi="Times New Roman" w:eastAsia="楷体_GB2312" w:cs="Times New Roman"/>
              <w:color w:val="000000" w:themeColor="text1"/>
              <w:sz w:val="36"/>
              <w:szCs w:val="36"/>
              <w:highlight w:val="none"/>
              <w14:textFill>
                <w14:solidFill>
                  <w14:schemeClr w14:val="tx1"/>
                </w14:solidFill>
              </w14:textFill>
            </w:rPr>
            <w:fldChar w:fldCharType="separate"/>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_Toc10591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黑体" w:cs="Times New Roman"/>
              <w:snapToGrid w:val="0"/>
              <w:szCs w:val="30"/>
              <w:highlight w:val="none"/>
            </w:rPr>
            <w:t>一、建设项目基本情况</w:t>
          </w:r>
          <w:r>
            <w:tab/>
          </w:r>
          <w:r>
            <w:fldChar w:fldCharType="begin"/>
          </w:r>
          <w:r>
            <w:instrText xml:space="preserve"> PAGEREF _Toc10591 \h </w:instrText>
          </w:r>
          <w:r>
            <w:fldChar w:fldCharType="separate"/>
          </w:r>
          <w:r>
            <w:t>1</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4312BFF5">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_Toc21046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黑体" w:cs="Times New Roman"/>
              <w:snapToGrid w:val="0"/>
              <w:szCs w:val="30"/>
              <w:highlight w:val="none"/>
            </w:rPr>
            <w:t>二、建设项目工程分析</w:t>
          </w:r>
          <w:r>
            <w:tab/>
          </w:r>
          <w:r>
            <w:fldChar w:fldCharType="begin"/>
          </w:r>
          <w:r>
            <w:instrText xml:space="preserve"> PAGEREF _Toc21046 \h </w:instrText>
          </w:r>
          <w:r>
            <w:fldChar w:fldCharType="separate"/>
          </w:r>
          <w:r>
            <w:t>13</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6B886F63">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_Toc24143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黑体" w:cs="Times New Roman"/>
              <w:snapToGrid w:val="0"/>
              <w:szCs w:val="30"/>
              <w:highlight w:val="none"/>
            </w:rPr>
            <w:t>三、区域环境质量现状、环境保护目标及评价标准</w:t>
          </w:r>
          <w:r>
            <w:tab/>
          </w:r>
          <w:r>
            <w:fldChar w:fldCharType="begin"/>
          </w:r>
          <w:r>
            <w:instrText xml:space="preserve"> PAGEREF _Toc24143 \h </w:instrText>
          </w:r>
          <w:r>
            <w:fldChar w:fldCharType="separate"/>
          </w:r>
          <w:r>
            <w:t>21</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43669DE2">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_Toc11279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黑体" w:cs="Times New Roman"/>
              <w:snapToGrid w:val="0"/>
              <w:szCs w:val="30"/>
              <w:highlight w:val="none"/>
            </w:rPr>
            <w:t>四、主要环境影响和保护措施</w:t>
          </w:r>
          <w:r>
            <w:tab/>
          </w:r>
          <w:r>
            <w:fldChar w:fldCharType="begin"/>
          </w:r>
          <w:r>
            <w:instrText xml:space="preserve"> PAGEREF _Toc11279 \h </w:instrText>
          </w:r>
          <w:r>
            <w:fldChar w:fldCharType="separate"/>
          </w:r>
          <w:r>
            <w:t>26</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52C53799">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_Toc3043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黑体" w:cs="Times New Roman"/>
              <w:snapToGrid w:val="0"/>
              <w:szCs w:val="30"/>
              <w:highlight w:val="none"/>
            </w:rPr>
            <w:t>五、环境保护措施监督检查清单</w:t>
          </w:r>
          <w:r>
            <w:tab/>
          </w:r>
          <w:r>
            <w:fldChar w:fldCharType="begin"/>
          </w:r>
          <w:r>
            <w:instrText xml:space="preserve"> PAGEREF _Toc3043 \h </w:instrText>
          </w:r>
          <w:r>
            <w:fldChar w:fldCharType="separate"/>
          </w:r>
          <w:r>
            <w:t>35</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0EC35C16">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_Toc27050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黑体" w:cs="Times New Roman"/>
              <w:snapToGrid w:val="0"/>
              <w:szCs w:val="30"/>
              <w:highlight w:val="none"/>
            </w:rPr>
            <w:t>六、结论</w:t>
          </w:r>
          <w:r>
            <w:tab/>
          </w:r>
          <w:r>
            <w:fldChar w:fldCharType="begin"/>
          </w:r>
          <w:r>
            <w:instrText xml:space="preserve"> PAGEREF _Toc27050 \h </w:instrText>
          </w:r>
          <w:r>
            <w:fldChar w:fldCharType="separate"/>
          </w:r>
          <w:r>
            <w:t>36</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4A8DCBCD">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_Toc17184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黑体" w:cs="Times New Roman"/>
              <w:snapToGrid w:val="0"/>
              <w:szCs w:val="32"/>
              <w:highlight w:val="none"/>
            </w:rPr>
            <w:t>附表</w:t>
          </w:r>
          <w:r>
            <w:tab/>
          </w:r>
          <w:r>
            <w:fldChar w:fldCharType="begin"/>
          </w:r>
          <w:r>
            <w:instrText xml:space="preserve"> PAGEREF _Toc17184 \h </w:instrText>
          </w:r>
          <w:r>
            <w:fldChar w:fldCharType="separate"/>
          </w:r>
          <w:r>
            <w:t>37</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17E3EAD1">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_Toc9766 </w:instrText>
          </w:r>
          <w:r>
            <w:rPr>
              <w:rFonts w:hint="default" w:ascii="Times New Roman" w:hAnsi="Times New Roman" w:eastAsia="楷体_GB2312" w:cs="Times New Roman"/>
              <w:szCs w:val="36"/>
              <w:highlight w:val="none"/>
            </w:rPr>
            <w:fldChar w:fldCharType="separate"/>
          </w:r>
          <w:r>
            <w:rPr>
              <w:rFonts w:hint="default" w:ascii="Times New Roman" w:hAnsi="Times New Roman" w:cs="Times New Roman"/>
              <w:szCs w:val="24"/>
              <w:highlight w:val="none"/>
              <w:lang w:eastAsia="zh-CN"/>
            </w:rPr>
            <w:t>附图</w:t>
          </w:r>
          <w:r>
            <w:rPr>
              <w:rFonts w:hint="default" w:ascii="Times New Roman" w:hAnsi="Times New Roman" w:cs="Times New Roman"/>
              <w:szCs w:val="24"/>
              <w:highlight w:val="none"/>
              <w:lang w:val="en-US" w:eastAsia="zh-CN"/>
            </w:rPr>
            <w:t>1地理位置图</w:t>
          </w:r>
          <w:r>
            <w:tab/>
          </w:r>
          <w:r>
            <w:fldChar w:fldCharType="begin"/>
          </w:r>
          <w:r>
            <w:instrText xml:space="preserve"> PAGEREF _Toc9766 \h </w:instrText>
          </w:r>
          <w:r>
            <w:fldChar w:fldCharType="separate"/>
          </w:r>
          <w:r>
            <w:t>38</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448C60AD">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_Toc9682 </w:instrText>
          </w:r>
          <w:r>
            <w:rPr>
              <w:rFonts w:hint="default" w:ascii="Times New Roman" w:hAnsi="Times New Roman" w:eastAsia="楷体_GB2312" w:cs="Times New Roman"/>
              <w:szCs w:val="36"/>
              <w:highlight w:val="none"/>
            </w:rPr>
            <w:fldChar w:fldCharType="separate"/>
          </w:r>
          <w:r>
            <w:rPr>
              <w:rFonts w:hint="default" w:ascii="Times New Roman" w:hAnsi="Times New Roman" w:cs="Times New Roman"/>
              <w:szCs w:val="24"/>
              <w:highlight w:val="none"/>
              <w:lang w:val="en-US" w:eastAsia="zh-CN"/>
            </w:rPr>
            <w:t>附图2平面布置图</w:t>
          </w:r>
          <w:r>
            <w:tab/>
          </w:r>
          <w:r>
            <w:fldChar w:fldCharType="begin"/>
          </w:r>
          <w:r>
            <w:instrText xml:space="preserve"> PAGEREF _Toc9682 \h </w:instrText>
          </w:r>
          <w:r>
            <w:fldChar w:fldCharType="separate"/>
          </w:r>
          <w:r>
            <w:t>39</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0B43A244">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_Toc30482 </w:instrText>
          </w:r>
          <w:r>
            <w:rPr>
              <w:rFonts w:hint="default" w:ascii="Times New Roman" w:hAnsi="Times New Roman" w:eastAsia="楷体_GB2312" w:cs="Times New Roman"/>
              <w:szCs w:val="36"/>
              <w:highlight w:val="none"/>
            </w:rPr>
            <w:fldChar w:fldCharType="separate"/>
          </w:r>
          <w:r>
            <w:rPr>
              <w:rFonts w:hint="default" w:ascii="Times New Roman" w:hAnsi="Times New Roman" w:cs="Times New Roman"/>
              <w:szCs w:val="24"/>
              <w:highlight w:val="none"/>
              <w:lang w:eastAsia="zh-CN"/>
            </w:rPr>
            <w:t>附图</w:t>
          </w:r>
          <w:r>
            <w:rPr>
              <w:rFonts w:hint="default" w:ascii="Times New Roman" w:hAnsi="Times New Roman" w:cs="Times New Roman"/>
              <w:szCs w:val="24"/>
              <w:highlight w:val="none"/>
              <w:lang w:val="en-US" w:eastAsia="zh-CN"/>
            </w:rPr>
            <w:t>3</w:t>
          </w:r>
          <w:r>
            <w:rPr>
              <w:rFonts w:hint="eastAsia" w:cs="Times New Roman"/>
              <w:szCs w:val="24"/>
              <w:highlight w:val="none"/>
              <w:lang w:val="en-US" w:eastAsia="zh-CN"/>
            </w:rPr>
            <w:t>评价范围</w:t>
          </w:r>
          <w:r>
            <w:rPr>
              <w:rFonts w:hint="default" w:ascii="Times New Roman" w:hAnsi="Times New Roman" w:cs="Times New Roman"/>
              <w:szCs w:val="24"/>
              <w:highlight w:val="none"/>
              <w:lang w:val="en-US" w:eastAsia="zh-CN"/>
            </w:rPr>
            <w:t>标图</w:t>
          </w:r>
          <w:r>
            <w:tab/>
          </w:r>
          <w:r>
            <w:fldChar w:fldCharType="begin"/>
          </w:r>
          <w:r>
            <w:instrText xml:space="preserve"> PAGEREF _Toc30482 \h </w:instrText>
          </w:r>
          <w:r>
            <w:fldChar w:fldCharType="separate"/>
          </w:r>
          <w:r>
            <w:t>40</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4EC88250">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_Toc29560 </w:instrText>
          </w:r>
          <w:r>
            <w:rPr>
              <w:rFonts w:hint="default" w:ascii="Times New Roman" w:hAnsi="Times New Roman" w:eastAsia="楷体_GB2312" w:cs="Times New Roman"/>
              <w:szCs w:val="36"/>
              <w:highlight w:val="none"/>
            </w:rPr>
            <w:fldChar w:fldCharType="separate"/>
          </w:r>
          <w:r>
            <w:rPr>
              <w:rFonts w:hint="default" w:ascii="Times New Roman" w:hAnsi="Times New Roman" w:cs="Times New Roman"/>
              <w:szCs w:val="24"/>
              <w:highlight w:val="none"/>
              <w:lang w:eastAsia="zh-CN"/>
            </w:rPr>
            <w:t>附图</w:t>
          </w:r>
          <w:r>
            <w:rPr>
              <w:rFonts w:hint="default" w:ascii="Times New Roman" w:hAnsi="Times New Roman" w:cs="Times New Roman"/>
              <w:szCs w:val="24"/>
              <w:highlight w:val="none"/>
              <w:lang w:val="en-US" w:eastAsia="zh-CN"/>
            </w:rPr>
            <w:t>4周围环境图</w:t>
          </w:r>
          <w:r>
            <w:tab/>
          </w:r>
          <w:r>
            <w:fldChar w:fldCharType="begin"/>
          </w:r>
          <w:r>
            <w:instrText xml:space="preserve"> PAGEREF _Toc29560 \h </w:instrText>
          </w:r>
          <w:r>
            <w:fldChar w:fldCharType="separate"/>
          </w:r>
          <w:r>
            <w:t>41</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4E5605A4">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_Toc19205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宋体" w:cs="Times New Roman"/>
              <w:szCs w:val="24"/>
              <w:highlight w:val="none"/>
              <w:lang w:val="en-US" w:eastAsia="zh-CN"/>
            </w:rPr>
            <w:t>附件1营业执照</w:t>
          </w:r>
          <w:r>
            <w:tab/>
          </w:r>
          <w:r>
            <w:fldChar w:fldCharType="begin"/>
          </w:r>
          <w:r>
            <w:instrText xml:space="preserve"> PAGEREF _Toc19205 \h </w:instrText>
          </w:r>
          <w:r>
            <w:fldChar w:fldCharType="separate"/>
          </w:r>
          <w:r>
            <w:t>42</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3CF97111">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_Toc18064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宋体" w:cs="Times New Roman"/>
              <w:szCs w:val="24"/>
              <w:highlight w:val="none"/>
              <w:lang w:val="en-US" w:eastAsia="zh-CN"/>
            </w:rPr>
            <w:t>附件2不动产证书</w:t>
          </w:r>
          <w:r>
            <w:tab/>
          </w:r>
          <w:r>
            <w:fldChar w:fldCharType="begin"/>
          </w:r>
          <w:r>
            <w:instrText xml:space="preserve"> PAGEREF _Toc18064 \h </w:instrText>
          </w:r>
          <w:r>
            <w:fldChar w:fldCharType="separate"/>
          </w:r>
          <w:r>
            <w:t>43</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4EF18F3E">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_Toc21515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宋体" w:cs="Times New Roman"/>
              <w:szCs w:val="24"/>
              <w:highlight w:val="none"/>
              <w:lang w:val="en-US" w:eastAsia="zh-CN"/>
            </w:rPr>
            <w:t>附件3备案承诺书</w:t>
          </w:r>
          <w:r>
            <w:tab/>
          </w:r>
          <w:r>
            <w:fldChar w:fldCharType="begin"/>
          </w:r>
          <w:r>
            <w:instrText xml:space="preserve"> PAGEREF _Toc21515 \h </w:instrText>
          </w:r>
          <w:r>
            <w:fldChar w:fldCharType="separate"/>
          </w:r>
          <w:r>
            <w:t>47</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2AEFD2B0">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_Toc22331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宋体" w:cs="Times New Roman"/>
              <w:szCs w:val="24"/>
              <w:highlight w:val="none"/>
              <w:lang w:val="en-US" w:eastAsia="zh-CN"/>
            </w:rPr>
            <w:t>附件4原环评批复</w:t>
          </w:r>
          <w:r>
            <w:tab/>
          </w:r>
          <w:r>
            <w:fldChar w:fldCharType="begin"/>
          </w:r>
          <w:r>
            <w:instrText xml:space="preserve"> PAGEREF _Toc22331 \h </w:instrText>
          </w:r>
          <w:r>
            <w:fldChar w:fldCharType="separate"/>
          </w:r>
          <w:r>
            <w:t>48</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4F18E23F">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_Toc1782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宋体" w:cs="Times New Roman"/>
              <w:szCs w:val="24"/>
              <w:highlight w:val="none"/>
              <w:lang w:val="en-US" w:eastAsia="zh-CN"/>
            </w:rPr>
            <w:t>附件5关于黑龙江森柏岚图家具制造有限公司名称情况说明</w:t>
          </w:r>
          <w:r>
            <w:tab/>
          </w:r>
          <w:r>
            <w:fldChar w:fldCharType="begin"/>
          </w:r>
          <w:r>
            <w:instrText xml:space="preserve"> PAGEREF _Toc1782 \h </w:instrText>
          </w:r>
          <w:r>
            <w:fldChar w:fldCharType="separate"/>
          </w:r>
          <w:r>
            <w:t>51</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23958762">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_Toc22352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宋体" w:cs="Times New Roman"/>
              <w:szCs w:val="24"/>
              <w:highlight w:val="none"/>
              <w:lang w:val="en-US" w:eastAsia="zh-CN"/>
            </w:rPr>
            <w:t>附件6关于黑龙江森柏岚图家具制造有限公司生产情况说明</w:t>
          </w:r>
          <w:r>
            <w:tab/>
          </w:r>
          <w:r>
            <w:fldChar w:fldCharType="begin"/>
          </w:r>
          <w:r>
            <w:instrText xml:space="preserve"> PAGEREF _Toc22352 \h </w:instrText>
          </w:r>
          <w:r>
            <w:fldChar w:fldCharType="separate"/>
          </w:r>
          <w:r>
            <w:t>52</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4BAC15A7">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_Toc25935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宋体" w:cs="Times New Roman"/>
              <w:szCs w:val="24"/>
              <w:highlight w:val="none"/>
              <w:lang w:val="en-US" w:eastAsia="zh-CN"/>
            </w:rPr>
            <w:t>附件</w:t>
          </w:r>
          <w:r>
            <w:rPr>
              <w:rFonts w:hint="eastAsia" w:eastAsia="宋体" w:cs="Times New Roman"/>
              <w:szCs w:val="24"/>
              <w:highlight w:val="none"/>
              <w:lang w:val="en-US" w:eastAsia="zh-CN"/>
            </w:rPr>
            <w:t>7</w:t>
          </w:r>
          <w:r>
            <w:rPr>
              <w:rFonts w:hint="default" w:ascii="Times New Roman" w:hAnsi="Times New Roman" w:eastAsia="宋体" w:cs="Times New Roman"/>
              <w:szCs w:val="24"/>
              <w:highlight w:val="none"/>
              <w:lang w:val="en-US" w:eastAsia="zh-CN"/>
            </w:rPr>
            <w:t>关于</w:t>
          </w:r>
          <w:r>
            <w:rPr>
              <w:rFonts w:hint="eastAsia" w:eastAsia="宋体" w:cs="Times New Roman"/>
              <w:szCs w:val="24"/>
              <w:highlight w:val="none"/>
              <w:lang w:val="en-US" w:eastAsia="zh-CN"/>
            </w:rPr>
            <w:t>供热锅炉情况的承诺</w:t>
          </w:r>
          <w:r>
            <w:rPr>
              <w:rFonts w:hint="default" w:ascii="Times New Roman" w:hAnsi="Times New Roman" w:eastAsia="宋体" w:cs="Times New Roman"/>
              <w:szCs w:val="24"/>
              <w:highlight w:val="none"/>
              <w:lang w:val="en-US" w:eastAsia="zh-CN"/>
            </w:rPr>
            <w:t>说明</w:t>
          </w:r>
          <w:r>
            <w:tab/>
          </w:r>
          <w:r>
            <w:fldChar w:fldCharType="begin"/>
          </w:r>
          <w:r>
            <w:instrText xml:space="preserve"> PAGEREF _Toc25935 \h </w:instrText>
          </w:r>
          <w:r>
            <w:fldChar w:fldCharType="separate"/>
          </w:r>
          <w:r>
            <w:t>53</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0061ABF5">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_Toc9499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宋体" w:cs="Times New Roman"/>
              <w:szCs w:val="24"/>
              <w:highlight w:val="none"/>
              <w:lang w:val="en-US" w:eastAsia="zh-CN"/>
            </w:rPr>
            <w:t>附件</w:t>
          </w:r>
          <w:r>
            <w:rPr>
              <w:rFonts w:hint="eastAsia" w:eastAsia="宋体" w:cs="Times New Roman"/>
              <w:szCs w:val="24"/>
              <w:highlight w:val="none"/>
              <w:lang w:val="en-US" w:eastAsia="zh-CN"/>
            </w:rPr>
            <w:t>8</w:t>
          </w:r>
          <w:r>
            <w:rPr>
              <w:rFonts w:hint="default" w:ascii="Times New Roman" w:hAnsi="Times New Roman" w:eastAsia="宋体" w:cs="Times New Roman"/>
              <w:szCs w:val="24"/>
              <w:highlight w:val="none"/>
              <w:lang w:val="en-US" w:eastAsia="zh-CN"/>
            </w:rPr>
            <w:t>总量核算的说明</w:t>
          </w:r>
          <w:r>
            <w:tab/>
          </w:r>
          <w:r>
            <w:fldChar w:fldCharType="begin"/>
          </w:r>
          <w:r>
            <w:instrText xml:space="preserve"> PAGEREF _Toc9499 \h </w:instrText>
          </w:r>
          <w:r>
            <w:fldChar w:fldCharType="separate"/>
          </w:r>
          <w:r>
            <w:t>54</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440FC45F">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_Toc13195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宋体" w:cs="Times New Roman"/>
              <w:szCs w:val="24"/>
              <w:highlight w:val="none"/>
              <w:lang w:val="en-US" w:eastAsia="zh-CN"/>
            </w:rPr>
            <w:t>附件</w:t>
          </w:r>
          <w:r>
            <w:rPr>
              <w:rFonts w:hint="eastAsia" w:eastAsia="宋体" w:cs="Times New Roman"/>
              <w:szCs w:val="24"/>
              <w:highlight w:val="none"/>
              <w:lang w:val="en-US" w:eastAsia="zh-CN"/>
            </w:rPr>
            <w:t>9</w:t>
          </w:r>
          <w:r>
            <w:rPr>
              <w:rFonts w:hint="default" w:ascii="Times New Roman" w:hAnsi="Times New Roman" w:eastAsia="宋体" w:cs="Times New Roman"/>
              <w:szCs w:val="24"/>
              <w:highlight w:val="none"/>
              <w:lang w:val="en-US" w:eastAsia="zh-CN"/>
            </w:rPr>
            <w:t>生物质分析报告</w:t>
          </w:r>
          <w:r>
            <w:tab/>
          </w:r>
          <w:r>
            <w:fldChar w:fldCharType="begin"/>
          </w:r>
          <w:r>
            <w:instrText xml:space="preserve"> PAGEREF _Toc13195 \h </w:instrText>
          </w:r>
          <w:r>
            <w:fldChar w:fldCharType="separate"/>
          </w:r>
          <w:r>
            <w:t>55</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1BACE233">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_Toc15661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宋体" w:cs="Times New Roman"/>
              <w:szCs w:val="24"/>
              <w:highlight w:val="none"/>
              <w:lang w:val="en-US" w:eastAsia="zh-CN"/>
            </w:rPr>
            <w:t>附件</w:t>
          </w:r>
          <w:r>
            <w:rPr>
              <w:rFonts w:hint="eastAsia" w:eastAsia="宋体" w:cs="Times New Roman"/>
              <w:szCs w:val="24"/>
              <w:highlight w:val="none"/>
              <w:lang w:val="en-US" w:eastAsia="zh-CN"/>
            </w:rPr>
            <w:t>10</w:t>
          </w:r>
          <w:r>
            <w:rPr>
              <w:rFonts w:hint="default" w:ascii="Times New Roman" w:hAnsi="Times New Roman" w:eastAsia="宋体" w:cs="Times New Roman"/>
              <w:szCs w:val="24"/>
              <w:highlight w:val="none"/>
              <w:lang w:val="en-US" w:eastAsia="zh-CN"/>
            </w:rPr>
            <w:t>监测报告</w:t>
          </w:r>
          <w:r>
            <w:tab/>
          </w:r>
          <w:r>
            <w:fldChar w:fldCharType="begin"/>
          </w:r>
          <w:r>
            <w:instrText xml:space="preserve"> PAGEREF _Toc15661 \h </w:instrText>
          </w:r>
          <w:r>
            <w:fldChar w:fldCharType="separate"/>
          </w:r>
          <w:r>
            <w:t>56</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6B4D25D1">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_Toc11166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宋体" w:cs="Times New Roman"/>
              <w:szCs w:val="24"/>
              <w:highlight w:val="none"/>
              <w:lang w:val="en-US" w:eastAsia="zh-CN"/>
            </w:rPr>
            <w:t>附件1</w:t>
          </w:r>
          <w:r>
            <w:rPr>
              <w:rFonts w:hint="eastAsia" w:eastAsia="宋体" w:cs="Times New Roman"/>
              <w:szCs w:val="24"/>
              <w:highlight w:val="none"/>
              <w:lang w:val="en-US" w:eastAsia="zh-CN"/>
            </w:rPr>
            <w:t>1</w:t>
          </w:r>
          <w:r>
            <w:rPr>
              <w:rFonts w:hint="default" w:ascii="Times New Roman" w:hAnsi="Times New Roman" w:eastAsia="宋体" w:cs="Times New Roman"/>
              <w:szCs w:val="24"/>
              <w:highlight w:val="none"/>
              <w:lang w:val="en-US" w:eastAsia="zh-CN"/>
            </w:rPr>
            <w:t>黑龙江森柏岚图家具制造有限公司扩建锅炉房项目生态环境分区管控分析报告</w:t>
          </w:r>
          <w:r>
            <w:tab/>
          </w:r>
          <w:r>
            <w:fldChar w:fldCharType="begin"/>
          </w:r>
          <w:r>
            <w:instrText xml:space="preserve"> PAGEREF _Toc11166 \h </w:instrText>
          </w:r>
          <w:r>
            <w:fldChar w:fldCharType="separate"/>
          </w:r>
          <w:r>
            <w:t>59</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59F4B8A9">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_Toc9287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宋体" w:cs="Times New Roman"/>
              <w:szCs w:val="24"/>
              <w:highlight w:val="none"/>
              <w:lang w:val="en-US" w:eastAsia="zh-CN"/>
            </w:rPr>
            <w:t>附件</w:t>
          </w:r>
          <w:r>
            <w:rPr>
              <w:rFonts w:hint="eastAsia" w:ascii="Times New Roman" w:hAnsi="Times New Roman" w:eastAsia="宋体" w:cs="Times New Roman"/>
              <w:szCs w:val="24"/>
              <w:highlight w:val="none"/>
              <w:lang w:val="en-US" w:eastAsia="zh-CN"/>
            </w:rPr>
            <w:t>1</w:t>
          </w:r>
          <w:r>
            <w:rPr>
              <w:rFonts w:hint="eastAsia" w:eastAsia="宋体" w:cs="Times New Roman"/>
              <w:szCs w:val="24"/>
              <w:highlight w:val="none"/>
              <w:lang w:val="en-US" w:eastAsia="zh-CN"/>
            </w:rPr>
            <w:t>2</w:t>
          </w:r>
          <w:r>
            <w:rPr>
              <w:rFonts w:hint="eastAsia" w:ascii="Times New Roman" w:hAnsi="Times New Roman" w:eastAsia="宋体" w:cs="Times New Roman"/>
              <w:szCs w:val="24"/>
              <w:highlight w:val="none"/>
              <w:lang w:val="en-US" w:eastAsia="zh-CN"/>
            </w:rPr>
            <w:t>供热情况说明</w:t>
          </w:r>
          <w:r>
            <w:tab/>
          </w:r>
          <w:r>
            <w:fldChar w:fldCharType="begin"/>
          </w:r>
          <w:r>
            <w:instrText xml:space="preserve"> PAGEREF _Toc9287 \h </w:instrText>
          </w:r>
          <w:r>
            <w:fldChar w:fldCharType="separate"/>
          </w:r>
          <w:r>
            <w:t>69</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6B5120A6">
          <w:pPr>
            <w:pStyle w:val="8"/>
            <w:tabs>
              <w:tab w:val="right" w:leader="dot" w:pos="8844"/>
            </w:tabs>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begin"/>
          </w:r>
          <w:r>
            <w:rPr>
              <w:rFonts w:hint="default" w:ascii="Times New Roman" w:hAnsi="Times New Roman" w:eastAsia="楷体_GB2312" w:cs="Times New Roman"/>
              <w:szCs w:val="36"/>
              <w:highlight w:val="none"/>
            </w:rPr>
            <w:instrText xml:space="preserve"> HYPERLINK \l _Toc111 </w:instrText>
          </w:r>
          <w:r>
            <w:rPr>
              <w:rFonts w:hint="default" w:ascii="Times New Roman" w:hAnsi="Times New Roman" w:eastAsia="楷体_GB2312" w:cs="Times New Roman"/>
              <w:szCs w:val="36"/>
              <w:highlight w:val="none"/>
            </w:rPr>
            <w:fldChar w:fldCharType="separate"/>
          </w:r>
          <w:r>
            <w:rPr>
              <w:rFonts w:hint="default" w:ascii="Times New Roman" w:hAnsi="Times New Roman" w:eastAsia="宋体" w:cs="Times New Roman"/>
              <w:szCs w:val="24"/>
              <w:highlight w:val="none"/>
              <w:lang w:val="en-US" w:eastAsia="zh-CN"/>
            </w:rPr>
            <w:t>附件</w:t>
          </w:r>
          <w:r>
            <w:rPr>
              <w:rFonts w:hint="eastAsia" w:ascii="Times New Roman" w:hAnsi="Times New Roman" w:eastAsia="宋体" w:cs="Times New Roman"/>
              <w:szCs w:val="24"/>
              <w:highlight w:val="none"/>
              <w:lang w:val="en-US" w:eastAsia="zh-CN"/>
            </w:rPr>
            <w:t>1</w:t>
          </w:r>
          <w:r>
            <w:rPr>
              <w:rFonts w:hint="eastAsia" w:eastAsia="宋体" w:cs="Times New Roman"/>
              <w:szCs w:val="24"/>
              <w:highlight w:val="none"/>
              <w:lang w:val="en-US" w:eastAsia="zh-CN"/>
            </w:rPr>
            <w:t>3本项目与声环境功能区划分的对比</w:t>
          </w:r>
          <w:r>
            <w:tab/>
          </w:r>
          <w:r>
            <w:fldChar w:fldCharType="begin"/>
          </w:r>
          <w:r>
            <w:instrText xml:space="preserve"> PAGEREF _Toc111 \h </w:instrText>
          </w:r>
          <w:r>
            <w:fldChar w:fldCharType="separate"/>
          </w:r>
          <w:r>
            <w:t>70</w:t>
          </w:r>
          <w:r>
            <w:fldChar w:fldCharType="end"/>
          </w: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p w14:paraId="33EF1F14">
          <w:pPr>
            <w:adjustRightInd w:val="0"/>
            <w:snapToGrid w:val="0"/>
            <w:spacing w:line="288" w:lineRule="auto"/>
            <w:jc w:val="both"/>
            <w:rPr>
              <w:rFonts w:hint="default" w:ascii="Times New Roman" w:hAnsi="Times New Roman" w:eastAsia="楷体_GB2312" w:cs="Times New Roman"/>
              <w:color w:val="000000" w:themeColor="text1"/>
              <w:kern w:val="2"/>
              <w:sz w:val="21"/>
              <w:szCs w:val="36"/>
              <w:highlight w:val="none"/>
              <w:lang w:val="en-US" w:eastAsia="zh-CN" w:bidi="ar-SA"/>
              <w14:textFill>
                <w14:solidFill>
                  <w14:schemeClr w14:val="tx1"/>
                </w14:solidFill>
              </w14:textFill>
            </w:rPr>
          </w:pPr>
          <w:r>
            <w:rPr>
              <w:rFonts w:hint="default" w:ascii="Times New Roman" w:hAnsi="Times New Roman" w:eastAsia="楷体_GB2312" w:cs="Times New Roman"/>
              <w:color w:val="000000" w:themeColor="text1"/>
              <w:szCs w:val="36"/>
              <w:highlight w:val="none"/>
              <w14:textFill>
                <w14:solidFill>
                  <w14:schemeClr w14:val="tx1"/>
                </w14:solidFill>
              </w14:textFill>
            </w:rPr>
            <w:fldChar w:fldCharType="end"/>
          </w:r>
        </w:p>
      </w:sdtContent>
    </w:sdt>
    <w:p w14:paraId="7C6FD76F">
      <w:pPr>
        <w:pStyle w:val="18"/>
        <w:rPr>
          <w:rFonts w:hint="default" w:ascii="Times New Roman" w:hAnsi="Times New Roman" w:cs="Times New Roman"/>
          <w:color w:val="000000" w:themeColor="text1"/>
          <w14:textFill>
            <w14:solidFill>
              <w14:schemeClr w14:val="tx1"/>
            </w14:solidFill>
          </w14:textFill>
        </w:rPr>
      </w:pPr>
    </w:p>
    <w:p w14:paraId="697ABF8F">
      <w:pPr>
        <w:adjustRightInd w:val="0"/>
        <w:snapToGrid w:val="0"/>
        <w:spacing w:line="288" w:lineRule="auto"/>
        <w:ind w:firstLine="1040"/>
        <w:rPr>
          <w:rFonts w:hint="default" w:ascii="Times New Roman" w:hAnsi="Times New Roman" w:eastAsia="仿宋_GB2312" w:cs="Times New Roman"/>
          <w:color w:val="000000" w:themeColor="text1"/>
          <w:sz w:val="36"/>
          <w:szCs w:val="36"/>
          <w:highlight w:val="none"/>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p>
    <w:p w14:paraId="07CE71B8">
      <w:pPr>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bookmarkStart w:id="6" w:name="_Toc10591"/>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一、建设项目基本情况</w:t>
      </w:r>
      <w:bookmarkEnd w:id="6"/>
    </w:p>
    <w:tbl>
      <w:tblPr>
        <w:tblStyle w:val="1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986"/>
        <w:gridCol w:w="2033"/>
        <w:gridCol w:w="2212"/>
        <w:gridCol w:w="2639"/>
      </w:tblGrid>
      <w:tr w14:paraId="6CC470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986" w:type="dxa"/>
            <w:noWrap w:val="0"/>
            <w:tcMar>
              <w:top w:w="16" w:type="dxa"/>
              <w:left w:w="16" w:type="dxa"/>
              <w:right w:w="16" w:type="dxa"/>
            </w:tcMar>
            <w:vAlign w:val="center"/>
          </w:tcPr>
          <w:p w14:paraId="2526D1BC">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建设项目名称</w:t>
            </w:r>
          </w:p>
        </w:tc>
        <w:tc>
          <w:tcPr>
            <w:tcW w:w="6884" w:type="dxa"/>
            <w:gridSpan w:val="3"/>
            <w:noWrap w:val="0"/>
            <w:vAlign w:val="center"/>
          </w:tcPr>
          <w:p w14:paraId="47E48D23">
            <w:pPr>
              <w:adjustRightInd w:val="0"/>
              <w:snapToGrid w:val="0"/>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黑龙江森柏岚图家具制造有限公司扩建锅炉房项目</w:t>
            </w:r>
          </w:p>
        </w:tc>
      </w:tr>
      <w:tr w14:paraId="2A0EB9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986" w:type="dxa"/>
            <w:noWrap w:val="0"/>
            <w:tcMar>
              <w:top w:w="16" w:type="dxa"/>
              <w:left w:w="16" w:type="dxa"/>
              <w:right w:w="16" w:type="dxa"/>
            </w:tcMar>
            <w:vAlign w:val="center"/>
          </w:tcPr>
          <w:p w14:paraId="238C7C6D">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项目代码</w:t>
            </w:r>
          </w:p>
        </w:tc>
        <w:tc>
          <w:tcPr>
            <w:tcW w:w="6884" w:type="dxa"/>
            <w:gridSpan w:val="3"/>
            <w:noWrap w:val="0"/>
            <w:vAlign w:val="center"/>
          </w:tcPr>
          <w:p w14:paraId="464956CC">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2511-230502-04-01-217803</w:t>
            </w:r>
          </w:p>
        </w:tc>
      </w:tr>
      <w:tr w14:paraId="1673B2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986" w:type="dxa"/>
            <w:noWrap w:val="0"/>
            <w:tcMar>
              <w:top w:w="16" w:type="dxa"/>
              <w:left w:w="16" w:type="dxa"/>
              <w:right w:w="16" w:type="dxa"/>
            </w:tcMar>
            <w:vAlign w:val="center"/>
          </w:tcPr>
          <w:p w14:paraId="60F24D3D">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建设单位联系人</w:t>
            </w:r>
          </w:p>
        </w:tc>
        <w:tc>
          <w:tcPr>
            <w:tcW w:w="2033" w:type="dxa"/>
            <w:noWrap w:val="0"/>
            <w:vAlign w:val="center"/>
          </w:tcPr>
          <w:p w14:paraId="60823871">
            <w:pPr>
              <w:adjustRightInd w:val="0"/>
              <w:snapToGrid w:val="0"/>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姜洪发</w:t>
            </w:r>
          </w:p>
        </w:tc>
        <w:tc>
          <w:tcPr>
            <w:tcW w:w="2212" w:type="dxa"/>
            <w:noWrap w:val="0"/>
            <w:vAlign w:val="center"/>
          </w:tcPr>
          <w:p w14:paraId="6EF40C3E">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联系方式</w:t>
            </w:r>
          </w:p>
        </w:tc>
        <w:tc>
          <w:tcPr>
            <w:tcW w:w="2639" w:type="dxa"/>
            <w:noWrap w:val="0"/>
            <w:vAlign w:val="center"/>
          </w:tcPr>
          <w:p w14:paraId="32F6F454">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18545595888</w:t>
            </w:r>
          </w:p>
        </w:tc>
      </w:tr>
      <w:tr w14:paraId="43AD02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986" w:type="dxa"/>
            <w:noWrap w:val="0"/>
            <w:tcMar>
              <w:top w:w="16" w:type="dxa"/>
              <w:left w:w="16" w:type="dxa"/>
              <w:right w:w="16" w:type="dxa"/>
            </w:tcMar>
            <w:vAlign w:val="center"/>
          </w:tcPr>
          <w:p w14:paraId="5E23A8E0">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建设地点</w:t>
            </w:r>
          </w:p>
        </w:tc>
        <w:tc>
          <w:tcPr>
            <w:tcW w:w="6884" w:type="dxa"/>
            <w:gridSpan w:val="3"/>
            <w:noWrap w:val="0"/>
            <w:vAlign w:val="center"/>
          </w:tcPr>
          <w:p w14:paraId="3E408FB1">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黑龙江省双鸭山市尖山区窑地路</w:t>
            </w:r>
          </w:p>
        </w:tc>
      </w:tr>
      <w:tr w14:paraId="2844F2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986" w:type="dxa"/>
            <w:noWrap w:val="0"/>
            <w:tcMar>
              <w:top w:w="16" w:type="dxa"/>
              <w:left w:w="16" w:type="dxa"/>
              <w:right w:w="16" w:type="dxa"/>
            </w:tcMar>
            <w:vAlign w:val="center"/>
          </w:tcPr>
          <w:p w14:paraId="1ADCA041">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地理坐标</w:t>
            </w:r>
          </w:p>
        </w:tc>
        <w:tc>
          <w:tcPr>
            <w:tcW w:w="6884" w:type="dxa"/>
            <w:gridSpan w:val="3"/>
            <w:noWrap w:val="0"/>
            <w:vAlign w:val="center"/>
          </w:tcPr>
          <w:p w14:paraId="38312133">
            <w:pPr>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single"/>
                <w:lang w:val="en-US" w:eastAsia="zh-CN"/>
                <w14:textFill>
                  <w14:solidFill>
                    <w14:schemeClr w14:val="tx1"/>
                  </w14:solidFill>
                </w14:textFill>
              </w:rPr>
              <w:t>1</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31</w:t>
            </w:r>
            <w:r>
              <w:rPr>
                <w:rFonts w:hint="default" w:ascii="Times New Roman" w:hAnsi="Times New Roman" w:eastAsia="宋体" w:cs="Times New Roman"/>
                <w:color w:val="000000" w:themeColor="text1"/>
                <w:sz w:val="24"/>
                <w:szCs w:val="24"/>
                <w:highlight w:val="none"/>
                <w14:textFill>
                  <w14:solidFill>
                    <w14:schemeClr w14:val="tx1"/>
                  </w14:solidFill>
                </w14:textFill>
              </w:rPr>
              <w:t>度</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14:textFill>
                  <w14:solidFill>
                    <w14:schemeClr w14:val="tx1"/>
                  </w14:solidFill>
                </w14:textFill>
              </w:rPr>
              <w:t>分</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16.978</w:t>
            </w:r>
            <w:r>
              <w:rPr>
                <w:rFonts w:hint="default" w:ascii="Times New Roman" w:hAnsi="Times New Roman" w:eastAsia="宋体" w:cs="Times New Roman"/>
                <w:color w:val="000000" w:themeColor="text1"/>
                <w:sz w:val="24"/>
                <w:szCs w:val="24"/>
                <w:highlight w:val="none"/>
                <w14:textFill>
                  <w14:solidFill>
                    <w14:schemeClr w14:val="tx1"/>
                  </w14:solidFill>
                </w14:textFill>
              </w:rPr>
              <w:t>秒，</w:t>
            </w:r>
            <w:r>
              <w:rPr>
                <w:rFonts w:hint="default" w:ascii="Times New Roman" w:hAnsi="Times New Roman" w:eastAsia="宋体" w:cs="Times New Roman"/>
                <w:color w:val="000000" w:themeColor="text1"/>
                <w:sz w:val="24"/>
                <w:szCs w:val="24"/>
                <w:highlight w:val="none"/>
                <w:u w:val="single"/>
                <w:lang w:val="en-US" w:eastAsia="zh-CN"/>
                <w14:textFill>
                  <w14:solidFill>
                    <w14:schemeClr w14:val="tx1"/>
                  </w14:solidFill>
                </w14:textFill>
              </w:rPr>
              <w:t>4</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14:textFill>
                  <w14:solidFill>
                    <w14:schemeClr w14:val="tx1"/>
                  </w14:solidFill>
                </w14:textFill>
              </w:rPr>
              <w:t>度</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36</w:t>
            </w:r>
            <w:r>
              <w:rPr>
                <w:rFonts w:hint="default" w:ascii="Times New Roman" w:hAnsi="Times New Roman" w:eastAsia="宋体" w:cs="Times New Roman"/>
                <w:color w:val="000000" w:themeColor="text1"/>
                <w:sz w:val="24"/>
                <w:szCs w:val="24"/>
                <w:highlight w:val="none"/>
                <w14:textFill>
                  <w14:solidFill>
                    <w14:schemeClr w14:val="tx1"/>
                  </w14:solidFill>
                </w14:textFill>
              </w:rPr>
              <w:t>分</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13.870</w:t>
            </w:r>
            <w:r>
              <w:rPr>
                <w:rFonts w:hint="default" w:ascii="Times New Roman" w:hAnsi="Times New Roman" w:eastAsia="宋体" w:cs="Times New Roman"/>
                <w:color w:val="000000" w:themeColor="text1"/>
                <w:sz w:val="24"/>
                <w:szCs w:val="24"/>
                <w:highlight w:val="none"/>
                <w14:textFill>
                  <w14:solidFill>
                    <w14:schemeClr w14:val="tx1"/>
                  </w14:solidFill>
                </w14:textFill>
              </w:rPr>
              <w:t>秒）</w:t>
            </w:r>
          </w:p>
        </w:tc>
      </w:tr>
      <w:tr w14:paraId="4DB4F0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986" w:type="dxa"/>
            <w:noWrap w:val="0"/>
            <w:tcMar>
              <w:top w:w="16" w:type="dxa"/>
              <w:left w:w="16" w:type="dxa"/>
              <w:right w:w="16" w:type="dxa"/>
            </w:tcMar>
            <w:vAlign w:val="center"/>
          </w:tcPr>
          <w:p w14:paraId="008472D2">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国民经济</w:t>
            </w:r>
          </w:p>
          <w:p w14:paraId="13FEAAFE">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行业类别</w:t>
            </w:r>
          </w:p>
        </w:tc>
        <w:tc>
          <w:tcPr>
            <w:tcW w:w="2033" w:type="dxa"/>
            <w:noWrap w:val="0"/>
            <w:vAlign w:val="center"/>
          </w:tcPr>
          <w:p w14:paraId="5AF5ADEF">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D4430热力生产和供应</w:t>
            </w:r>
          </w:p>
        </w:tc>
        <w:tc>
          <w:tcPr>
            <w:tcW w:w="2212" w:type="dxa"/>
            <w:noWrap w:val="0"/>
            <w:vAlign w:val="center"/>
          </w:tcPr>
          <w:p w14:paraId="69337539">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bookmarkStart w:id="7" w:name="_Hlk49843745"/>
            <w:r>
              <w:rPr>
                <w:rFonts w:hint="default" w:ascii="Times New Roman" w:hAnsi="Times New Roman" w:eastAsia="宋体" w:cs="Times New Roman"/>
                <w:color w:val="000000" w:themeColor="text1"/>
                <w:sz w:val="24"/>
                <w:szCs w:val="24"/>
                <w:highlight w:val="none"/>
                <w14:textFill>
                  <w14:solidFill>
                    <w14:schemeClr w14:val="tx1"/>
                  </w14:solidFill>
                </w14:textFill>
              </w:rPr>
              <w:t>建设项目</w:t>
            </w:r>
          </w:p>
          <w:p w14:paraId="49DF0B80">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行业类别</w:t>
            </w:r>
            <w:bookmarkEnd w:id="7"/>
          </w:p>
        </w:tc>
        <w:tc>
          <w:tcPr>
            <w:tcW w:w="2639" w:type="dxa"/>
            <w:noWrap w:val="0"/>
            <w:vAlign w:val="center"/>
          </w:tcPr>
          <w:p w14:paraId="5B41AC23">
            <w:pPr>
              <w:adjustRightInd w:val="0"/>
              <w:snapToGrid w:val="0"/>
              <w:jc w:val="cente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cs="Times New Roman"/>
                <w:color w:val="000000" w:themeColor="text1"/>
                <w:kern w:val="0"/>
                <w:sz w:val="24"/>
                <w:szCs w:val="24"/>
                <w:highlight w:val="none"/>
                <w:lang w:bidi="ar"/>
                <w14:textFill>
                  <w14:solidFill>
                    <w14:schemeClr w14:val="tx1"/>
                  </w14:solidFill>
                </w14:textFill>
              </w:rPr>
              <w:t>四十一、电力、热力生产和供应业</w:t>
            </w:r>
            <w:r>
              <w:rPr>
                <w:rFonts w:hint="default" w:ascii="Times New Roman" w:hAnsi="Times New Roman" w:cs="Times New Roman"/>
                <w:color w:val="000000" w:themeColor="text1"/>
                <w:kern w:val="0"/>
                <w:sz w:val="24"/>
                <w:szCs w:val="24"/>
                <w:highlight w:val="none"/>
                <w:lang w:val="en-US" w:eastAsia="zh-CN" w:bidi="ar"/>
                <w14:textFill>
                  <w14:solidFill>
                    <w14:schemeClr w14:val="tx1"/>
                  </w14:solidFill>
                </w14:textFill>
              </w:rPr>
              <w:t>91.</w:t>
            </w:r>
            <w:r>
              <w:rPr>
                <w:rFonts w:hint="default" w:ascii="Times New Roman" w:hAnsi="Times New Roman" w:cs="Times New Roman"/>
                <w:color w:val="000000" w:themeColor="text1"/>
                <w:kern w:val="0"/>
                <w:sz w:val="24"/>
                <w:szCs w:val="24"/>
                <w:highlight w:val="none"/>
                <w:lang w:bidi="ar"/>
                <w14:textFill>
                  <w14:solidFill>
                    <w14:schemeClr w14:val="tx1"/>
                  </w14:solidFill>
                </w14:textFill>
              </w:rPr>
              <w:t>热力生产和供应工程（包括建设单位自建自用的供热工程）</w:t>
            </w:r>
          </w:p>
        </w:tc>
      </w:tr>
      <w:tr w14:paraId="7A5AF8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986" w:type="dxa"/>
            <w:noWrap w:val="0"/>
            <w:tcMar>
              <w:top w:w="16" w:type="dxa"/>
              <w:left w:w="16" w:type="dxa"/>
              <w:right w:w="16" w:type="dxa"/>
            </w:tcMar>
            <w:vAlign w:val="center"/>
          </w:tcPr>
          <w:p w14:paraId="0E769A61">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建设性质</w:t>
            </w:r>
          </w:p>
        </w:tc>
        <w:tc>
          <w:tcPr>
            <w:tcW w:w="2033" w:type="dxa"/>
            <w:noWrap w:val="0"/>
            <w:vAlign w:val="center"/>
          </w:tcPr>
          <w:p w14:paraId="04CE12F7">
            <w:pPr>
              <w:jc w:val="left"/>
              <w:rPr>
                <w:rFonts w:hint="default" w:ascii="Times New Roman" w:hAnsi="Times New Roman" w:eastAsia="宋体" w:cs="Times New Roman"/>
                <w:color w:val="FF0000"/>
                <w:sz w:val="24"/>
                <w:szCs w:val="24"/>
                <w:highlight w:val="none"/>
              </w:rPr>
            </w:pPr>
            <w:r>
              <w:rPr>
                <w:rFonts w:hint="default" w:ascii="Times New Roman" w:hAnsi="Times New Roman"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新建（迁建）</w:t>
            </w:r>
          </w:p>
          <w:p w14:paraId="72F9D757">
            <w:pPr>
              <w:jc w:val="left"/>
              <w:rPr>
                <w:rFonts w:hint="default" w:ascii="Times New Roman" w:hAnsi="Times New Roman" w:eastAsia="宋体" w:cs="Times New Roman"/>
                <w:color w:val="FF0000"/>
                <w:sz w:val="24"/>
                <w:szCs w:val="24"/>
                <w:highlight w:val="none"/>
              </w:rPr>
            </w:pPr>
            <w:r>
              <w:rPr>
                <w:rFonts w:hint="default" w:ascii="Times New Roman" w:hAnsi="Times New Roman"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改建</w:t>
            </w:r>
          </w:p>
          <w:p w14:paraId="049FD8BD">
            <w:pPr>
              <w:jc w:val="left"/>
              <w:rPr>
                <w:rFonts w:hint="default" w:ascii="Times New Roman" w:hAnsi="Times New Roman" w:eastAsia="宋体" w:cs="Times New Roman"/>
                <w:color w:val="FF0000"/>
                <w:sz w:val="24"/>
                <w:szCs w:val="24"/>
                <w:highlight w:val="none"/>
              </w:rPr>
            </w:pPr>
            <w:r>
              <w:rPr>
                <w:rFonts w:hint="default" w:ascii="Times New Roman" w:hAnsi="Times New Roman"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扩建</w:t>
            </w:r>
          </w:p>
          <w:p w14:paraId="694BB4CA">
            <w:pPr>
              <w:jc w:val="left"/>
              <w:rPr>
                <w:rFonts w:hint="default" w:ascii="Times New Roman" w:hAnsi="Times New Roman" w:eastAsia="宋体" w:cs="Times New Roman"/>
                <w:color w:val="FF0000"/>
                <w:sz w:val="24"/>
                <w:szCs w:val="24"/>
                <w:highlight w:val="none"/>
              </w:rPr>
            </w:pPr>
            <w:r>
              <w:rPr>
                <w:rFonts w:hint="default" w:ascii="Times New Roman" w:hAnsi="Times New Roman"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技术改造</w:t>
            </w:r>
          </w:p>
        </w:tc>
        <w:tc>
          <w:tcPr>
            <w:tcW w:w="2212" w:type="dxa"/>
            <w:noWrap w:val="0"/>
            <w:vAlign w:val="center"/>
          </w:tcPr>
          <w:p w14:paraId="7237243B">
            <w:pPr>
              <w:adjustRightInd w:val="0"/>
              <w:snapToGrid w:val="0"/>
              <w:jc w:val="center"/>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建设项目</w:t>
            </w:r>
          </w:p>
          <w:p w14:paraId="268F6AF8">
            <w:pPr>
              <w:adjustRightInd w:val="0"/>
              <w:snapToGrid w:val="0"/>
              <w:jc w:val="center"/>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申报情形</w:t>
            </w:r>
          </w:p>
        </w:tc>
        <w:tc>
          <w:tcPr>
            <w:tcW w:w="2639" w:type="dxa"/>
            <w:noWrap w:val="0"/>
            <w:vAlign w:val="center"/>
          </w:tcPr>
          <w:p w14:paraId="157B93D7">
            <w:pPr>
              <w:jc w:val="left"/>
              <w:rPr>
                <w:rFonts w:hint="default" w:ascii="Times New Roman" w:hAnsi="Times New Roman" w:eastAsia="宋体" w:cs="Times New Roman"/>
                <w:color w:val="FF0000"/>
                <w:sz w:val="24"/>
                <w:szCs w:val="24"/>
                <w:highlight w:val="none"/>
                <w:lang w:eastAsia="zh-CN"/>
              </w:rPr>
            </w:pPr>
            <w:r>
              <w:rPr>
                <w:rFonts w:hint="default" w:ascii="Times New Roman" w:hAnsi="Times New Roman"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首次申报项目</w:t>
            </w:r>
          </w:p>
          <w:p w14:paraId="582F68F9">
            <w:pPr>
              <w:jc w:val="left"/>
              <w:rPr>
                <w:rFonts w:hint="default" w:ascii="Times New Roman" w:hAnsi="Times New Roman" w:eastAsia="宋体" w:cs="Times New Roman"/>
                <w:color w:val="FF0000"/>
                <w:sz w:val="24"/>
                <w:szCs w:val="24"/>
                <w:highlight w:val="none"/>
              </w:rPr>
            </w:pPr>
            <w:r>
              <w:rPr>
                <w:rFonts w:hint="default" w:ascii="Times New Roman" w:hAnsi="Times New Roman"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不予批准后再次申报项目</w:t>
            </w:r>
          </w:p>
          <w:p w14:paraId="5D885F35">
            <w:pPr>
              <w:jc w:val="left"/>
              <w:rPr>
                <w:rFonts w:hint="default" w:ascii="Times New Roman" w:hAnsi="Times New Roman" w:eastAsia="宋体" w:cs="Times New Roman"/>
                <w:color w:val="FF0000"/>
                <w:sz w:val="24"/>
                <w:szCs w:val="24"/>
                <w:highlight w:val="none"/>
                <w:lang w:eastAsia="zh-CN"/>
              </w:rPr>
            </w:pPr>
            <w:r>
              <w:rPr>
                <w:rFonts w:hint="default" w:ascii="Times New Roman" w:hAnsi="Times New Roman"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超五年重新审核项目</w:t>
            </w:r>
          </w:p>
          <w:p w14:paraId="279C13CC">
            <w:pPr>
              <w:jc w:val="left"/>
              <w:rPr>
                <w:rFonts w:hint="default" w:ascii="Times New Roman" w:hAnsi="Times New Roman" w:eastAsia="宋体" w:cs="Times New Roman"/>
                <w:color w:val="FF0000"/>
                <w:sz w:val="24"/>
                <w:szCs w:val="24"/>
                <w:highlight w:val="none"/>
              </w:rPr>
            </w:pPr>
            <w:r>
              <w:rPr>
                <w:rFonts w:hint="default" w:ascii="Times New Roman" w:hAnsi="Times New Roman"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重大变动重新报批项目</w:t>
            </w:r>
          </w:p>
        </w:tc>
      </w:tr>
      <w:tr w14:paraId="756510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986" w:type="dxa"/>
            <w:noWrap w:val="0"/>
            <w:tcMar>
              <w:top w:w="16" w:type="dxa"/>
              <w:left w:w="16" w:type="dxa"/>
              <w:right w:w="16" w:type="dxa"/>
            </w:tcMar>
            <w:vAlign w:val="center"/>
          </w:tcPr>
          <w:p w14:paraId="09139970">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项目审批（核准/</w:t>
            </w:r>
          </w:p>
          <w:p w14:paraId="6AC43779">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备案）部门（选填）</w:t>
            </w:r>
          </w:p>
        </w:tc>
        <w:tc>
          <w:tcPr>
            <w:tcW w:w="2033" w:type="dxa"/>
            <w:noWrap w:val="0"/>
            <w:vAlign w:val="center"/>
          </w:tcPr>
          <w:p w14:paraId="1AA710D5">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无</w:t>
            </w:r>
          </w:p>
        </w:tc>
        <w:tc>
          <w:tcPr>
            <w:tcW w:w="2212" w:type="dxa"/>
            <w:noWrap w:val="0"/>
            <w:vAlign w:val="center"/>
          </w:tcPr>
          <w:p w14:paraId="16E9FF0E">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项目审批（核准/</w:t>
            </w:r>
          </w:p>
          <w:p w14:paraId="443A63F8">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备案）文号（选填）</w:t>
            </w:r>
          </w:p>
        </w:tc>
        <w:tc>
          <w:tcPr>
            <w:tcW w:w="2639" w:type="dxa"/>
            <w:noWrap w:val="0"/>
            <w:vAlign w:val="center"/>
          </w:tcPr>
          <w:p w14:paraId="64C01138">
            <w:pPr>
              <w:adjustRightInd w:val="0"/>
              <w:snapToGrid w:val="0"/>
              <w:jc w:val="center"/>
              <w:rPr>
                <w:rFonts w:hint="default" w:ascii="Times New Roman" w:hAnsi="Times New Roman" w:eastAsia="宋体" w:cs="Times New Roman"/>
                <w:color w:val="000000" w:themeColor="text1"/>
                <w:sz w:val="24"/>
                <w:szCs w:val="24"/>
                <w:highlight w:val="none"/>
                <w:lang w:val="en-US"/>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无</w:t>
            </w:r>
          </w:p>
        </w:tc>
      </w:tr>
      <w:tr w14:paraId="26F38F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986" w:type="dxa"/>
            <w:noWrap w:val="0"/>
            <w:tcMar>
              <w:top w:w="16" w:type="dxa"/>
              <w:left w:w="16" w:type="dxa"/>
              <w:right w:w="16" w:type="dxa"/>
            </w:tcMar>
            <w:vAlign w:val="center"/>
          </w:tcPr>
          <w:p w14:paraId="746FDAF9">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总投资（万元）</w:t>
            </w:r>
          </w:p>
        </w:tc>
        <w:tc>
          <w:tcPr>
            <w:tcW w:w="2033" w:type="dxa"/>
            <w:noWrap w:val="0"/>
            <w:vAlign w:val="center"/>
          </w:tcPr>
          <w:p w14:paraId="4794560A">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30</w:t>
            </w:r>
          </w:p>
        </w:tc>
        <w:tc>
          <w:tcPr>
            <w:tcW w:w="2212" w:type="dxa"/>
            <w:noWrap w:val="0"/>
            <w:tcMar>
              <w:top w:w="16" w:type="dxa"/>
              <w:left w:w="16" w:type="dxa"/>
              <w:right w:w="16" w:type="dxa"/>
            </w:tcMar>
            <w:vAlign w:val="center"/>
          </w:tcPr>
          <w:p w14:paraId="2C5B5D38">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环保投资（万元）</w:t>
            </w:r>
          </w:p>
        </w:tc>
        <w:tc>
          <w:tcPr>
            <w:tcW w:w="2639" w:type="dxa"/>
            <w:noWrap w:val="0"/>
            <w:vAlign w:val="center"/>
          </w:tcPr>
          <w:p w14:paraId="63957FD9">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14</w:t>
            </w:r>
          </w:p>
        </w:tc>
      </w:tr>
      <w:tr w14:paraId="133841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986" w:type="dxa"/>
            <w:noWrap w:val="0"/>
            <w:tcMar>
              <w:top w:w="16" w:type="dxa"/>
              <w:left w:w="16" w:type="dxa"/>
              <w:right w:w="16" w:type="dxa"/>
            </w:tcMar>
            <w:vAlign w:val="center"/>
          </w:tcPr>
          <w:p w14:paraId="454B0B30">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环保投资占比（%）</w:t>
            </w:r>
          </w:p>
        </w:tc>
        <w:tc>
          <w:tcPr>
            <w:tcW w:w="2033" w:type="dxa"/>
            <w:noWrap w:val="0"/>
            <w:vAlign w:val="center"/>
          </w:tcPr>
          <w:p w14:paraId="2A3868B5">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46.67</w:t>
            </w:r>
          </w:p>
        </w:tc>
        <w:tc>
          <w:tcPr>
            <w:tcW w:w="2212" w:type="dxa"/>
            <w:noWrap w:val="0"/>
            <w:tcMar>
              <w:top w:w="16" w:type="dxa"/>
              <w:left w:w="16" w:type="dxa"/>
              <w:right w:w="16" w:type="dxa"/>
            </w:tcMar>
            <w:vAlign w:val="center"/>
          </w:tcPr>
          <w:p w14:paraId="7FF4530E">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施工工期</w:t>
            </w:r>
          </w:p>
        </w:tc>
        <w:tc>
          <w:tcPr>
            <w:tcW w:w="2639" w:type="dxa"/>
            <w:noWrap w:val="0"/>
            <w:vAlign w:val="center"/>
          </w:tcPr>
          <w:p w14:paraId="1877130A">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2个月</w:t>
            </w:r>
          </w:p>
        </w:tc>
      </w:tr>
      <w:tr w14:paraId="5A5BAE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986" w:type="dxa"/>
            <w:noWrap w:val="0"/>
            <w:tcMar>
              <w:top w:w="16" w:type="dxa"/>
              <w:left w:w="16" w:type="dxa"/>
              <w:right w:w="16" w:type="dxa"/>
            </w:tcMar>
            <w:vAlign w:val="center"/>
          </w:tcPr>
          <w:p w14:paraId="51A452D0">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是否开工建设</w:t>
            </w:r>
          </w:p>
        </w:tc>
        <w:tc>
          <w:tcPr>
            <w:tcW w:w="2033" w:type="dxa"/>
            <w:noWrap w:val="0"/>
            <w:vAlign w:val="center"/>
          </w:tcPr>
          <w:p w14:paraId="2EA71499">
            <w:pPr>
              <w:adjustRightInd w:val="0"/>
              <w:snapToGrid w:val="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否</w:t>
            </w:r>
          </w:p>
          <w:p w14:paraId="010E1B13">
            <w:pPr>
              <w:adjustRightInd w:val="0"/>
              <w:snapToGrid w:val="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是：</w:t>
            </w:r>
          </w:p>
        </w:tc>
        <w:tc>
          <w:tcPr>
            <w:tcW w:w="2212" w:type="dxa"/>
            <w:noWrap w:val="0"/>
            <w:tcMar>
              <w:top w:w="16" w:type="dxa"/>
              <w:left w:w="16" w:type="dxa"/>
              <w:right w:w="16" w:type="dxa"/>
            </w:tcMar>
            <w:vAlign w:val="center"/>
          </w:tcPr>
          <w:p w14:paraId="1803B5A4">
            <w:pPr>
              <w:adjustRightInd w:val="0"/>
              <w:snapToGrid w:val="0"/>
              <w:jc w:val="cente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用地（用海）</w:t>
            </w:r>
          </w:p>
          <w:p w14:paraId="56819C56">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面积（m</w:t>
            </w:r>
            <w:r>
              <w:rPr>
                <w:rFonts w:hint="default" w:ascii="Times New Roman" w:hAnsi="Times New Roman" w:eastAsia="宋体" w:cs="Times New Roman"/>
                <w:color w:val="000000" w:themeColor="text1"/>
                <w:spacing w:val="-6"/>
                <w:sz w:val="24"/>
                <w:szCs w:val="24"/>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w:t>
            </w:r>
          </w:p>
        </w:tc>
        <w:tc>
          <w:tcPr>
            <w:tcW w:w="2639" w:type="dxa"/>
            <w:noWrap w:val="0"/>
            <w:vAlign w:val="center"/>
          </w:tcPr>
          <w:p w14:paraId="249934E9">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p>
        </w:tc>
      </w:tr>
      <w:tr w14:paraId="38406A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6" w:type="dxa"/>
            <w:noWrap w:val="0"/>
            <w:vAlign w:val="center"/>
          </w:tcPr>
          <w:p w14:paraId="3E161AA0">
            <w:pPr>
              <w:autoSpaceDE w:val="0"/>
              <w:autoSpaceDN w:val="0"/>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专项评价设置情况</w:t>
            </w:r>
          </w:p>
        </w:tc>
        <w:tc>
          <w:tcPr>
            <w:tcW w:w="6884" w:type="dxa"/>
            <w:gridSpan w:val="3"/>
            <w:noWrap w:val="0"/>
            <w:vAlign w:val="center"/>
          </w:tcPr>
          <w:p w14:paraId="45094DE1">
            <w:pPr>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b/>
                <w:bCs/>
                <w:i w:val="0"/>
                <w:i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4"/>
                <w:szCs w:val="24"/>
                <w:highlight w:val="none"/>
                <w:lang w:val="en-US" w:eastAsia="zh-CN"/>
                <w14:textFill>
                  <w14:solidFill>
                    <w14:schemeClr w14:val="tx1"/>
                  </w14:solidFill>
                </w14:textFill>
              </w:rPr>
              <w:t>表1-1 专项设置</w:t>
            </w:r>
          </w:p>
          <w:tbl>
            <w:tblPr>
              <w:tblStyle w:val="13"/>
              <w:tblW w:w="4997"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32"/>
              <w:gridCol w:w="3007"/>
              <w:gridCol w:w="2725"/>
            </w:tblGrid>
            <w:tr w14:paraId="504A0FB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78" w:type="dxa"/>
                  <w:tcBorders>
                    <w:tl2br w:val="nil"/>
                    <w:tr2bl w:val="nil"/>
                  </w:tcBorders>
                  <w:noWrap w:val="0"/>
                  <w:vAlign w:val="center"/>
                </w:tcPr>
                <w:p w14:paraId="4B1F3A4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专项评价的类别</w:t>
                  </w:r>
                </w:p>
              </w:tc>
              <w:tc>
                <w:tcPr>
                  <w:tcW w:w="2828" w:type="dxa"/>
                  <w:tcBorders>
                    <w:tl2br w:val="nil"/>
                    <w:tr2bl w:val="nil"/>
                  </w:tcBorders>
                  <w:noWrap w:val="0"/>
                  <w:vAlign w:val="center"/>
                </w:tcPr>
                <w:p w14:paraId="4A55B07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设置原则</w:t>
                  </w:r>
                </w:p>
              </w:tc>
              <w:tc>
                <w:tcPr>
                  <w:tcW w:w="2563" w:type="dxa"/>
                  <w:tcBorders>
                    <w:tl2br w:val="nil"/>
                    <w:tr2bl w:val="nil"/>
                  </w:tcBorders>
                  <w:noWrap w:val="0"/>
                  <w:vAlign w:val="center"/>
                </w:tcPr>
                <w:p w14:paraId="48C0D9A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是否设置</w:t>
                  </w:r>
                </w:p>
              </w:tc>
            </w:tr>
            <w:tr w14:paraId="4A58FAC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78" w:type="dxa"/>
                  <w:tcBorders>
                    <w:tl2br w:val="nil"/>
                    <w:tr2bl w:val="nil"/>
                  </w:tcBorders>
                  <w:noWrap w:val="0"/>
                  <w:vAlign w:val="center"/>
                </w:tcPr>
                <w:p w14:paraId="08B0B18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大气</w:t>
                  </w:r>
                </w:p>
              </w:tc>
              <w:tc>
                <w:tcPr>
                  <w:tcW w:w="2828" w:type="dxa"/>
                  <w:tcBorders>
                    <w:tl2br w:val="nil"/>
                    <w:tr2bl w:val="nil"/>
                  </w:tcBorders>
                  <w:noWrap w:val="0"/>
                  <w:vAlign w:val="center"/>
                </w:tcPr>
                <w:p w14:paraId="2B412ED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排放废气含有毒有害污染物、二噁英、苯并[</w:t>
                  </w:r>
                  <w:r>
                    <w:rPr>
                      <w:rFonts w:hint="default" w:ascii="Times New Roman" w:hAnsi="Times New Roman" w:eastAsia="宋体" w:cs="Times New Roman"/>
                      <w:i/>
                      <w:iCs/>
                      <w:color w:val="000000" w:themeColor="text1"/>
                      <w:spacing w:val="0"/>
                      <w:kern w:val="21"/>
                      <w:sz w:val="21"/>
                      <w:szCs w:val="21"/>
                      <w:highlight w:val="none"/>
                      <w14:textFill>
                        <w14:solidFill>
                          <w14:schemeClr w14:val="tx1"/>
                        </w14:solidFill>
                      </w14:textFill>
                    </w:rPr>
                    <w:t>a</w:t>
                  </w: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]芘、氰化物、氯气且厂界外500米范围内有环境空气保护目标的建设项目</w:t>
                  </w:r>
                </w:p>
              </w:tc>
              <w:tc>
                <w:tcPr>
                  <w:tcW w:w="2563" w:type="dxa"/>
                  <w:tcBorders>
                    <w:tl2br w:val="nil"/>
                    <w:tr2bl w:val="nil"/>
                  </w:tcBorders>
                  <w:noWrap w:val="0"/>
                  <w:vAlign w:val="center"/>
                </w:tcPr>
                <w:p w14:paraId="7AEEBA2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根据《直接法测定固体生物质燃料中汞的试验研究》</w:t>
                  </w:r>
                  <w:r>
                    <w:rPr>
                      <w:rFonts w:hint="eastAsia" w:eastAsia="宋体" w:cs="Times New Roman"/>
                      <w:color w:val="000000" w:themeColor="text1"/>
                      <w:spacing w:val="0"/>
                      <w:kern w:val="2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煤质技术，2020年</w:t>
                  </w:r>
                  <w:r>
                    <w:rPr>
                      <w:rFonts w:hint="eastAsia" w:eastAsia="宋体" w:cs="Times New Roman"/>
                      <w:color w:val="000000" w:themeColor="text1"/>
                      <w:spacing w:val="0"/>
                      <w:kern w:val="2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可知，生物质汞含量为15.47ng/g，由于生物质汞含量极低的特点，本项目不考虑汞的排放。</w:t>
                  </w:r>
                </w:p>
                <w:p w14:paraId="3A014F4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lang w:val="en-US" w:eastAsia="zh-CN" w:bidi="ar-SA"/>
                      <w14:textFill>
                        <w14:solidFill>
                          <w14:schemeClr w14:val="tx1"/>
                        </w14:solidFill>
                      </w14:textFill>
                    </w:rPr>
                    <w:t>由此，本项目不设置大气专题评价</w:t>
                  </w:r>
                </w:p>
              </w:tc>
            </w:tr>
            <w:tr w14:paraId="3C31B93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78" w:type="dxa"/>
                  <w:tcBorders>
                    <w:tl2br w:val="nil"/>
                    <w:tr2bl w:val="nil"/>
                  </w:tcBorders>
                  <w:noWrap w:val="0"/>
                  <w:vAlign w:val="center"/>
                </w:tcPr>
                <w:p w14:paraId="15B7410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地表水</w:t>
                  </w:r>
                </w:p>
              </w:tc>
              <w:tc>
                <w:tcPr>
                  <w:tcW w:w="2828" w:type="dxa"/>
                  <w:tcBorders>
                    <w:tl2br w:val="nil"/>
                    <w:tr2bl w:val="nil"/>
                  </w:tcBorders>
                  <w:noWrap w:val="0"/>
                  <w:vAlign w:val="center"/>
                </w:tcPr>
                <w:p w14:paraId="59E5233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新增工业废水直排建设项目（槽罐车外送污水处理厂的除外）；新增废水直排的污水集中处理厂</w:t>
                  </w:r>
                </w:p>
              </w:tc>
              <w:tc>
                <w:tcPr>
                  <w:tcW w:w="2563" w:type="dxa"/>
                  <w:tcBorders>
                    <w:tl2br w:val="nil"/>
                    <w:tr2bl w:val="nil"/>
                  </w:tcBorders>
                  <w:noWrap w:val="0"/>
                  <w:vAlign w:val="center"/>
                </w:tcPr>
                <w:p w14:paraId="239CAD3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不设置</w:t>
                  </w:r>
                  <w:r>
                    <w:rPr>
                      <w:rFonts w:hint="default" w:ascii="Times New Roman" w:hAnsi="Times New Roman" w:eastAsia="宋体" w:cs="Times New Roman"/>
                      <w:color w:val="000000" w:themeColor="text1"/>
                      <w:spacing w:val="0"/>
                      <w:kern w:val="2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0"/>
                      <w:kern w:val="21"/>
                      <w:sz w:val="21"/>
                      <w:szCs w:val="21"/>
                      <w:highlight w:val="none"/>
                      <w:lang w:val="en-US" w:eastAsia="zh-CN"/>
                      <w14:textFill>
                        <w14:solidFill>
                          <w14:schemeClr w14:val="tx1"/>
                        </w14:solidFill>
                      </w14:textFill>
                    </w:rPr>
                    <w:t>项目不</w:t>
                  </w: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新增工业废水直排</w:t>
                  </w:r>
                </w:p>
              </w:tc>
            </w:tr>
            <w:tr w14:paraId="3130B4B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78" w:type="dxa"/>
                  <w:tcBorders>
                    <w:tl2br w:val="nil"/>
                    <w:tr2bl w:val="nil"/>
                  </w:tcBorders>
                  <w:noWrap w:val="0"/>
                  <w:vAlign w:val="center"/>
                </w:tcPr>
                <w:p w14:paraId="3C1BAF0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环境风险</w:t>
                  </w:r>
                </w:p>
              </w:tc>
              <w:tc>
                <w:tcPr>
                  <w:tcW w:w="2828" w:type="dxa"/>
                  <w:tcBorders>
                    <w:tl2br w:val="nil"/>
                    <w:tr2bl w:val="nil"/>
                  </w:tcBorders>
                  <w:noWrap w:val="0"/>
                  <w:vAlign w:val="center"/>
                </w:tcPr>
                <w:p w14:paraId="4B22BA1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有毒有害和易燃易爆危险物质存储量超过临界量的建设项目</w:t>
                  </w:r>
                </w:p>
              </w:tc>
              <w:tc>
                <w:tcPr>
                  <w:tcW w:w="2563" w:type="dxa"/>
                  <w:tcBorders>
                    <w:tl2br w:val="nil"/>
                    <w:tr2bl w:val="nil"/>
                  </w:tcBorders>
                  <w:noWrap w:val="0"/>
                  <w:vAlign w:val="center"/>
                </w:tcPr>
                <w:p w14:paraId="70DB55B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不设置</w:t>
                  </w:r>
                  <w:r>
                    <w:rPr>
                      <w:rFonts w:hint="default" w:ascii="Times New Roman" w:hAnsi="Times New Roman" w:eastAsia="宋体" w:cs="Times New Roman"/>
                      <w:color w:val="000000" w:themeColor="text1"/>
                      <w:spacing w:val="0"/>
                      <w:kern w:val="2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项</w:t>
                  </w:r>
                  <w:r>
                    <w:rPr>
                      <w:rFonts w:hint="default" w:ascii="Times New Roman" w:hAnsi="Times New Roman" w:eastAsia="宋体" w:cs="Times New Roman"/>
                      <w:color w:val="000000" w:themeColor="text1"/>
                      <w:spacing w:val="0"/>
                      <w:kern w:val="21"/>
                      <w:sz w:val="21"/>
                      <w:szCs w:val="21"/>
                      <w:highlight w:val="none"/>
                      <w:lang w:val="en-US" w:eastAsia="zh-CN"/>
                      <w14:textFill>
                        <w14:solidFill>
                          <w14:schemeClr w14:val="tx1"/>
                        </w14:solidFill>
                      </w14:textFill>
                    </w:rPr>
                    <w:t>目不存储</w:t>
                  </w: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有毒有害和易燃易爆危险物质</w:t>
                  </w:r>
                </w:p>
              </w:tc>
            </w:tr>
            <w:tr w14:paraId="4437BBB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78" w:type="dxa"/>
                  <w:tcBorders>
                    <w:tl2br w:val="nil"/>
                    <w:tr2bl w:val="nil"/>
                  </w:tcBorders>
                  <w:noWrap w:val="0"/>
                  <w:vAlign w:val="center"/>
                </w:tcPr>
                <w:p w14:paraId="216B5E4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生态</w:t>
                  </w:r>
                </w:p>
              </w:tc>
              <w:tc>
                <w:tcPr>
                  <w:tcW w:w="2828" w:type="dxa"/>
                  <w:tcBorders>
                    <w:tl2br w:val="nil"/>
                    <w:tr2bl w:val="nil"/>
                  </w:tcBorders>
                  <w:noWrap w:val="0"/>
                  <w:vAlign w:val="center"/>
                </w:tcPr>
                <w:p w14:paraId="66872AC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取水口下游500米范围内有重要水生生物的自然产卵场、索饵场、越冬场和洄游通道的新增河道取水的污染类建设项目</w:t>
                  </w:r>
                </w:p>
              </w:tc>
              <w:tc>
                <w:tcPr>
                  <w:tcW w:w="2563" w:type="dxa"/>
                  <w:tcBorders>
                    <w:tl2br w:val="nil"/>
                    <w:tr2bl w:val="nil"/>
                  </w:tcBorders>
                  <w:noWrap w:val="0"/>
                  <w:vAlign w:val="center"/>
                </w:tcPr>
                <w:p w14:paraId="0E44896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lang w:eastAsia="zh-CN"/>
                      <w14:textFill>
                        <w14:solidFill>
                          <w14:schemeClr w14:val="tx1"/>
                        </w14:solidFill>
                      </w14:textFill>
                    </w:rPr>
                    <w:t>不设置</w:t>
                  </w:r>
                </w:p>
              </w:tc>
            </w:tr>
            <w:tr w14:paraId="1D8661F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78" w:type="dxa"/>
                  <w:tcBorders>
                    <w:tl2br w:val="nil"/>
                    <w:tr2bl w:val="nil"/>
                  </w:tcBorders>
                  <w:noWrap w:val="0"/>
                  <w:vAlign w:val="center"/>
                </w:tcPr>
                <w:p w14:paraId="208CA9F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海洋</w:t>
                  </w:r>
                </w:p>
              </w:tc>
              <w:tc>
                <w:tcPr>
                  <w:tcW w:w="2828" w:type="dxa"/>
                  <w:tcBorders>
                    <w:tl2br w:val="nil"/>
                    <w:tr2bl w:val="nil"/>
                  </w:tcBorders>
                  <w:noWrap w:val="0"/>
                  <w:vAlign w:val="center"/>
                </w:tcPr>
                <w:p w14:paraId="787DB40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直接向海排放污染物的海洋工程建设项目</w:t>
                  </w:r>
                </w:p>
              </w:tc>
              <w:tc>
                <w:tcPr>
                  <w:tcW w:w="2563" w:type="dxa"/>
                  <w:tcBorders>
                    <w:tl2br w:val="nil"/>
                    <w:tr2bl w:val="nil"/>
                  </w:tcBorders>
                  <w:noWrap w:val="0"/>
                  <w:vAlign w:val="center"/>
                </w:tcPr>
                <w:p w14:paraId="46495F8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lang w:eastAsia="zh-CN"/>
                      <w14:textFill>
                        <w14:solidFill>
                          <w14:schemeClr w14:val="tx1"/>
                        </w14:solidFill>
                      </w14:textFill>
                    </w:rPr>
                    <w:t>不设置</w:t>
                  </w:r>
                </w:p>
              </w:tc>
            </w:tr>
            <w:tr w14:paraId="448C654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78" w:type="dxa"/>
                  <w:tcBorders>
                    <w:tl2br w:val="nil"/>
                    <w:tr2bl w:val="nil"/>
                  </w:tcBorders>
                  <w:noWrap w:val="0"/>
                  <w:vAlign w:val="center"/>
                </w:tcPr>
                <w:p w14:paraId="6B119C5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lang w:eastAsia="zh-CN"/>
                      <w14:textFill>
                        <w14:solidFill>
                          <w14:schemeClr w14:val="tx1"/>
                        </w14:solidFill>
                      </w14:textFill>
                    </w:rPr>
                    <w:t>地下水</w:t>
                  </w:r>
                </w:p>
              </w:tc>
              <w:tc>
                <w:tcPr>
                  <w:tcW w:w="2828" w:type="dxa"/>
                  <w:tcBorders>
                    <w:tl2br w:val="nil"/>
                    <w:tr2bl w:val="nil"/>
                  </w:tcBorders>
                  <w:noWrap w:val="0"/>
                  <w:vAlign w:val="center"/>
                </w:tcPr>
                <w:p w14:paraId="5D59C5C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lang w:eastAsia="zh-CN"/>
                      <w14:textFill>
                        <w14:solidFill>
                          <w14:schemeClr w14:val="tx1"/>
                        </w14:solidFill>
                      </w14:textFill>
                    </w:rPr>
                    <w:t>地下水原则上不开展专项评价，涉及集中式饮用水水源和热水、矿泉水、温泉等特殊地下水资源保护区的开展地下水专项评价工作</w:t>
                  </w:r>
                </w:p>
              </w:tc>
              <w:tc>
                <w:tcPr>
                  <w:tcW w:w="2563" w:type="dxa"/>
                  <w:tcBorders>
                    <w:tl2br w:val="nil"/>
                    <w:tr2bl w:val="nil"/>
                  </w:tcBorders>
                  <w:noWrap w:val="0"/>
                  <w:vAlign w:val="center"/>
                </w:tcPr>
                <w:p w14:paraId="26DDC23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lang w:eastAsia="zh-CN"/>
                      <w14:textFill>
                        <w14:solidFill>
                          <w14:schemeClr w14:val="tx1"/>
                        </w14:solidFill>
                      </w14:textFill>
                    </w:rPr>
                    <w:t>不设置</w:t>
                  </w:r>
                  <w:r>
                    <w:rPr>
                      <w:rFonts w:hint="default" w:ascii="Times New Roman" w:hAnsi="Times New Roman" w:cs="Times New Roman"/>
                      <w:color w:val="000000" w:themeColor="text1"/>
                      <w:spacing w:val="0"/>
                      <w:kern w:val="2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pacing w:val="0"/>
                      <w:kern w:val="21"/>
                      <w:sz w:val="21"/>
                      <w:szCs w:val="21"/>
                      <w:highlight w:val="none"/>
                      <w:lang w:val="en-US" w:eastAsia="zh-CN"/>
                      <w14:textFill>
                        <w14:solidFill>
                          <w14:schemeClr w14:val="tx1"/>
                        </w14:solidFill>
                      </w14:textFill>
                    </w:rPr>
                    <w:t>本项目不涉及集中式饮用水水源和热水、矿泉水、温泉等</w:t>
                  </w:r>
                </w:p>
              </w:tc>
            </w:tr>
            <w:tr w14:paraId="5CA589F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78" w:type="dxa"/>
                  <w:tcBorders>
                    <w:tl2br w:val="nil"/>
                    <w:tr2bl w:val="nil"/>
                  </w:tcBorders>
                  <w:noWrap w:val="0"/>
                  <w:vAlign w:val="center"/>
                </w:tcPr>
                <w:p w14:paraId="0C66434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lang w:eastAsia="zh-CN"/>
                      <w14:textFill>
                        <w14:solidFill>
                          <w14:schemeClr w14:val="tx1"/>
                        </w14:solidFill>
                      </w14:textFill>
                    </w:rPr>
                    <w:t>土壤</w:t>
                  </w:r>
                </w:p>
              </w:tc>
              <w:tc>
                <w:tcPr>
                  <w:tcW w:w="2828" w:type="dxa"/>
                  <w:vMerge w:val="restart"/>
                  <w:tcBorders>
                    <w:tl2br w:val="nil"/>
                    <w:tr2bl w:val="nil"/>
                  </w:tcBorders>
                  <w:noWrap w:val="0"/>
                  <w:vAlign w:val="center"/>
                </w:tcPr>
                <w:p w14:paraId="048D8D5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t>土壤、声环境不开展专项评价</w:t>
                  </w:r>
                </w:p>
              </w:tc>
              <w:tc>
                <w:tcPr>
                  <w:tcW w:w="2563" w:type="dxa"/>
                  <w:tcBorders>
                    <w:tl2br w:val="nil"/>
                    <w:tr2bl w:val="nil"/>
                  </w:tcBorders>
                  <w:noWrap w:val="0"/>
                  <w:vAlign w:val="center"/>
                </w:tcPr>
                <w:p w14:paraId="545929B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lang w:eastAsia="zh-CN"/>
                      <w14:textFill>
                        <w14:solidFill>
                          <w14:schemeClr w14:val="tx1"/>
                        </w14:solidFill>
                      </w14:textFill>
                    </w:rPr>
                    <w:t>不设置</w:t>
                  </w:r>
                </w:p>
              </w:tc>
            </w:tr>
            <w:tr w14:paraId="52596F0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78" w:type="dxa"/>
                  <w:tcBorders>
                    <w:tl2br w:val="nil"/>
                    <w:tr2bl w:val="nil"/>
                  </w:tcBorders>
                  <w:noWrap w:val="0"/>
                  <w:vAlign w:val="center"/>
                </w:tcPr>
                <w:p w14:paraId="78FC853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lang w:eastAsia="zh-CN"/>
                      <w14:textFill>
                        <w14:solidFill>
                          <w14:schemeClr w14:val="tx1"/>
                        </w14:solidFill>
                      </w14:textFill>
                    </w:rPr>
                    <w:t>声环境</w:t>
                  </w:r>
                </w:p>
              </w:tc>
              <w:tc>
                <w:tcPr>
                  <w:tcW w:w="2828" w:type="dxa"/>
                  <w:vMerge w:val="continue"/>
                  <w:tcBorders>
                    <w:tl2br w:val="nil"/>
                    <w:tr2bl w:val="nil"/>
                  </w:tcBorders>
                  <w:noWrap w:val="0"/>
                  <w:vAlign w:val="center"/>
                </w:tcPr>
                <w:p w14:paraId="0DC6EF7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14:textFill>
                        <w14:solidFill>
                          <w14:schemeClr w14:val="tx1"/>
                        </w14:solidFill>
                      </w14:textFill>
                    </w:rPr>
                  </w:pPr>
                </w:p>
              </w:tc>
              <w:tc>
                <w:tcPr>
                  <w:tcW w:w="2563" w:type="dxa"/>
                  <w:tcBorders>
                    <w:tl2br w:val="nil"/>
                    <w:tr2bl w:val="nil"/>
                  </w:tcBorders>
                  <w:noWrap w:val="0"/>
                  <w:vAlign w:val="center"/>
                </w:tcPr>
                <w:p w14:paraId="288236E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kern w:val="2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kern w:val="21"/>
                      <w:sz w:val="21"/>
                      <w:szCs w:val="21"/>
                      <w:highlight w:val="none"/>
                      <w:lang w:eastAsia="zh-CN"/>
                      <w14:textFill>
                        <w14:solidFill>
                          <w14:schemeClr w14:val="tx1"/>
                        </w14:solidFill>
                      </w14:textFill>
                    </w:rPr>
                    <w:t>不设置</w:t>
                  </w:r>
                </w:p>
              </w:tc>
            </w:tr>
          </w:tbl>
          <w:p w14:paraId="74E6E0C4">
            <w:pPr>
              <w:autoSpaceDE w:val="0"/>
              <w:autoSpaceDN w:val="0"/>
              <w:adjustRightInd w:val="0"/>
              <w:snapToGrid w:val="0"/>
              <w:jc w:val="cente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p>
        </w:tc>
      </w:tr>
      <w:tr w14:paraId="5DF85C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6" w:type="dxa"/>
            <w:noWrap w:val="0"/>
            <w:vAlign w:val="center"/>
          </w:tcPr>
          <w:p w14:paraId="03CA5D9F">
            <w:pPr>
              <w:autoSpaceDE w:val="0"/>
              <w:autoSpaceDN w:val="0"/>
              <w:adjustRightInd w:val="0"/>
              <w:snapToGrid w:val="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规划情况</w:t>
            </w:r>
          </w:p>
        </w:tc>
        <w:tc>
          <w:tcPr>
            <w:tcW w:w="6884" w:type="dxa"/>
            <w:gridSpan w:val="3"/>
            <w:noWrap w:val="0"/>
            <w:vAlign w:val="center"/>
          </w:tcPr>
          <w:p w14:paraId="3AFD8077">
            <w:pPr>
              <w:pStyle w:val="29"/>
              <w:keepNext w:val="0"/>
              <w:keepLines w:val="0"/>
              <w:pageBreakBefore w:val="0"/>
              <w:widowControl w:val="0"/>
              <w:kinsoku/>
              <w:wordWrap/>
              <w:overflowPunct/>
              <w:topLinePunct w:val="0"/>
              <w:autoSpaceDE w:val="0"/>
              <w:autoSpaceDN w:val="0"/>
              <w:bidi w:val="0"/>
              <w:adjustRightInd w:val="0"/>
              <w:spacing w:line="360" w:lineRule="auto"/>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w:t>
            </w:r>
          </w:p>
        </w:tc>
      </w:tr>
      <w:tr w14:paraId="4D43D4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6" w:type="dxa"/>
            <w:noWrap w:val="0"/>
            <w:vAlign w:val="center"/>
          </w:tcPr>
          <w:p w14:paraId="42102A29">
            <w:pPr>
              <w:adjustRightInd w:val="0"/>
              <w:snapToGrid w:val="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规划环境影响</w:t>
            </w:r>
          </w:p>
          <w:p w14:paraId="283279EC">
            <w:pPr>
              <w:adjustRightInd w:val="0"/>
              <w:snapToGrid w:val="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评价情况</w:t>
            </w:r>
          </w:p>
        </w:tc>
        <w:tc>
          <w:tcPr>
            <w:tcW w:w="6884" w:type="dxa"/>
            <w:gridSpan w:val="3"/>
            <w:noWrap w:val="0"/>
            <w:vAlign w:val="center"/>
          </w:tcPr>
          <w:p w14:paraId="45C3175F">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w:t>
            </w:r>
          </w:p>
        </w:tc>
      </w:tr>
      <w:tr w14:paraId="110EAF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6" w:type="dxa"/>
            <w:noWrap w:val="0"/>
            <w:vAlign w:val="center"/>
          </w:tcPr>
          <w:p w14:paraId="7C13CB8A">
            <w:pPr>
              <w:autoSpaceDE w:val="0"/>
              <w:autoSpaceDN w:val="0"/>
              <w:adjustRightInd w:val="0"/>
              <w:snapToGrid w:val="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规划及规划环境</w:t>
            </w:r>
          </w:p>
          <w:p w14:paraId="31919953">
            <w:pPr>
              <w:autoSpaceDE w:val="0"/>
              <w:autoSpaceDN w:val="0"/>
              <w:adjustRightInd w:val="0"/>
              <w:snapToGrid w:val="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影响评价符合性分析</w:t>
            </w:r>
          </w:p>
        </w:tc>
        <w:tc>
          <w:tcPr>
            <w:tcW w:w="6884" w:type="dxa"/>
            <w:gridSpan w:val="3"/>
            <w:noWrap w:val="0"/>
            <w:vAlign w:val="center"/>
          </w:tcPr>
          <w:p w14:paraId="0556474C">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367" w:firstLineChars="175"/>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w:t>
            </w:r>
          </w:p>
        </w:tc>
      </w:tr>
      <w:tr w14:paraId="66D8B7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6" w:type="dxa"/>
            <w:noWrap w:val="0"/>
            <w:vAlign w:val="center"/>
          </w:tcPr>
          <w:p w14:paraId="285A24E0">
            <w:pPr>
              <w:autoSpaceDE w:val="0"/>
              <w:autoSpaceDN w:val="0"/>
              <w:adjustRightInd w:val="0"/>
              <w:snapToGrid w:val="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其他符合性分析</w:t>
            </w:r>
          </w:p>
        </w:tc>
        <w:tc>
          <w:tcPr>
            <w:tcW w:w="6884" w:type="dxa"/>
            <w:gridSpan w:val="3"/>
            <w:noWrap w:val="0"/>
            <w:vAlign w:val="center"/>
          </w:tcPr>
          <w:p w14:paraId="411A5A1E">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kern w:val="0"/>
                <w:sz w:val="24"/>
                <w:szCs w:val="24"/>
                <w:highlight w:val="none"/>
                <w:lang w:val="en-US" w:eastAsia="zh-CN"/>
                <w14:textFill>
                  <w14:solidFill>
                    <w14:schemeClr w14:val="tx1"/>
                  </w14:solidFill>
                </w14:textFill>
              </w:rPr>
              <w:t>一、产业政策符合性分析</w:t>
            </w:r>
          </w:p>
          <w:p w14:paraId="0EFCECB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cs="Times New Roman"/>
                <w:b/>
                <w:bCs/>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本项目</w:t>
            </w:r>
            <w:r>
              <w:rPr>
                <w:rFonts w:hint="eastAsia" w:cs="Times New Roman"/>
                <w:color w:val="000000" w:themeColor="text1"/>
                <w:kern w:val="0"/>
                <w:sz w:val="24"/>
                <w:szCs w:val="24"/>
                <w:highlight w:val="none"/>
                <w:lang w:val="en-US" w:eastAsia="zh-CN"/>
                <w14:textFill>
                  <w14:solidFill>
                    <w14:schemeClr w14:val="tx1"/>
                  </w14:solidFill>
                </w14:textFill>
              </w:rPr>
              <w:t>为链条炉排燃生物质锅炉，</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不属于《产业结构调整指导目录（2024年本）》中限制类和淘汰类项目，为允许类，符合国家产业政策。</w:t>
            </w:r>
          </w:p>
          <w:p w14:paraId="1404D610">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kern w:val="0"/>
                <w:sz w:val="24"/>
                <w:szCs w:val="24"/>
                <w:highlight w:val="none"/>
                <w:lang w:val="en-US" w:eastAsia="zh-CN"/>
                <w14:textFill>
                  <w14:solidFill>
                    <w14:schemeClr w14:val="tx1"/>
                  </w14:solidFill>
                </w14:textFill>
              </w:rPr>
              <w:t>二、</w:t>
            </w:r>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生态环境分区管控符合性分析</w:t>
            </w:r>
          </w:p>
          <w:p w14:paraId="2B6525E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本项目位于</w:t>
            </w:r>
            <w:r>
              <w:rPr>
                <w:rFonts w:hint="eastAsia" w:cs="Times New Roman"/>
                <w:color w:val="000000" w:themeColor="text1"/>
                <w:sz w:val="24"/>
                <w:szCs w:val="24"/>
                <w:highlight w:val="none"/>
                <w:u w:val="none"/>
                <w:shd w:val="clear" w:color="auto" w:fill="auto"/>
                <w:lang w:eastAsia="zh-CN"/>
                <w14:textFill>
                  <w14:solidFill>
                    <w14:schemeClr w14:val="tx1"/>
                  </w14:solidFill>
                </w14:textFill>
              </w:rPr>
              <w:t>黑龙江省双鸭山市尖山区窑地路</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w:t>
            </w:r>
            <w:r>
              <w:rPr>
                <w:rFonts w:hint="default" w:ascii="Times New Roman" w:hAnsi="Times New Roman" w:cs="Times New Roman"/>
                <w:color w:val="000000" w:themeColor="text1"/>
                <w:kern w:val="0"/>
                <w:sz w:val="24"/>
                <w:szCs w:val="24"/>
                <w:highlight w:val="none"/>
                <w14:textFill>
                  <w14:solidFill>
                    <w14:schemeClr w14:val="tx1"/>
                  </w14:solidFill>
                </w14:textFill>
              </w:rPr>
              <w:t>根据《黑龙江省人民政府关于实施</w:t>
            </w: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szCs w:val="24"/>
                <w:highlight w:val="none"/>
                <w14:textFill>
                  <w14:solidFill>
                    <w14:schemeClr w14:val="tx1"/>
                  </w14:solidFill>
                </w14:textFill>
              </w:rPr>
              <w:t>三线一单</w:t>
            </w: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szCs w:val="24"/>
                <w:highlight w:val="none"/>
                <w14:textFill>
                  <w14:solidFill>
                    <w14:schemeClr w14:val="tx1"/>
                  </w14:solidFill>
                </w14:textFill>
              </w:rPr>
              <w:t>生态环境分区管控的意见》（黑政发</w:t>
            </w:r>
            <w:r>
              <w:rPr>
                <w:rFonts w:hint="eastAsia" w:cs="Times New Roman"/>
                <w:color w:val="000000" w:themeColor="text1"/>
                <w:kern w:val="0"/>
                <w:sz w:val="24"/>
                <w:szCs w:val="24"/>
                <w:highlight w:val="none"/>
                <w:lang w:eastAsia="zh-CN"/>
                <w14:textFill>
                  <w14:solidFill>
                    <w14:schemeClr w14:val="tx1"/>
                  </w14:solidFill>
                </w14:textFill>
              </w:rPr>
              <w:t>〔2020〕14号</w:t>
            </w:r>
            <w:r>
              <w:rPr>
                <w:rFonts w:hint="default" w:ascii="Times New Roman" w:hAnsi="Times New Roman" w:cs="Times New Roman"/>
                <w:color w:val="000000" w:themeColor="text1"/>
                <w:kern w:val="0"/>
                <w:sz w:val="24"/>
                <w:szCs w:val="24"/>
                <w:highlight w:val="none"/>
                <w14:textFill>
                  <w14:solidFill>
                    <w14:schemeClr w14:val="tx1"/>
                  </w14:solidFill>
                </w14:textFill>
              </w:rPr>
              <w:t>）</w:t>
            </w: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lang w:eastAsia="zh-CN" w:bidi="ar"/>
                <w14:textFill>
                  <w14:solidFill>
                    <w14:schemeClr w14:val="tx1"/>
                  </w14:solidFill>
                </w14:textFill>
              </w:rPr>
              <w:t>《双鸭山市生态环境准入清单》（</w:t>
            </w:r>
            <w:r>
              <w:rPr>
                <w:rFonts w:hint="default" w:ascii="Times New Roman" w:hAnsi="Times New Roman" w:cs="Times New Roman"/>
                <w:color w:val="000000" w:themeColor="text1"/>
                <w:sz w:val="24"/>
                <w:szCs w:val="24"/>
                <w:highlight w:val="none"/>
                <w:lang w:val="en-US" w:eastAsia="zh-CN" w:bidi="ar"/>
                <w14:textFill>
                  <w14:solidFill>
                    <w14:schemeClr w14:val="tx1"/>
                  </w14:solidFill>
                </w14:textFill>
              </w:rPr>
              <w:t>2023年版</w:t>
            </w:r>
            <w:r>
              <w:rPr>
                <w:rFonts w:hint="default" w:ascii="Times New Roman" w:hAnsi="Times New Roman" w:cs="Times New Roman"/>
                <w:color w:val="000000" w:themeColor="text1"/>
                <w:sz w:val="24"/>
                <w:szCs w:val="24"/>
                <w:highlight w:val="none"/>
                <w:lang w:eastAsia="zh-CN" w:bidi="ar"/>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bidi="ar"/>
                <w14:textFill>
                  <w14:solidFill>
                    <w14:schemeClr w14:val="tx1"/>
                  </w14:solidFill>
                </w14:textFill>
              </w:rPr>
              <w:t>及黑龙江省生态环境分区管控数据应用平台出具的《生态环境分区管控分析报告》</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kern w:val="0"/>
                <w:sz w:val="24"/>
                <w:szCs w:val="24"/>
                <w:highlight w:val="none"/>
                <w:lang w:eastAsia="zh-CN" w:bidi="ar"/>
                <w14:textFill>
                  <w14:solidFill>
                    <w14:schemeClr w14:val="tx1"/>
                  </w14:solidFill>
                </w14:textFill>
              </w:rPr>
              <w:t>本项目与“生态环境分区管控”符合性如下：</w:t>
            </w:r>
          </w:p>
          <w:p w14:paraId="74017967">
            <w:pPr>
              <w:pStyle w:val="9"/>
              <w:keepNext w:val="0"/>
              <w:keepLines w:val="0"/>
              <w:pageBreakBefore w:val="0"/>
              <w:numPr>
                <w:ilvl w:val="0"/>
                <w:numId w:val="0"/>
              </w:numPr>
              <w:suppressLineNumbers w:val="0"/>
              <w:tabs>
                <w:tab w:val="right" w:leader="dot" w:pos="8190"/>
              </w:tabs>
              <w:kinsoku/>
              <w:wordWrap/>
              <w:overflowPunct/>
              <w:topLinePunct w:val="0"/>
              <w:bidi w:val="0"/>
              <w:spacing w:before="0" w:beforeAutospacing="0" w:after="0" w:afterAutospacing="0" w:line="360" w:lineRule="auto"/>
              <w:ind w:left="0" w:leftChars="0" w:right="0"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w:t>
            </w:r>
            <w:r>
              <w:rPr>
                <w:rFonts w:hint="default" w:ascii="Times New Roman" w:hAnsi="Times New Roman" w:cs="Times New Roman"/>
                <w:color w:val="000000" w:themeColor="text1"/>
                <w:sz w:val="24"/>
                <w:szCs w:val="24"/>
                <w:highlight w:val="none"/>
                <w:lang w:eastAsia="zh-CN"/>
                <w14:textFill>
                  <w14:solidFill>
                    <w14:schemeClr w14:val="tx1"/>
                  </w14:solidFill>
                </w14:textFill>
              </w:rPr>
              <w:t>“一图”</w:t>
            </w:r>
          </w:p>
          <w:p w14:paraId="2F92F377">
            <w:pPr>
              <w:pStyle w:val="4"/>
              <w:keepNext w:val="0"/>
              <w:keepLines w:val="0"/>
              <w:pageBreakBefore w:val="0"/>
              <w:kinsoku/>
              <w:wordWrap/>
              <w:overflowPunct/>
              <w:topLinePunct w:val="0"/>
              <w:autoSpaceDE/>
              <w:autoSpaceDN/>
              <w:bidi w:val="0"/>
              <w:adjustRightInd/>
              <w:snapToGrid w:val="0"/>
              <w:spacing w:before="0" w:after="0" w:line="360" w:lineRule="auto"/>
              <w:ind w:firstLine="480" w:firstLineChars="200"/>
              <w:jc w:val="left"/>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根据</w:t>
            </w:r>
            <w:r>
              <w:rPr>
                <w:rFonts w:hint="default" w:ascii="Times New Roman" w:hAnsi="Times New Roman" w:cs="Times New Roman"/>
                <w:color w:val="000000" w:themeColor="text1"/>
                <w:kern w:val="0"/>
                <w:sz w:val="24"/>
                <w:szCs w:val="24"/>
                <w:highlight w:val="none"/>
                <w:lang w:eastAsia="zh-CN" w:bidi="ar"/>
                <w14:textFill>
                  <w14:solidFill>
                    <w14:schemeClr w14:val="tx1"/>
                  </w14:solidFill>
                </w14:textFill>
              </w:rPr>
              <w:t>《</w:t>
            </w:r>
            <w:r>
              <w:rPr>
                <w:rFonts w:hint="default" w:ascii="Times New Roman" w:hAnsi="Times New Roman" w:cs="Times New Roman"/>
                <w:color w:val="000000" w:themeColor="text1"/>
                <w:sz w:val="24"/>
                <w:szCs w:val="24"/>
                <w:highlight w:val="none"/>
                <w:lang w:eastAsia="zh-CN"/>
                <w14:textFill>
                  <w14:solidFill>
                    <w14:schemeClr w14:val="tx1"/>
                  </w14:solidFill>
                </w14:textFill>
              </w:rPr>
              <w:t>黑龙江森柏岚图家具制造有限公司扩建锅炉房项目</w:t>
            </w:r>
            <w:r>
              <w:rPr>
                <w:rFonts w:hint="default" w:ascii="Times New Roman" w:hAnsi="Times New Roman" w:cs="Times New Roman"/>
                <w:color w:val="000000" w:themeColor="text1"/>
                <w:kern w:val="0"/>
                <w:sz w:val="24"/>
                <w:szCs w:val="24"/>
                <w:highlight w:val="none"/>
                <w:lang w:eastAsia="zh-CN" w:bidi="ar"/>
                <w14:textFill>
                  <w14:solidFill>
                    <w14:schemeClr w14:val="tx1"/>
                  </w14:solidFill>
                </w14:textFill>
              </w:rPr>
              <w:t>生态环境分区管控分析报告》，项目与环境管控单元叠加图见图</w:t>
            </w:r>
            <w:r>
              <w:rPr>
                <w:rFonts w:hint="default" w:ascii="Times New Roman" w:hAnsi="Times New Roman" w:cs="Times New Roman"/>
                <w:color w:val="000000" w:themeColor="text1"/>
                <w:kern w:val="0"/>
                <w:sz w:val="24"/>
                <w:szCs w:val="24"/>
                <w:highlight w:val="none"/>
                <w:lang w:val="en-US" w:eastAsia="zh-CN" w:bidi="ar"/>
                <w14:textFill>
                  <w14:solidFill>
                    <w14:schemeClr w14:val="tx1"/>
                  </w14:solidFill>
                </w14:textFill>
              </w:rPr>
              <w:t>1-1。</w:t>
            </w:r>
          </w:p>
          <w:p w14:paraId="4F62784E">
            <w:pPr>
              <w:spacing w:line="360" w:lineRule="auto"/>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4224655" cy="2160270"/>
                  <wp:effectExtent l="0" t="0" r="4445" b="1143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4"/>
                          <a:stretch>
                            <a:fillRect/>
                          </a:stretch>
                        </pic:blipFill>
                        <pic:spPr>
                          <a:xfrm>
                            <a:off x="0" y="0"/>
                            <a:ext cx="4224655" cy="2160270"/>
                          </a:xfrm>
                          <a:prstGeom prst="rect">
                            <a:avLst/>
                          </a:prstGeom>
                          <a:noFill/>
                          <a:ln>
                            <a:noFill/>
                          </a:ln>
                        </pic:spPr>
                      </pic:pic>
                    </a:graphicData>
                  </a:graphic>
                </wp:inline>
              </w:drawing>
            </w:r>
          </w:p>
          <w:p w14:paraId="6D927E66">
            <w:pPr>
              <w:spacing w:line="360" w:lineRule="auto"/>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图1-1本项目与环境管控单元叠加图</w:t>
            </w:r>
          </w:p>
          <w:p w14:paraId="10B67434">
            <w:pPr>
              <w:pStyle w:val="45"/>
              <w:keepNext w:val="0"/>
              <w:keepLines w:val="0"/>
              <w:suppressLineNumbers w:val="0"/>
              <w:spacing w:before="0" w:beforeAutospacing="0" w:after="0" w:afterAutospacing="0"/>
              <w:ind w:left="0" w:right="0" w:firstLine="48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一表</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p>
          <w:p w14:paraId="73CA433E">
            <w:pPr>
              <w:pStyle w:val="45"/>
              <w:keepNext w:val="0"/>
              <w:keepLines w:val="0"/>
              <w:suppressLineNumbers w:val="0"/>
              <w:spacing w:before="0" w:beforeAutospacing="0" w:after="0" w:afterAutospacing="0"/>
              <w:ind w:left="0" w:right="0" w:firstLine="48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本项目与生态环境准入清单符合性情况见表1-</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4CA1C9CB">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000000" w:themeColor="text1"/>
                <w:sz w:val="24"/>
                <w:szCs w:val="24"/>
                <w:highlight w:val="none"/>
                <w14:textFill>
                  <w14:solidFill>
                    <w14:schemeClr w14:val="tx1"/>
                  </w14:solidFill>
                </w14:textFill>
              </w:rPr>
            </w:pPr>
            <w:r>
              <w:rPr>
                <w:rFonts w:hint="default" w:ascii="Times New Roman" w:hAnsi="Times New Roman" w:cs="Times New Roman"/>
                <w:b/>
                <w:bCs/>
                <w:color w:val="000000" w:themeColor="text1"/>
                <w:sz w:val="24"/>
                <w:szCs w:val="24"/>
                <w:highlight w:val="none"/>
                <w14:textFill>
                  <w14:solidFill>
                    <w14:schemeClr w14:val="tx1"/>
                  </w14:solidFill>
                </w14:textFill>
              </w:rPr>
              <w:t>表1-</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1</w:t>
            </w:r>
            <w:r>
              <w:rPr>
                <w:rFonts w:hint="default" w:ascii="Times New Roman" w:hAnsi="Times New Roman" w:cs="Times New Roman"/>
                <w:b/>
                <w:bCs/>
                <w:color w:val="000000" w:themeColor="text1"/>
                <w:sz w:val="24"/>
                <w:szCs w:val="24"/>
                <w:highlight w:val="none"/>
                <w14:textFill>
                  <w14:solidFill>
                    <w14:schemeClr w14:val="tx1"/>
                  </w14:solidFill>
                </w14:textFill>
              </w:rPr>
              <w:t>生态环境准入清单符合性分析</w:t>
            </w:r>
          </w:p>
          <w:tbl>
            <w:tblPr>
              <w:tblStyle w:val="1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5"/>
              <w:gridCol w:w="343"/>
              <w:gridCol w:w="3259"/>
              <w:gridCol w:w="2571"/>
            </w:tblGrid>
            <w:tr w14:paraId="560DE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bottom w:val="single" w:color="auto" w:sz="4" w:space="0"/>
                  </w:tcBorders>
                  <w:noWrap w:val="0"/>
                  <w:vAlign w:val="center"/>
                </w:tcPr>
                <w:p w14:paraId="5CAB4B4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一、生态保护红线</w:t>
                  </w:r>
                </w:p>
              </w:tc>
            </w:tr>
            <w:tr w14:paraId="2545C3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745AF257">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生态保护红线：</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根据</w:t>
                  </w: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黑龙江省生态环境分区管控数据应用平台出具的《生态环境分区管控分析报告》</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本项目不涉及生态保护红线。</w:t>
                  </w:r>
                </w:p>
              </w:tc>
            </w:tr>
            <w:tr w14:paraId="256D07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257415C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二、环境质量底线</w:t>
                  </w:r>
                </w:p>
              </w:tc>
            </w:tr>
            <w:tr w14:paraId="2ECB9C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185F0205">
                  <w:pPr>
                    <w:pStyle w:val="48"/>
                    <w:keepNext w:val="0"/>
                    <w:keepLines w:val="0"/>
                    <w:suppressLineNumbers w:val="0"/>
                    <w:spacing w:before="0" w:beforeAutospacing="0" w:after="0" w:afterAutospacing="0"/>
                    <w:ind w:left="0" w:right="0" w:firstLine="48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环境质量底线是国家和地方设置的大气、水和土壤环境质量目标，也是改善环境质量的基准线。项目环境影响评价应对照区域环境质量目标，深入分析预测项目建设对环境质量的影响，强化污染防治措施和污染物排放控制要求。</w:t>
                  </w:r>
                </w:p>
                <w:p w14:paraId="24D957DC">
                  <w:pPr>
                    <w:pStyle w:val="48"/>
                    <w:keepNext w:val="0"/>
                    <w:keepLines w:val="0"/>
                    <w:suppressLineNumbers w:val="0"/>
                    <w:spacing w:before="0" w:beforeAutospacing="0" w:after="0" w:afterAutospacing="0"/>
                    <w:ind w:left="0" w:right="0" w:firstLine="482"/>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1.</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大气环境</w:t>
                  </w:r>
                </w:p>
                <w:p w14:paraId="258E809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本项目位于</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黑龙江省双鸭山市</w:t>
                  </w:r>
                  <w:r>
                    <w:rPr>
                      <w:rFonts w:hint="eastAsia" w:cs="Times New Roman" w:eastAsiaTheme="minorEastAsia"/>
                      <w:color w:val="000000" w:themeColor="text1"/>
                      <w:sz w:val="21"/>
                      <w:szCs w:val="21"/>
                      <w:highlight w:val="none"/>
                      <w:lang w:val="en-US" w:eastAsia="zh-CN"/>
                      <w14:textFill>
                        <w14:solidFill>
                          <w14:schemeClr w14:val="tx1"/>
                        </w14:solidFill>
                      </w14:textFill>
                    </w:rPr>
                    <w:t>尖山</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区</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。根据《2024年双鸭山市环境空气质量状况》，双鸭山市202</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年PM</w:t>
                  </w:r>
                  <w:r>
                    <w:rPr>
                      <w:rFonts w:hint="default" w:ascii="Times New Roman" w:hAnsi="Times New Roman" w:eastAsia="宋体" w:cs="Times New Roman"/>
                      <w:bCs/>
                      <w:color w:val="000000" w:themeColor="text1"/>
                      <w:sz w:val="21"/>
                      <w:szCs w:val="21"/>
                      <w:highlight w:val="none"/>
                      <w:vertAlign w:val="subscript"/>
                      <w:lang w:val="en-US" w:eastAsia="zh-CN"/>
                      <w14:textFill>
                        <w14:solidFill>
                          <w14:schemeClr w14:val="tx1"/>
                        </w14:solidFill>
                      </w14:textFill>
                    </w:rPr>
                    <w:t>2.5</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、PM</w:t>
                  </w:r>
                  <w:r>
                    <w:rPr>
                      <w:rFonts w:hint="default" w:ascii="Times New Roman" w:hAnsi="Times New Roman" w:eastAsia="宋体" w:cs="Times New Roman"/>
                      <w:bCs/>
                      <w:color w:val="000000" w:themeColor="text1"/>
                      <w:sz w:val="21"/>
                      <w:szCs w:val="21"/>
                      <w:highlight w:val="none"/>
                      <w:vertAlign w:val="subscript"/>
                      <w:lang w:val="en-US" w:eastAsia="zh-CN"/>
                      <w14:textFill>
                        <w14:solidFill>
                          <w14:schemeClr w14:val="tx1"/>
                        </w14:solidFill>
                      </w14:textFill>
                    </w:rPr>
                    <w:t>10</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、SO</w:t>
                  </w:r>
                  <w:r>
                    <w:rPr>
                      <w:rFonts w:hint="default" w:ascii="Times New Roman" w:hAnsi="Times New Roman" w:eastAsia="宋体" w:cs="Times New Roman"/>
                      <w:bCs/>
                      <w:color w:val="000000" w:themeColor="text1"/>
                      <w:sz w:val="21"/>
                      <w:szCs w:val="21"/>
                      <w:highlight w:val="none"/>
                      <w:vertAlign w:val="subscript"/>
                      <w:lang w:val="en-US" w:eastAsia="zh-CN"/>
                      <w14:textFill>
                        <w14:solidFill>
                          <w14:schemeClr w14:val="tx1"/>
                        </w14:solidFill>
                      </w14:textFill>
                    </w:rPr>
                    <w:t>2</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、NO</w:t>
                  </w:r>
                  <w:r>
                    <w:rPr>
                      <w:rFonts w:hint="default" w:ascii="Times New Roman" w:hAnsi="Times New Roman" w:eastAsia="宋体" w:cs="Times New Roman"/>
                      <w:bCs/>
                      <w:color w:val="000000" w:themeColor="text1"/>
                      <w:sz w:val="21"/>
                      <w:szCs w:val="21"/>
                      <w:highlight w:val="none"/>
                      <w:vertAlign w:val="subscript"/>
                      <w:lang w:val="en-US" w:eastAsia="zh-CN"/>
                      <w14:textFill>
                        <w14:solidFill>
                          <w14:schemeClr w14:val="tx1"/>
                        </w14:solidFill>
                      </w14:textFill>
                    </w:rPr>
                    <w:t>2</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年均浓度分别为2</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7</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μg/m</w:t>
                  </w:r>
                  <w:r>
                    <w:rPr>
                      <w:rFonts w:hint="default" w:ascii="Times New Roman" w:hAnsi="Times New Roman" w:eastAsia="宋体"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、4</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μg/m</w:t>
                  </w:r>
                  <w:r>
                    <w:rPr>
                      <w:rFonts w:hint="default" w:ascii="Times New Roman" w:hAnsi="Times New Roman" w:eastAsia="宋体"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11</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μg/m</w:t>
                  </w:r>
                  <w:r>
                    <w:rPr>
                      <w:rFonts w:hint="default" w:ascii="Times New Roman" w:hAnsi="Times New Roman" w:eastAsia="宋体"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μg/m</w:t>
                  </w:r>
                  <w:r>
                    <w:rPr>
                      <w:rFonts w:hint="default" w:ascii="Times New Roman" w:hAnsi="Times New Roman" w:eastAsia="宋体"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；CO24小时平均第95百分位数为0.</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9</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mg/m</w:t>
                  </w:r>
                  <w:r>
                    <w:rPr>
                      <w:rFonts w:hint="default" w:ascii="Times New Roman" w:hAnsi="Times New Roman" w:eastAsia="宋体"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，O3日最大8小时平均第90百分位数为</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105</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μg/m</w:t>
                  </w:r>
                  <w:r>
                    <w:rPr>
                      <w:rFonts w:hint="default" w:ascii="Times New Roman" w:hAnsi="Times New Roman" w:eastAsia="宋体"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kern w:val="21"/>
                      <w:sz w:val="21"/>
                      <w:szCs w:val="21"/>
                      <w:highlight w:val="none"/>
                      <w14:textFill>
                        <w14:solidFill>
                          <w14:schemeClr w14:val="tx1"/>
                        </w14:solidFill>
                      </w14:textFill>
                    </w:rPr>
                    <w:t>项目所在区域为达标区。</w:t>
                  </w:r>
                </w:p>
                <w:p w14:paraId="34A8E2F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本项目投产后锅炉烟气满足《锅炉大气污染物排放标准》（GB13271-2014）表2标准要求。</w:t>
                  </w:r>
                </w:p>
                <w:p w14:paraId="2DE68415">
                  <w:pPr>
                    <w:pStyle w:val="48"/>
                    <w:keepNext w:val="0"/>
                    <w:keepLines w:val="0"/>
                    <w:suppressLineNumbers w:val="0"/>
                    <w:spacing w:before="0" w:beforeAutospacing="0" w:after="0" w:afterAutospacing="0"/>
                    <w:ind w:left="0" w:right="0" w:firstLine="482"/>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水环境</w:t>
                  </w:r>
                </w:p>
                <w:p w14:paraId="6FFCE85E">
                  <w:pPr>
                    <w:spacing w:before="29" w:line="360" w:lineRule="auto"/>
                    <w:ind w:left="4" w:firstLine="479"/>
                    <w:jc w:val="both"/>
                    <w:rPr>
                      <w:rFonts w:hint="default" w:ascii="Times New Roman" w:hAnsi="Times New Roman" w:cs="Times New Roman" w:eastAsiaTheme="minorEastAsia"/>
                      <w:color w:val="000000" w:themeColor="text1"/>
                      <w:spacing w:val="-3"/>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pacing w:val="-3"/>
                      <w:sz w:val="21"/>
                      <w:szCs w:val="21"/>
                      <w:highlight w:val="none"/>
                      <w:lang w:val="en-US" w:eastAsia="zh-CN"/>
                      <w14:textFill>
                        <w14:solidFill>
                          <w14:schemeClr w14:val="tx1"/>
                        </w14:solidFill>
                      </w14:textFill>
                    </w:rPr>
                    <w:t>本项目位于黑龙江省双鸭山市尖山区，本项目西侧1680m为安邦河。</w:t>
                  </w:r>
                </w:p>
                <w:p w14:paraId="586B5ABF">
                  <w:pPr>
                    <w:pStyle w:val="41"/>
                    <w:keepNext w:val="0"/>
                    <w:keepLines w:val="0"/>
                    <w:pageBreakBefore w:val="0"/>
                    <w:widowControl w:val="0"/>
                    <w:kinsoku/>
                    <w:wordWrap/>
                    <w:overflowPunct/>
                    <w:topLinePunct w:val="0"/>
                    <w:bidi w:val="0"/>
                    <w:snapToGrid/>
                    <w:spacing w:line="360" w:lineRule="auto"/>
                    <w:ind w:firstLine="420" w:firstLineChars="200"/>
                    <w:outlineLvl w:val="2"/>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根据《全国重要江河湖泊水功能区划（2011-2030年）》，本项目所在区域安邦河为</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窑地村至福富大桥段</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，规划水体类别为Ⅲ类水体，执行《地表水环境质量标准》（GB3838-2002）Ⅲ类标准。</w:t>
                  </w:r>
                </w:p>
                <w:p w14:paraId="0A9185A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根据《202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年黑龙江省生态环境质量状况》可知：双鸭山地表水国家考核断面共6个，Ⅰ-Ⅲ类水质比例上升66.7%，无劣Ⅴ类水质断面。与上年同期相比，Ⅰ-Ⅲ类水质</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比例</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保持不变，均无劣Ⅴ类水质断面。双鸭山市饮用水水源地水量达标率为100%。</w:t>
                  </w:r>
                </w:p>
                <w:p w14:paraId="2200217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锅炉软化水废水及锅炉排污水用于锅炉炉渣拌湿降尘</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，对周围环境影响不大。</w:t>
                  </w:r>
                </w:p>
                <w:p w14:paraId="666B00BE">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声环境</w:t>
                  </w:r>
                </w:p>
                <w:p w14:paraId="5DD486C9">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本项目</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选取低噪声设备，采取减振、隔声等措施</w:t>
                  </w:r>
                  <w:r>
                    <w:rPr>
                      <w:rFonts w:hint="default" w:ascii="Times New Roman" w:hAnsi="Times New Roman"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厂界噪声满足</w:t>
                  </w:r>
                  <w:r>
                    <w:rPr>
                      <w:rFonts w:hint="default" w:ascii="Times New Roman" w:hAnsi="Times New Roman" w:cs="Times New Roman"/>
                      <w:color w:val="000000" w:themeColor="text1"/>
                      <w:kern w:val="0"/>
                      <w:sz w:val="21"/>
                      <w:szCs w:val="21"/>
                      <w:highlight w:val="none"/>
                      <w:lang w:eastAsia="zh-CN"/>
                      <w14:textFill>
                        <w14:solidFill>
                          <w14:schemeClr w14:val="tx1"/>
                        </w14:solidFill>
                      </w14:textFill>
                    </w:rPr>
                    <w:t>《工业企业厂界环境噪声排放标准》（GB12348-2008）表1中</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kern w:val="0"/>
                      <w:sz w:val="21"/>
                      <w:szCs w:val="21"/>
                      <w:highlight w:val="none"/>
                      <w:lang w:eastAsia="zh-CN"/>
                      <w14:textFill>
                        <w14:solidFill>
                          <w14:schemeClr w14:val="tx1"/>
                        </w14:solidFill>
                      </w14:textFill>
                    </w:rPr>
                    <w:t>类标准。</w:t>
                  </w:r>
                </w:p>
                <w:p w14:paraId="0D1388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本项目运营期各类污染物经环境保护措施治理后均可达标排放，对区域环境造成的不利影响较小，不会改变区域环境质量现状，因此，</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本项目</w:t>
                  </w:r>
                  <w:r>
                    <w:rPr>
                      <w:rFonts w:hint="default" w:ascii="Times New Roman" w:hAnsi="Times New Roman" w:cs="Times New Roman"/>
                      <w:color w:val="000000" w:themeColor="text1"/>
                      <w:kern w:val="0"/>
                      <w:sz w:val="21"/>
                      <w:szCs w:val="21"/>
                      <w:highlight w:val="none"/>
                      <w14:textFill>
                        <w14:solidFill>
                          <w14:schemeClr w14:val="tx1"/>
                        </w14:solidFill>
                      </w14:textFill>
                    </w:rPr>
                    <w:t>符合环境质量底线要求。</w:t>
                  </w:r>
                </w:p>
              </w:tc>
            </w:tr>
            <w:tr w14:paraId="7CAC2F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6F29DB8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三、资源利用上线</w:t>
                  </w:r>
                </w:p>
              </w:tc>
            </w:tr>
            <w:tr w14:paraId="5874BE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3B86DE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本项目员</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工在</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厂区内调配，不新增员工人数，无新增生活污水；本项目用地性质为工业用地；电源依托市政设施。综上，本项目不会突破资源利用上线。</w:t>
                  </w:r>
                </w:p>
              </w:tc>
            </w:tr>
            <w:tr w14:paraId="3F4D38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2517D0D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四、环境准入清单</w:t>
                  </w:r>
                </w:p>
              </w:tc>
            </w:tr>
            <w:tr w14:paraId="1C9FF6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2" w:type="pct"/>
                  <w:gridSpan w:val="3"/>
                  <w:tcBorders>
                    <w:top w:val="single" w:color="auto" w:sz="4" w:space="0"/>
                    <w:bottom w:val="single" w:color="auto" w:sz="4" w:space="0"/>
                    <w:right w:val="single" w:color="auto" w:sz="4" w:space="0"/>
                  </w:tcBorders>
                  <w:noWrap w:val="0"/>
                  <w:vAlign w:val="center"/>
                </w:tcPr>
                <w:p w14:paraId="2857B745">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环境管控单元编码</w:t>
                  </w:r>
                </w:p>
              </w:tc>
              <w:tc>
                <w:tcPr>
                  <w:tcW w:w="1927" w:type="pct"/>
                  <w:tcBorders>
                    <w:top w:val="single" w:color="auto" w:sz="4" w:space="0"/>
                    <w:left w:val="single" w:color="auto" w:sz="4" w:space="0"/>
                    <w:bottom w:val="single" w:color="auto" w:sz="4" w:space="0"/>
                  </w:tcBorders>
                  <w:noWrap w:val="0"/>
                  <w:vAlign w:val="center"/>
                </w:tcPr>
                <w:p w14:paraId="61D32EC3">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YS2305026310001</w:t>
                  </w:r>
                </w:p>
              </w:tc>
            </w:tr>
            <w:tr w14:paraId="24B23C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2" w:type="pct"/>
                  <w:gridSpan w:val="3"/>
                  <w:tcBorders>
                    <w:top w:val="single" w:color="auto" w:sz="4" w:space="0"/>
                    <w:bottom w:val="single" w:color="auto" w:sz="4" w:space="0"/>
                    <w:right w:val="single" w:color="auto" w:sz="4" w:space="0"/>
                  </w:tcBorders>
                  <w:noWrap w:val="0"/>
                  <w:vAlign w:val="center"/>
                </w:tcPr>
                <w:p w14:paraId="1B355E60">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环境管控单元名称</w:t>
                  </w:r>
                </w:p>
              </w:tc>
              <w:tc>
                <w:tcPr>
                  <w:tcW w:w="1927" w:type="pct"/>
                  <w:tcBorders>
                    <w:top w:val="single" w:color="auto" w:sz="4" w:space="0"/>
                    <w:left w:val="single" w:color="auto" w:sz="4" w:space="0"/>
                    <w:bottom w:val="single" w:color="auto" w:sz="4" w:space="0"/>
                  </w:tcBorders>
                  <w:noWrap w:val="0"/>
                  <w:vAlign w:val="center"/>
                </w:tcPr>
                <w:p w14:paraId="4306CFB3">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尖山区地下水环境</w:t>
                  </w:r>
                </w:p>
              </w:tc>
            </w:tr>
            <w:tr w14:paraId="677D39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2" w:type="pct"/>
                  <w:gridSpan w:val="3"/>
                  <w:tcBorders>
                    <w:top w:val="single" w:color="auto" w:sz="4" w:space="0"/>
                    <w:bottom w:val="single" w:color="auto" w:sz="4" w:space="0"/>
                    <w:right w:val="single" w:color="auto" w:sz="4" w:space="0"/>
                  </w:tcBorders>
                  <w:noWrap w:val="0"/>
                  <w:vAlign w:val="center"/>
                </w:tcPr>
                <w:p w14:paraId="19360B3D">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管控单元类别</w:t>
                  </w:r>
                </w:p>
              </w:tc>
              <w:tc>
                <w:tcPr>
                  <w:tcW w:w="1927" w:type="pct"/>
                  <w:tcBorders>
                    <w:top w:val="single" w:color="auto" w:sz="4" w:space="0"/>
                    <w:left w:val="single" w:color="auto" w:sz="4" w:space="0"/>
                    <w:bottom w:val="single" w:color="auto" w:sz="4" w:space="0"/>
                  </w:tcBorders>
                  <w:noWrap w:val="0"/>
                  <w:vAlign w:val="center"/>
                </w:tcPr>
                <w:p w14:paraId="4B8FCA77">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一般管控单元</w:t>
                  </w:r>
                </w:p>
              </w:tc>
            </w:tr>
            <w:tr w14:paraId="7F73BA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2" w:type="pct"/>
                  <w:gridSpan w:val="3"/>
                  <w:tcBorders>
                    <w:top w:val="single" w:color="auto" w:sz="4" w:space="0"/>
                    <w:bottom w:val="single" w:color="auto" w:sz="4" w:space="0"/>
                    <w:right w:val="single" w:color="auto" w:sz="4" w:space="0"/>
                  </w:tcBorders>
                  <w:noWrap w:val="0"/>
                  <w:vAlign w:val="center"/>
                </w:tcPr>
                <w:p w14:paraId="4AE9AC56">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管控要求</w:t>
                  </w:r>
                </w:p>
              </w:tc>
              <w:tc>
                <w:tcPr>
                  <w:tcW w:w="1927" w:type="pct"/>
                  <w:tcBorders>
                    <w:top w:val="single" w:color="auto" w:sz="4" w:space="0"/>
                    <w:left w:val="single" w:color="auto" w:sz="4" w:space="0"/>
                    <w:bottom w:val="single" w:color="auto" w:sz="4" w:space="0"/>
                  </w:tcBorders>
                  <w:noWrap w:val="0"/>
                  <w:vAlign w:val="center"/>
                </w:tcPr>
                <w:p w14:paraId="71FAE95B">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符合性分析</w:t>
                  </w:r>
                </w:p>
              </w:tc>
            </w:tr>
            <w:tr w14:paraId="323307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28" w:type="pct"/>
                  <w:gridSpan w:val="2"/>
                  <w:tcBorders>
                    <w:top w:val="single" w:color="auto" w:sz="4" w:space="0"/>
                    <w:bottom w:val="single" w:color="auto" w:sz="4" w:space="0"/>
                    <w:right w:val="single" w:color="auto" w:sz="4" w:space="0"/>
                  </w:tcBorders>
                  <w:shd w:val="clear" w:color="auto" w:fill="auto"/>
                  <w:noWrap w:val="0"/>
                  <w:vAlign w:val="center"/>
                </w:tcPr>
                <w:p w14:paraId="2E79BC9D">
                  <w:pPr>
                    <w:keepNext w:val="0"/>
                    <w:keepLines w:val="0"/>
                    <w:widowControl/>
                    <w:suppressLineNumbers w:val="0"/>
                    <w:jc w:val="left"/>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环境风险管控</w:t>
                  </w:r>
                </w:p>
              </w:tc>
              <w:tc>
                <w:tcPr>
                  <w:tcW w:w="2443" w:type="pct"/>
                  <w:tcBorders>
                    <w:top w:val="single" w:color="auto" w:sz="4" w:space="0"/>
                    <w:bottom w:val="single" w:color="auto" w:sz="4" w:space="0"/>
                    <w:right w:val="single" w:color="auto" w:sz="4" w:space="0"/>
                  </w:tcBorders>
                  <w:shd w:val="clear" w:color="auto" w:fill="auto"/>
                  <w:noWrap w:val="0"/>
                  <w:vAlign w:val="center"/>
                </w:tcPr>
                <w:p w14:paraId="704EC47B">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w:t>
                  </w:r>
                </w:p>
                <w:p w14:paraId="2E1164B0">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2.重点单位新、改、扩建项目地下储罐储存有毒有害物质的，应当在项目投入生产或者使用之前，将地下储罐的信息报所在地设区的市级生态环境主管部门备案。</w:t>
                  </w:r>
                </w:p>
                <w:p w14:paraId="47420BAD">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w:t>
                  </w:r>
                </w:p>
                <w:p w14:paraId="635582A7">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4.化学品生产企业以及工业集聚区、矿山开采区、尾矿库、危险废物处置场、垃圾填埋场等的运营、管理单位，应当采取防渗漏等措施，并建设地下水水质监测井进行监测，防止地下水污染。</w:t>
                  </w:r>
                </w:p>
                <w:p w14:paraId="04E9C683">
                  <w:pPr>
                    <w:keepNext w:val="0"/>
                    <w:keepLines w:val="0"/>
                    <w:widowControl/>
                    <w:suppressLineNumbers w:val="0"/>
                    <w:jc w:val="left"/>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927" w:type="pct"/>
                  <w:tcBorders>
                    <w:top w:val="single" w:color="auto" w:sz="4" w:space="0"/>
                    <w:left w:val="single" w:color="auto" w:sz="4" w:space="0"/>
                    <w:bottom w:val="single" w:color="auto" w:sz="4" w:space="0"/>
                  </w:tcBorders>
                  <w:shd w:val="clear" w:color="auto" w:fill="auto"/>
                  <w:noWrap w:val="0"/>
                  <w:vAlign w:val="center"/>
                </w:tcPr>
                <w:p w14:paraId="37359B14">
                  <w:pPr>
                    <w:keepNext w:val="0"/>
                    <w:keepLines w:val="0"/>
                    <w:pageBreakBefore w:val="0"/>
                    <w:widowControl w:val="0"/>
                    <w:numPr>
                      <w:ilvl w:val="0"/>
                      <w:numId w:val="0"/>
                    </w:numPr>
                    <w:kinsoku/>
                    <w:wordWrap/>
                    <w:overflowPunct/>
                    <w:topLinePunct w:val="0"/>
                    <w:autoSpaceDE w:val="0"/>
                    <w:autoSpaceDN w:val="0"/>
                    <w:bidi w:val="0"/>
                    <w:adjustRightInd w:val="0"/>
                    <w:snapToGrid w:val="0"/>
                    <w:jc w:val="both"/>
                    <w:textAlignment w:val="auto"/>
                    <w:rPr>
                      <w:rFonts w:hint="default" w:ascii="Times New Roman" w:hAnsi="Times New Roman" w:cs="Times New Roman" w:eastAsiaTheme="minorEastAsia"/>
                      <w:color w:val="000000" w:themeColor="text1"/>
                      <w:kern w:val="0"/>
                      <w:sz w:val="2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1.</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本项目不属于</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土壤污染重点监管单位</w:t>
                  </w:r>
                  <w:r>
                    <w:rPr>
                      <w:rFonts w:hint="default" w:ascii="Times New Roman" w:hAnsi="Times New Roman" w:cs="Times New Roman" w:eastAsiaTheme="minorEastAsia"/>
                      <w:color w:val="000000" w:themeColor="text1"/>
                      <w:kern w:val="0"/>
                      <w:sz w:val="21"/>
                      <w:szCs w:val="21"/>
                      <w:highlight w:val="none"/>
                      <w:lang w:eastAsia="zh-CN"/>
                      <w14:textFill>
                        <w14:solidFill>
                          <w14:schemeClr w14:val="tx1"/>
                        </w14:solidFill>
                      </w14:textFill>
                    </w:rPr>
                    <w:t>。</w:t>
                  </w:r>
                </w:p>
                <w:p w14:paraId="596E561F">
                  <w:pPr>
                    <w:keepNext w:val="0"/>
                    <w:keepLines w:val="0"/>
                    <w:pageBreakBefore w:val="0"/>
                    <w:widowControl w:val="0"/>
                    <w:numPr>
                      <w:ilvl w:val="0"/>
                      <w:numId w:val="0"/>
                    </w:numPr>
                    <w:kinsoku/>
                    <w:wordWrap/>
                    <w:overflowPunct/>
                    <w:topLinePunct w:val="0"/>
                    <w:autoSpaceDE w:val="0"/>
                    <w:autoSpaceDN w:val="0"/>
                    <w:bidi w:val="0"/>
                    <w:adjustRightInd w:val="0"/>
                    <w:snapToGrid w:val="0"/>
                    <w:jc w:val="both"/>
                    <w:textAlignment w:val="auto"/>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2.</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本项目</w:t>
                  </w: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不属于新建</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、改、扩建项目地下储罐储存有毒有害物质的</w:t>
                  </w: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w:t>
                  </w:r>
                </w:p>
                <w:p w14:paraId="338E15AF">
                  <w:pPr>
                    <w:keepNext w:val="0"/>
                    <w:keepLines w:val="0"/>
                    <w:pageBreakBefore w:val="0"/>
                    <w:widowControl w:val="0"/>
                    <w:numPr>
                      <w:ilvl w:val="0"/>
                      <w:numId w:val="0"/>
                    </w:numPr>
                    <w:kinsoku/>
                    <w:wordWrap/>
                    <w:overflowPunct/>
                    <w:topLinePunct w:val="0"/>
                    <w:autoSpaceDE w:val="0"/>
                    <w:autoSpaceDN w:val="0"/>
                    <w:bidi w:val="0"/>
                    <w:adjustRightInd w:val="0"/>
                    <w:snapToGrid w:val="0"/>
                    <w:jc w:val="both"/>
                    <w:textAlignment w:val="auto"/>
                    <w:rPr>
                      <w:rFonts w:hint="default" w:ascii="Times New Roman" w:hAnsi="Times New Roman" w:cs="Times New Roman" w:eastAsiaTheme="minorEastAsia"/>
                      <w:color w:val="000000" w:themeColor="text1"/>
                      <w:kern w:val="0"/>
                      <w:sz w:val="2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3.</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本项目不属于</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重点监管单位</w:t>
                  </w:r>
                  <w:r>
                    <w:rPr>
                      <w:rFonts w:hint="default" w:ascii="Times New Roman" w:hAnsi="Times New Roman" w:cs="Times New Roman" w:eastAsiaTheme="minorEastAsia"/>
                      <w:color w:val="000000" w:themeColor="text1"/>
                      <w:kern w:val="0"/>
                      <w:sz w:val="21"/>
                      <w:szCs w:val="21"/>
                      <w:highlight w:val="none"/>
                      <w:lang w:eastAsia="zh-CN"/>
                      <w14:textFill>
                        <w14:solidFill>
                          <w14:schemeClr w14:val="tx1"/>
                        </w14:solidFill>
                      </w14:textFill>
                    </w:rPr>
                    <w:t>。</w:t>
                  </w:r>
                </w:p>
                <w:p w14:paraId="07CEAF75">
                  <w:pPr>
                    <w:keepNext w:val="0"/>
                    <w:keepLines w:val="0"/>
                    <w:pageBreakBefore w:val="0"/>
                    <w:widowControl w:val="0"/>
                    <w:numPr>
                      <w:ilvl w:val="0"/>
                      <w:numId w:val="0"/>
                    </w:numPr>
                    <w:kinsoku/>
                    <w:wordWrap/>
                    <w:overflowPunct/>
                    <w:topLinePunct w:val="0"/>
                    <w:autoSpaceDE w:val="0"/>
                    <w:autoSpaceDN w:val="0"/>
                    <w:bidi w:val="0"/>
                    <w:adjustRightInd w:val="0"/>
                    <w:snapToGrid w:val="0"/>
                    <w:jc w:val="both"/>
                    <w:textAlignment w:val="auto"/>
                    <w:rPr>
                      <w:rFonts w:hint="default" w:ascii="Times New Roman" w:hAnsi="Times New Roman" w:cs="Times New Roman" w:eastAsiaTheme="minorEastAsia"/>
                      <w:color w:val="000000" w:themeColor="text1"/>
                      <w:kern w:val="0"/>
                      <w:sz w:val="2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4.</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本项目不属于</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化学品生产企业以及工业集聚区、矿山开采区、尾矿库、危险废物处置场、垃圾填埋场等的运营、管理单位</w:t>
                  </w:r>
                  <w:r>
                    <w:rPr>
                      <w:rFonts w:hint="default" w:ascii="Times New Roman" w:hAnsi="Times New Roman" w:cs="Times New Roman" w:eastAsiaTheme="minorEastAsia"/>
                      <w:color w:val="000000" w:themeColor="text1"/>
                      <w:kern w:val="0"/>
                      <w:sz w:val="21"/>
                      <w:szCs w:val="21"/>
                      <w:highlight w:val="none"/>
                      <w:lang w:eastAsia="zh-CN"/>
                      <w14:textFill>
                        <w14:solidFill>
                          <w14:schemeClr w14:val="tx1"/>
                        </w14:solidFill>
                      </w14:textFill>
                    </w:rPr>
                    <w:t>。</w:t>
                  </w:r>
                </w:p>
                <w:p w14:paraId="6AB8B373">
                  <w:pPr>
                    <w:keepNext w:val="0"/>
                    <w:keepLines w:val="0"/>
                    <w:pageBreakBefore w:val="0"/>
                    <w:widowControl w:val="0"/>
                    <w:numPr>
                      <w:ilvl w:val="0"/>
                      <w:numId w:val="0"/>
                    </w:numPr>
                    <w:kinsoku/>
                    <w:wordWrap/>
                    <w:overflowPunct/>
                    <w:topLinePunct w:val="0"/>
                    <w:autoSpaceDE w:val="0"/>
                    <w:autoSpaceDN w:val="0"/>
                    <w:bidi w:val="0"/>
                    <w:adjustRightInd w:val="0"/>
                    <w:snapToGrid w:val="0"/>
                    <w:ind w:left="0" w:leftChars="0" w:firstLine="0" w:firstLineChars="0"/>
                    <w:jc w:val="both"/>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5.</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本项目不属于</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重点监管单位</w:t>
                  </w:r>
                  <w:r>
                    <w:rPr>
                      <w:rFonts w:hint="default" w:ascii="Times New Roman" w:hAnsi="Times New Roman" w:cs="Times New Roman" w:eastAsiaTheme="minorEastAsia"/>
                      <w:color w:val="000000" w:themeColor="text1"/>
                      <w:kern w:val="0"/>
                      <w:sz w:val="21"/>
                      <w:szCs w:val="21"/>
                      <w:highlight w:val="none"/>
                      <w:lang w:eastAsia="zh-CN"/>
                      <w14:textFill>
                        <w14:solidFill>
                          <w14:schemeClr w14:val="tx1"/>
                        </w14:solidFill>
                      </w14:textFill>
                    </w:rPr>
                    <w:t>。</w:t>
                  </w:r>
                </w:p>
              </w:tc>
            </w:tr>
            <w:tr w14:paraId="5AD1F0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2" w:type="pct"/>
                  <w:gridSpan w:val="3"/>
                  <w:tcBorders>
                    <w:top w:val="single" w:color="auto" w:sz="4" w:space="0"/>
                    <w:bottom w:val="single" w:color="auto" w:sz="4" w:space="0"/>
                    <w:right w:val="single" w:color="auto" w:sz="4" w:space="0"/>
                  </w:tcBorders>
                  <w:noWrap w:val="0"/>
                  <w:vAlign w:val="center"/>
                </w:tcPr>
                <w:p w14:paraId="47A1F9AA">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环境管控单元编码</w:t>
                  </w:r>
                </w:p>
              </w:tc>
              <w:tc>
                <w:tcPr>
                  <w:tcW w:w="1927" w:type="pct"/>
                  <w:tcBorders>
                    <w:top w:val="single" w:color="auto" w:sz="4" w:space="0"/>
                    <w:left w:val="single" w:color="auto" w:sz="4" w:space="0"/>
                    <w:bottom w:val="single" w:color="auto" w:sz="4" w:space="0"/>
                  </w:tcBorders>
                  <w:noWrap w:val="0"/>
                  <w:vAlign w:val="center"/>
                </w:tcPr>
                <w:p w14:paraId="7FAF3147">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ZH23050220001</w:t>
                  </w:r>
                </w:p>
              </w:tc>
            </w:tr>
            <w:tr w14:paraId="3D65D6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2" w:type="pct"/>
                  <w:gridSpan w:val="3"/>
                  <w:tcBorders>
                    <w:top w:val="single" w:color="auto" w:sz="4" w:space="0"/>
                    <w:bottom w:val="single" w:color="auto" w:sz="4" w:space="0"/>
                    <w:right w:val="single" w:color="auto" w:sz="4" w:space="0"/>
                  </w:tcBorders>
                  <w:noWrap w:val="0"/>
                  <w:vAlign w:val="center"/>
                </w:tcPr>
                <w:p w14:paraId="703401D3">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环境管控单元名称</w:t>
                  </w:r>
                </w:p>
              </w:tc>
              <w:tc>
                <w:tcPr>
                  <w:tcW w:w="1927" w:type="pct"/>
                  <w:tcBorders>
                    <w:top w:val="single" w:color="auto" w:sz="4" w:space="0"/>
                    <w:left w:val="single" w:color="auto" w:sz="4" w:space="0"/>
                    <w:bottom w:val="single" w:color="auto" w:sz="4" w:space="0"/>
                  </w:tcBorders>
                  <w:noWrap w:val="0"/>
                  <w:vAlign w:val="center"/>
                </w:tcPr>
                <w:p w14:paraId="5F2618C5">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尖山区城镇空间</w:t>
                  </w:r>
                </w:p>
              </w:tc>
            </w:tr>
            <w:tr w14:paraId="2BE6F2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2" w:type="pct"/>
                  <w:gridSpan w:val="3"/>
                  <w:tcBorders>
                    <w:top w:val="single" w:color="auto" w:sz="4" w:space="0"/>
                    <w:bottom w:val="single" w:color="auto" w:sz="4" w:space="0"/>
                    <w:right w:val="single" w:color="auto" w:sz="4" w:space="0"/>
                  </w:tcBorders>
                  <w:noWrap w:val="0"/>
                  <w:vAlign w:val="center"/>
                </w:tcPr>
                <w:p w14:paraId="4438D493">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管控单元类别</w:t>
                  </w:r>
                </w:p>
              </w:tc>
              <w:tc>
                <w:tcPr>
                  <w:tcW w:w="1927" w:type="pct"/>
                  <w:tcBorders>
                    <w:top w:val="single" w:color="auto" w:sz="4" w:space="0"/>
                    <w:left w:val="single" w:color="auto" w:sz="4" w:space="0"/>
                    <w:bottom w:val="single" w:color="auto" w:sz="4" w:space="0"/>
                  </w:tcBorders>
                  <w:noWrap w:val="0"/>
                  <w:vAlign w:val="center"/>
                </w:tcPr>
                <w:p w14:paraId="151CE51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重点管控单元</w:t>
                  </w:r>
                </w:p>
              </w:tc>
            </w:tr>
            <w:tr w14:paraId="1815C7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2" w:type="pct"/>
                  <w:gridSpan w:val="3"/>
                  <w:tcBorders>
                    <w:top w:val="single" w:color="auto" w:sz="4" w:space="0"/>
                    <w:bottom w:val="single" w:color="auto" w:sz="4" w:space="0"/>
                    <w:right w:val="single" w:color="auto" w:sz="4" w:space="0"/>
                  </w:tcBorders>
                  <w:noWrap w:val="0"/>
                  <w:vAlign w:val="center"/>
                </w:tcPr>
                <w:p w14:paraId="348CE6EE">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管控要求</w:t>
                  </w:r>
                </w:p>
              </w:tc>
              <w:tc>
                <w:tcPr>
                  <w:tcW w:w="1927" w:type="pct"/>
                  <w:tcBorders>
                    <w:top w:val="single" w:color="auto" w:sz="4" w:space="0"/>
                    <w:left w:val="single" w:color="auto" w:sz="4" w:space="0"/>
                    <w:bottom w:val="single" w:color="auto" w:sz="4" w:space="0"/>
                  </w:tcBorders>
                  <w:noWrap w:val="0"/>
                  <w:vAlign w:val="center"/>
                </w:tcPr>
                <w:p w14:paraId="6181D691">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符合性分析</w:t>
                  </w:r>
                </w:p>
              </w:tc>
            </w:tr>
            <w:tr w14:paraId="0A9248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71" w:type="pct"/>
                  <w:tcBorders>
                    <w:top w:val="single" w:color="auto" w:sz="4" w:space="0"/>
                    <w:bottom w:val="single" w:color="auto" w:sz="4" w:space="0"/>
                    <w:right w:val="single" w:color="auto" w:sz="4" w:space="0"/>
                  </w:tcBorders>
                  <w:noWrap w:val="0"/>
                  <w:vAlign w:val="center"/>
                </w:tcPr>
                <w:p w14:paraId="2BF21E3C">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空间布局约束</w:t>
                  </w:r>
                </w:p>
                <w:p w14:paraId="6FC8F604">
                  <w:pPr>
                    <w:keepNext w:val="0"/>
                    <w:keepLines w:val="0"/>
                    <w:widowControl/>
                    <w:suppressLineNumbers w:val="0"/>
                    <w:jc w:val="cente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p>
              </w:tc>
              <w:tc>
                <w:tcPr>
                  <w:tcW w:w="2700" w:type="pct"/>
                  <w:gridSpan w:val="2"/>
                  <w:tcBorders>
                    <w:top w:val="single" w:color="auto" w:sz="4" w:space="0"/>
                    <w:left w:val="single" w:color="auto" w:sz="4" w:space="0"/>
                    <w:bottom w:val="single" w:color="auto" w:sz="4" w:space="0"/>
                    <w:right w:val="single" w:color="auto" w:sz="4" w:space="0"/>
                  </w:tcBorders>
                  <w:noWrap w:val="0"/>
                  <w:vAlign w:val="center"/>
                </w:tcPr>
                <w:p w14:paraId="006FC320">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执行“1）严禁在人口密集区新建危险化学品生产项目，城镇人口密集区危险化学品生产企业应搬迁改造。2）禁止在城镇居民区、文化教育科学研究区等人口集中区域建设畜禽养殖场、养殖小区。”2.大气环境布局敏感重点管控区同时执行“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927" w:type="pct"/>
                  <w:tcBorders>
                    <w:top w:val="single" w:color="auto" w:sz="4" w:space="0"/>
                    <w:left w:val="single" w:color="auto" w:sz="4" w:space="0"/>
                    <w:bottom w:val="single" w:color="auto" w:sz="4" w:space="0"/>
                  </w:tcBorders>
                  <w:noWrap w:val="0"/>
                  <w:vAlign w:val="center"/>
                </w:tcPr>
                <w:p w14:paraId="2737079B">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1.本项目为热力生产与供应项目，不属于危化品项目，不属于畜禽养殖场、养殖小区。</w:t>
                  </w:r>
                </w:p>
                <w:p w14:paraId="4521F89D">
                  <w:pPr>
                    <w:pStyle w:val="18"/>
                    <w:ind w:left="0" w:leftChars="0" w:firstLine="0" w:firstLineChars="0"/>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2.本项目为热力生产与供应项目，不属于两高行业，不属于固废伴生水泥项目。</w:t>
                  </w:r>
                </w:p>
              </w:tc>
            </w:tr>
            <w:tr w14:paraId="3C0EBA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71" w:type="pct"/>
                  <w:tcBorders>
                    <w:top w:val="single" w:color="auto" w:sz="4" w:space="0"/>
                    <w:bottom w:val="single" w:color="auto" w:sz="4" w:space="0"/>
                    <w:right w:val="single" w:color="auto" w:sz="4" w:space="0"/>
                  </w:tcBorders>
                  <w:noWrap w:val="0"/>
                  <w:vAlign w:val="center"/>
                </w:tcPr>
                <w:p w14:paraId="44AF3250">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污染物排放管控</w:t>
                  </w:r>
                </w:p>
                <w:p w14:paraId="6B9DAB2F">
                  <w:pPr>
                    <w:keepNext w:val="0"/>
                    <w:keepLines w:val="0"/>
                    <w:widowControl/>
                    <w:suppressLineNumbers w:val="0"/>
                    <w:jc w:val="cente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p>
              </w:tc>
              <w:tc>
                <w:tcPr>
                  <w:tcW w:w="2700" w:type="pct"/>
                  <w:gridSpan w:val="2"/>
                  <w:tcBorders>
                    <w:top w:val="single" w:color="auto" w:sz="4" w:space="0"/>
                    <w:left w:val="single" w:color="auto" w:sz="4" w:space="0"/>
                    <w:bottom w:val="single" w:color="auto" w:sz="4" w:space="0"/>
                    <w:right w:val="single" w:color="auto" w:sz="4" w:space="0"/>
                  </w:tcBorders>
                  <w:noWrap w:val="0"/>
                  <w:vAlign w:val="center"/>
                </w:tcPr>
                <w:p w14:paraId="3FFC1604">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执行“加快65t/h以上燃煤锅炉（含电力）超低排放改造。”2.大气环境布局敏感重点管控区同时执行“1）对以煤、石焦油、渣油、重油等为燃料的锅炉和工业炉窑，加快使用清洁低碳能源以及工厂余热、电力热力等进行替代。2）到2025年，在用65蒸吨/小时以上的燃煤锅炉（含电力）实现超低排放，钢铁企业基本实现超低排放。”</w:t>
                  </w:r>
                </w:p>
              </w:tc>
              <w:tc>
                <w:tcPr>
                  <w:tcW w:w="1927" w:type="pct"/>
                  <w:tcBorders>
                    <w:top w:val="single" w:color="auto" w:sz="4" w:space="0"/>
                    <w:left w:val="single" w:color="auto" w:sz="4" w:space="0"/>
                    <w:bottom w:val="single" w:color="auto" w:sz="4" w:space="0"/>
                  </w:tcBorders>
                  <w:noWrap w:val="0"/>
                  <w:vAlign w:val="center"/>
                </w:tcPr>
                <w:p w14:paraId="266A3038">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扩建</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1.75MW燃生物质锅炉，不属于65t/h以上燃煤锅炉。</w:t>
                  </w:r>
                </w:p>
              </w:tc>
            </w:tr>
            <w:tr w14:paraId="441D5F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71" w:type="pct"/>
                  <w:tcBorders>
                    <w:top w:val="single" w:color="auto" w:sz="4" w:space="0"/>
                    <w:bottom w:val="single" w:color="auto" w:sz="4" w:space="0"/>
                    <w:right w:val="single" w:color="auto" w:sz="4" w:space="0"/>
                  </w:tcBorders>
                  <w:noWrap w:val="0"/>
                  <w:vAlign w:val="center"/>
                </w:tcPr>
                <w:p w14:paraId="17C4A236">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环境风险</w:t>
                  </w:r>
                </w:p>
                <w:p w14:paraId="68C14536">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防</w:t>
                  </w:r>
                </w:p>
                <w:p w14:paraId="1DDE4990">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控</w:t>
                  </w:r>
                </w:p>
                <w:p w14:paraId="71496A84">
                  <w:pPr>
                    <w:keepNext w:val="0"/>
                    <w:keepLines w:val="0"/>
                    <w:widowControl/>
                    <w:suppressLineNumbers w:val="0"/>
                    <w:jc w:val="cente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p>
              </w:tc>
              <w:tc>
                <w:tcPr>
                  <w:tcW w:w="2700" w:type="pct"/>
                  <w:gridSpan w:val="2"/>
                  <w:tcBorders>
                    <w:top w:val="single" w:color="auto" w:sz="4" w:space="0"/>
                    <w:left w:val="single" w:color="auto" w:sz="4" w:space="0"/>
                    <w:bottom w:val="single" w:color="auto" w:sz="4" w:space="0"/>
                    <w:right w:val="single" w:color="auto" w:sz="4" w:space="0"/>
                  </w:tcBorders>
                  <w:noWrap w:val="0"/>
                  <w:vAlign w:val="center"/>
                </w:tcPr>
                <w:p w14:paraId="043ABDC1">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执行“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2.大气环境布局敏感重点管控区同时执行“禁止在居民区、学校、医疗和养老机构等周边新建有色金属冶炼、焦化等行业企业。”</w:t>
                  </w:r>
                </w:p>
              </w:tc>
              <w:tc>
                <w:tcPr>
                  <w:tcW w:w="1927" w:type="pct"/>
                  <w:tcBorders>
                    <w:top w:val="single" w:color="auto" w:sz="4" w:space="0"/>
                    <w:left w:val="single" w:color="auto" w:sz="4" w:space="0"/>
                    <w:bottom w:val="single" w:color="auto" w:sz="4" w:space="0"/>
                  </w:tcBorders>
                  <w:noWrap w:val="0"/>
                  <w:vAlign w:val="center"/>
                </w:tcPr>
                <w:p w14:paraId="6DBEE869">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本项目为热力生产与供应项目，不属于化工园区，不属于有色金属冶炼、焦化等行业</w:t>
                  </w:r>
                </w:p>
              </w:tc>
            </w:tr>
            <w:tr w14:paraId="5A588E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71" w:type="pct"/>
                  <w:tcBorders>
                    <w:top w:val="single" w:color="auto" w:sz="4" w:space="0"/>
                    <w:bottom w:val="single" w:color="auto" w:sz="4" w:space="0"/>
                    <w:right w:val="single" w:color="auto" w:sz="4" w:space="0"/>
                  </w:tcBorders>
                  <w:noWrap w:val="0"/>
                  <w:vAlign w:val="center"/>
                </w:tcPr>
                <w:p w14:paraId="40BFEC0F">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资源开发效率要求</w:t>
                  </w:r>
                </w:p>
                <w:p w14:paraId="545A0C15">
                  <w:pPr>
                    <w:keepNext w:val="0"/>
                    <w:keepLines w:val="0"/>
                    <w:widowControl/>
                    <w:suppressLineNumbers w:val="0"/>
                    <w:jc w:val="cente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p>
              </w:tc>
              <w:tc>
                <w:tcPr>
                  <w:tcW w:w="2700" w:type="pct"/>
                  <w:gridSpan w:val="2"/>
                  <w:tcBorders>
                    <w:top w:val="single" w:color="auto" w:sz="4" w:space="0"/>
                    <w:left w:val="single" w:color="auto" w:sz="4" w:space="0"/>
                    <w:bottom w:val="single" w:color="auto" w:sz="4" w:space="0"/>
                    <w:right w:val="single" w:color="auto" w:sz="4" w:space="0"/>
                  </w:tcBorders>
                  <w:noWrap w:val="0"/>
                  <w:vAlign w:val="center"/>
                </w:tcPr>
                <w:p w14:paraId="51CE385A">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执行“1）推进污水再生利用设施建设。2）公共建筑必须采用节水器具，限期淘汰公共建筑中不符合节水标准的水嘴、便器水箱等生活用水器具。”2.高污染燃料禁燃区同时执行“1）在禁燃区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1927" w:type="pct"/>
                  <w:tcBorders>
                    <w:top w:val="single" w:color="auto" w:sz="4" w:space="0"/>
                    <w:left w:val="single" w:color="auto" w:sz="4" w:space="0"/>
                    <w:bottom w:val="single" w:color="auto" w:sz="4" w:space="0"/>
                  </w:tcBorders>
                  <w:noWrap w:val="0"/>
                  <w:vAlign w:val="center"/>
                </w:tcPr>
                <w:p w14:paraId="410ADC8C">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1本项目废水回用润渣，不外排。</w:t>
                  </w:r>
                </w:p>
                <w:p w14:paraId="008087C8">
                  <w:pPr>
                    <w:pStyle w:val="18"/>
                    <w:ind w:left="0" w:leftChars="0" w:firstLine="0" w:firstLineChars="0"/>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2本项目燃料为生物质压块燃料。</w:t>
                  </w:r>
                </w:p>
              </w:tc>
            </w:tr>
          </w:tbl>
          <w:p w14:paraId="7C77057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因此，本项目符合生态环境分区管控相关要求。</w:t>
            </w:r>
          </w:p>
          <w:p w14:paraId="2107A032">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kern w:val="0"/>
                <w:sz w:val="24"/>
                <w:szCs w:val="24"/>
                <w:highlight w:val="none"/>
                <w:lang w:val="en-US" w:eastAsia="zh-CN"/>
                <w14:textFill>
                  <w14:solidFill>
                    <w14:schemeClr w14:val="tx1"/>
                  </w14:solidFill>
                </w14:textFill>
              </w:rPr>
              <w:t>三、</w:t>
            </w:r>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选址合理性分析</w:t>
            </w:r>
          </w:p>
          <w:p w14:paraId="2E84753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本项目位于</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黑龙江森柏岚图家具制造有限公司院内</w:t>
            </w:r>
            <w:r>
              <w:rPr>
                <w:rFonts w:hint="eastAsia" w:cs="Times New Roman"/>
                <w:color w:val="000000" w:themeColor="text1"/>
                <w:kern w:val="0"/>
                <w:sz w:val="24"/>
                <w:szCs w:val="24"/>
                <w:highlight w:val="none"/>
                <w:lang w:val="en-US" w:eastAsia="zh-CN"/>
                <w14:textFill>
                  <w14:solidFill>
                    <w14:schemeClr w14:val="tx1"/>
                  </w14:solidFill>
                </w14:textFill>
              </w:rPr>
              <w:t>西北侧，项目西、南侧为生产厂房，北、东侧为空地</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项目用地性质为工业用地</w:t>
            </w:r>
            <w:r>
              <w:rPr>
                <w:rFonts w:hint="eastAsia" w:cs="Times New Roman"/>
                <w:color w:val="000000" w:themeColor="text1"/>
                <w:kern w:val="0"/>
                <w:sz w:val="24"/>
                <w:szCs w:val="24"/>
                <w:highlight w:val="none"/>
                <w:lang w:val="en-US" w:eastAsia="zh-CN"/>
                <w14:textFill>
                  <w14:solidFill>
                    <w14:schemeClr w14:val="tx1"/>
                  </w14:solidFill>
                </w14:textFill>
              </w:rPr>
              <w:t>。本项目周边敏感点为西南侧100米处的</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窑地卫生服务站</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，位于本项目主导风向上风向。</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项目选址不属于生活饮用水源地和地下水补给区、风景名胜区、温泉疗养区、水产养殖区、基本农田保护区、自然保护区等需要特殊保护区域。地理位置优越，交通便利。本项目类型及选址、布局、规模均符合环境保护法律法规和相关法定规划，各项污染物经过有效的污染治理措施后对环境影响极小，因此，从环保的角度分析本项目的选址是合理的。</w:t>
            </w:r>
          </w:p>
          <w:p w14:paraId="3E0E6D8C">
            <w:pPr>
              <w:bidi w:val="0"/>
              <w:spacing w:line="360" w:lineRule="auto"/>
              <w:rPr>
                <w:rFonts w:hint="default" w:ascii="Times New Roman" w:hAnsi="Times New Roman" w:cs="Times New Roman" w:eastAsiaTheme="minorEastAsia"/>
                <w:b/>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四、</w:t>
            </w:r>
            <w:r>
              <w:rPr>
                <w:rFonts w:hint="default" w:ascii="Times New Roman" w:hAnsi="Times New Roman" w:cs="Times New Roman" w:eastAsiaTheme="minorEastAsia"/>
                <w:b/>
                <w:bCs/>
                <w:color w:val="000000" w:themeColor="text1"/>
                <w:sz w:val="24"/>
                <w:szCs w:val="24"/>
                <w:highlight w:val="none"/>
                <w:lang w:eastAsia="zh-CN"/>
                <w14:textFill>
                  <w14:solidFill>
                    <w14:schemeClr w14:val="tx1"/>
                  </w14:solidFill>
                </w14:textFill>
              </w:rPr>
              <w:t>与</w:t>
            </w:r>
            <w:r>
              <w:rPr>
                <w:rFonts w:hint="default" w:ascii="Times New Roman" w:hAnsi="Times New Roman" w:cs="Times New Roman" w:eastAsiaTheme="minorEastAsia"/>
                <w:b/>
                <w:bCs/>
                <w:color w:val="000000" w:themeColor="text1"/>
                <w:sz w:val="24"/>
                <w:szCs w:val="24"/>
                <w:highlight w:val="none"/>
                <w14:textFill>
                  <w14:solidFill>
                    <w14:schemeClr w14:val="tx1"/>
                  </w14:solidFill>
                </w14:textFill>
              </w:rPr>
              <w:t>其他生态环境保护法律法</w:t>
            </w:r>
            <w:r>
              <w:rPr>
                <w:rFonts w:hint="default" w:ascii="Times New Roman" w:hAnsi="Times New Roman" w:cs="Times New Roman" w:eastAsiaTheme="minorEastAsia"/>
                <w:b/>
                <w:bCs/>
                <w:color w:val="000000" w:themeColor="text1"/>
                <w:sz w:val="24"/>
                <w:szCs w:val="24"/>
                <w:highlight w:val="none"/>
                <w:lang w:eastAsia="zh-CN"/>
                <w14:textFill>
                  <w14:solidFill>
                    <w14:schemeClr w14:val="tx1"/>
                  </w14:solidFill>
                </w14:textFill>
              </w:rPr>
              <w:t>规和</w:t>
            </w:r>
            <w:r>
              <w:rPr>
                <w:rFonts w:hint="default" w:ascii="Times New Roman" w:hAnsi="Times New Roman" w:cs="Times New Roman" w:eastAsiaTheme="minorEastAsia"/>
                <w:b/>
                <w:bCs/>
                <w:color w:val="000000" w:themeColor="text1"/>
                <w:sz w:val="24"/>
                <w:szCs w:val="24"/>
                <w:highlight w:val="none"/>
                <w14:textFill>
                  <w14:solidFill>
                    <w14:schemeClr w14:val="tx1"/>
                  </w14:solidFill>
                </w14:textFill>
              </w:rPr>
              <w:t>政策相符性分析</w:t>
            </w:r>
          </w:p>
          <w:p w14:paraId="3DAC217E">
            <w:pPr>
              <w:spacing w:line="360" w:lineRule="auto"/>
              <w:ind w:firstLine="482" w:firstLineChars="200"/>
              <w:jc w:val="left"/>
              <w:rPr>
                <w:rFonts w:hint="default" w:ascii="Times New Roman" w:hAnsi="Times New Roman" w:cs="Times New Roman" w:eastAsiaTheme="minorEastAsia"/>
                <w:b/>
                <w:color w:val="000000" w:themeColor="text1"/>
                <w:kern w:val="0"/>
                <w:sz w:val="24"/>
                <w:szCs w:val="24"/>
                <w:highlight w:val="none"/>
                <w:lang w:val="en-US" w:eastAsia="zh-CN"/>
                <w14:textFill>
                  <w14:solidFill>
                    <w14:schemeClr w14:val="tx1"/>
                  </w14:solidFill>
                </w14:textFill>
              </w:rPr>
            </w:pPr>
            <w:r>
              <w:rPr>
                <w:rFonts w:hint="default" w:ascii="Times New Roman" w:hAnsi="Times New Roman" w:cs="Times New Roman" w:eastAsiaTheme="minorEastAsia"/>
                <w:b/>
                <w:color w:val="000000" w:themeColor="text1"/>
                <w:kern w:val="0"/>
                <w:sz w:val="24"/>
                <w:szCs w:val="24"/>
                <w:highlight w:val="none"/>
                <w:lang w:val="en-US" w:eastAsia="zh-CN"/>
                <w14:textFill>
                  <w14:solidFill>
                    <w14:schemeClr w14:val="tx1"/>
                  </w14:solidFill>
                </w14:textFill>
              </w:rPr>
              <w:t>1.与《环境空气细颗粒物污染综合防治技术政策》符合性分析</w:t>
            </w:r>
          </w:p>
          <w:p w14:paraId="543544F5">
            <w:pPr>
              <w:pStyle w:val="38"/>
              <w:adjustRightInd w:val="0"/>
              <w:snapToGrid w:val="0"/>
              <w:spacing w:line="360" w:lineRule="auto"/>
              <w:ind w:firstLine="480"/>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pP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1）三、防治工业污染要求：（十一）应加强对各类污染源的监管，确保污染治理设施稳定运行，切实落实企业环保责任。鼓励采用低能耗、低污染的生产工艺，提高各个行业的清洁生产水平，降低污染物产生量。（十二）应制定严格、完善的国家和地方工业污染物排放标准，明确各行业排放控制要求。在环境污染严重、污染物排放量大的地区，应制定实施严格的地方排放标准或国家排放标准特别排放限值。（十三）对于排放细颗粒物的工业污染源，应按照生产工艺、排放方式和烟（废）气组成的特点，选取适用的污染防治技术。工业污染源有组织排放的颗粒物，宜采取袋除尘、电除尘、电袋除尘等高效除尘技术，鼓励火电机组和大型燃煤锅炉采用湿式电除尘等新技术。（十五）产生大气颗粒物及其前体物污染物的生产活动应尽量采用密闭装置，避免无组织排放；无法完全密闭的，应安装集气装置收集逸散的污染物，经净化后排放。</w:t>
            </w:r>
          </w:p>
          <w:p w14:paraId="1E643504">
            <w:pPr>
              <w:numPr>
                <w:ilvl w:val="0"/>
                <w:numId w:val="0"/>
              </w:numPr>
              <w:adjustRightInd w:val="0"/>
              <w:snapToGrid w:val="0"/>
              <w:spacing w:line="360" w:lineRule="auto"/>
              <w:ind w:firstLine="480" w:firstLineChars="200"/>
              <w:jc w:val="both"/>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符合性分析：本项目为</w:t>
            </w:r>
            <w:r>
              <w:rPr>
                <w:rFonts w:hint="eastAsia" w:cs="Times New Roman" w:eastAsiaTheme="minorEastAsia"/>
                <w:color w:val="000000" w:themeColor="text1"/>
                <w:kern w:val="2"/>
                <w:sz w:val="24"/>
                <w:szCs w:val="24"/>
                <w:highlight w:val="none"/>
                <w:lang w:val="en-US" w:eastAsia="zh-CN" w:bidi="zh-CN"/>
                <w14:textFill>
                  <w14:solidFill>
                    <w14:schemeClr w14:val="tx1"/>
                  </w14:solidFill>
                </w14:textFill>
              </w:rPr>
              <w:t>扩建</w:t>
            </w: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1.75MW燃生物质锅炉，废气经袋式除尘器处理后，经30米高烟囱排放，满足《锅炉大气污染物排放标准》（GB13271-2014）表2中标准限值要求。</w:t>
            </w:r>
          </w:p>
          <w:p w14:paraId="7F66C4D7">
            <w:pPr>
              <w:pStyle w:val="38"/>
              <w:adjustRightInd w:val="0"/>
              <w:snapToGrid w:val="0"/>
              <w:spacing w:line="360" w:lineRule="auto"/>
              <w:ind w:firstLine="480"/>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pP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符合《环境空气细颗粒物污染综合防治技术政策》中三、防治工业污染要求。</w:t>
            </w:r>
          </w:p>
          <w:p w14:paraId="55F509D6">
            <w:pPr>
              <w:pStyle w:val="38"/>
              <w:adjustRightInd w:val="0"/>
              <w:snapToGrid w:val="0"/>
              <w:spacing w:line="360" w:lineRule="auto"/>
              <w:ind w:firstLine="480"/>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pP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2）五、防治扬尘污染要求：（二十二）扬尘污染源应以道路扬尘、施工扬尘、粉状物料贮存场扬尘、城市裸土扬尘等为防治重点。应参照《防治城市扬尘污染技术规范》，开展城市扬尘综合整治，减少城市裸地面积，采取植树种草等措施提高绿化率，或适当采用地面硬化措施，遏制扬尘污染。（二十三）对各种施工工地、各种粉状物料贮存场、各种港口装卸码头等，应采取设置围挡墙、防尘网和喷洒抑尘剂等有效的防尘、抑尘措施，防止颗粒物逸散；设置车辆清洗装置，保持上路行驶车辆的清洁；鼓励各类土建工程使用预搅拌的商品混凝土。（二十四）实行粉状物料及渣土车辆密闭运输，加强监管，防止遗撒。及时进行道路清扫、冲洗、洒水作业，减少道路扬尘。规范园林绿化设计和施工管理，防止园林绿地土壤向道路流失。</w:t>
            </w:r>
          </w:p>
          <w:p w14:paraId="18AD9150">
            <w:pPr>
              <w:pStyle w:val="38"/>
              <w:adjustRightInd w:val="0"/>
              <w:snapToGrid w:val="0"/>
              <w:spacing w:line="360" w:lineRule="auto"/>
              <w:ind w:firstLine="480"/>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pP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符合性分析：本项目为扩建项目，主要施工为设备安装，采用洒水降尘。符合《环境空气细颗粒物污染综合防治技术政策》中五、防治扬尘污染要求。</w:t>
            </w:r>
          </w:p>
          <w:p w14:paraId="0FC3065C">
            <w:pPr>
              <w:pStyle w:val="38"/>
              <w:adjustRightInd w:val="0"/>
              <w:snapToGrid w:val="0"/>
              <w:spacing w:line="360" w:lineRule="auto"/>
              <w:ind w:firstLine="480"/>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pP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3）六、防治生活污染要求：（二十五）生活污染来源复杂、分布广泛，治理工作应调动社会各界的积极性，鼓励公众参与。应在全社会倡导形成节俭、绿色生活方式，摒弃奢侈、浪费、炫耀的消费习惯。倡导绿色消费，通过消费者选择和市场竞争，促使企业生产环境友好型消费品。（二十六）治理饮食业、干洗业、小型燃煤燃油锅炉等生活污染源，严格控制油烟、挥发性有机物、烟尘等污染物排放。推广使用具备溶剂回收功能的密闭式干洗机。应有效控制城市露天烧烤。生活垃圾和城市园林绿化废物应及时清运，进行无害化处理，防止露天焚烧。（二十八）在城市郊区和农村地区，推广使用清洁能源和高效节能锅炉，有条件的地区宜发展集中供暖或地热等采暖方式，以替代小型燃煤、燃油取暖炉，减轻面源污染。（二十九）开展环境文化建设，形成有益于环境保护的公序良俗，倡导良好生活习惯。倡导有益于健康的饮食习惯和低油烟、低污染、低能耗的烹调方式。提倡以无烟方式进行祭扫等礼仪活动，减少燃放烟花爆竹。</w:t>
            </w:r>
          </w:p>
          <w:p w14:paraId="15F6A1BB">
            <w:pPr>
              <w:pStyle w:val="38"/>
              <w:adjustRightInd w:val="0"/>
              <w:snapToGrid w:val="0"/>
              <w:spacing w:line="360" w:lineRule="auto"/>
              <w:ind w:firstLine="480"/>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pP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符合性分析：本项目为</w:t>
            </w:r>
            <w:r>
              <w:rPr>
                <w:rFonts w:hint="eastAsia" w:cs="Times New Roman" w:eastAsiaTheme="minorEastAsia"/>
                <w:color w:val="000000" w:themeColor="text1"/>
                <w:kern w:val="2"/>
                <w:sz w:val="24"/>
                <w:szCs w:val="24"/>
                <w:highlight w:val="none"/>
                <w:lang w:val="en-US" w:eastAsia="zh-CN" w:bidi="zh-CN"/>
                <w14:textFill>
                  <w14:solidFill>
                    <w14:schemeClr w14:val="tx1"/>
                  </w14:solidFill>
                </w14:textFill>
              </w:rPr>
              <w:t>扩建</w:t>
            </w: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1.75MW燃生物质锅炉，废气经袋式除尘器处理后，经30米高烟囱排放，满足《锅炉大气污染物排放标准》（GB13271-2014）表2中标准限值要求。符合《环境空气细颗粒物污染综合防治技术政策》中六、防治生活污染要求。</w:t>
            </w:r>
          </w:p>
          <w:p w14:paraId="7D76E2ED">
            <w:pPr>
              <w:spacing w:line="360" w:lineRule="auto"/>
              <w:ind w:firstLine="482" w:firstLineChars="200"/>
              <w:jc w:val="left"/>
              <w:rPr>
                <w:rFonts w:hint="default" w:ascii="Times New Roman" w:hAnsi="Times New Roman" w:cs="Times New Roman" w:eastAsiaTheme="minorEastAsia"/>
                <w:b/>
                <w:color w:val="000000" w:themeColor="text1"/>
                <w:kern w:val="0"/>
                <w:sz w:val="24"/>
                <w:szCs w:val="24"/>
                <w:highlight w:val="none"/>
                <w:lang w:val="en-US" w:eastAsia="zh-CN"/>
                <w14:textFill>
                  <w14:solidFill>
                    <w14:schemeClr w14:val="tx1"/>
                  </w14:solidFill>
                </w14:textFill>
              </w:rPr>
            </w:pPr>
            <w:r>
              <w:rPr>
                <w:rFonts w:hint="default" w:ascii="Times New Roman" w:hAnsi="Times New Roman" w:cs="Times New Roman" w:eastAsiaTheme="minorEastAsia"/>
                <w:b/>
                <w:color w:val="000000" w:themeColor="text1"/>
                <w:kern w:val="0"/>
                <w:sz w:val="24"/>
                <w:szCs w:val="24"/>
                <w:highlight w:val="none"/>
                <w:lang w:val="en-US" w:eastAsia="zh-CN"/>
                <w14:textFill>
                  <w14:solidFill>
                    <w14:schemeClr w14:val="tx1"/>
                  </w14:solidFill>
                </w14:textFill>
              </w:rPr>
              <w:t>2.与《黑龙江省大气污染防治条例》的符合性分析</w:t>
            </w:r>
          </w:p>
          <w:p w14:paraId="3BB972A3">
            <w:pPr>
              <w:autoSpaceDE w:val="0"/>
              <w:autoSpaceDN w:val="0"/>
              <w:adjustRightInd w:val="0"/>
              <w:snapToGrid w:val="0"/>
              <w:spacing w:line="360" w:lineRule="auto"/>
              <w:jc w:val="center"/>
              <w:rPr>
                <w:rFonts w:hint="default" w:ascii="Times New Roman" w:hAnsi="Times New Roman" w:cs="Times New Roman" w:eastAsiaTheme="minorEastAsia"/>
                <w:b/>
                <w:color w:val="000000" w:themeColor="text1"/>
                <w:kern w:val="0"/>
                <w:sz w:val="24"/>
                <w:szCs w:val="24"/>
                <w:highlight w:val="none"/>
                <w:lang w:val="en-US" w:eastAsia="zh-CN"/>
                <w14:textFill>
                  <w14:solidFill>
                    <w14:schemeClr w14:val="tx1"/>
                  </w14:solidFill>
                </w14:textFill>
              </w:rPr>
            </w:pPr>
            <w:r>
              <w:rPr>
                <w:rFonts w:hint="default" w:ascii="Times New Roman" w:hAnsi="Times New Roman" w:cs="Times New Roman" w:eastAsiaTheme="minorEastAsia"/>
                <w:b/>
                <w:color w:val="000000" w:themeColor="text1"/>
                <w:kern w:val="0"/>
                <w:sz w:val="24"/>
                <w:szCs w:val="24"/>
                <w:highlight w:val="none"/>
                <w:lang w:val="en-US" w:eastAsia="zh-CN"/>
                <w14:textFill>
                  <w14:solidFill>
                    <w14:schemeClr w14:val="tx1"/>
                  </w14:solidFill>
                </w14:textFill>
              </w:rPr>
              <w:t>表1-4与黑龙江省大气污染防治条例符合性分析</w:t>
            </w:r>
          </w:p>
          <w:tbl>
            <w:tblPr>
              <w:tblStyle w:val="25"/>
              <w:tblW w:w="4991" w:type="pct"/>
              <w:tblInd w:w="0" w:type="dxa"/>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439"/>
              <w:gridCol w:w="2885"/>
              <w:gridCol w:w="2893"/>
              <w:gridCol w:w="440"/>
            </w:tblGrid>
            <w:tr w14:paraId="2A94670F">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30" w:type="pct"/>
                  <w:tcBorders>
                    <w:tl2br w:val="nil"/>
                    <w:tr2bl w:val="nil"/>
                  </w:tcBorders>
                  <w:noWrap w:val="0"/>
                  <w:vAlign w:val="center"/>
                </w:tcPr>
                <w:p w14:paraId="23AD841E">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序号</w:t>
                  </w:r>
                </w:p>
              </w:tc>
              <w:tc>
                <w:tcPr>
                  <w:tcW w:w="2166" w:type="pct"/>
                  <w:tcBorders>
                    <w:tl2br w:val="nil"/>
                    <w:tr2bl w:val="nil"/>
                  </w:tcBorders>
                  <w:noWrap w:val="0"/>
                  <w:vAlign w:val="center"/>
                </w:tcPr>
                <w:p w14:paraId="67BFEDBB">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黑龙江省大气污染防治条例</w:t>
                  </w:r>
                </w:p>
              </w:tc>
              <w:tc>
                <w:tcPr>
                  <w:tcW w:w="2172" w:type="pct"/>
                  <w:tcBorders>
                    <w:tl2br w:val="nil"/>
                    <w:tr2bl w:val="nil"/>
                  </w:tcBorders>
                  <w:noWrap w:val="0"/>
                  <w:vAlign w:val="center"/>
                </w:tcPr>
                <w:p w14:paraId="0796FF71">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本项目</w:t>
                  </w:r>
                </w:p>
              </w:tc>
              <w:tc>
                <w:tcPr>
                  <w:tcW w:w="330" w:type="pct"/>
                  <w:tcBorders>
                    <w:tl2br w:val="nil"/>
                    <w:tr2bl w:val="nil"/>
                  </w:tcBorders>
                  <w:noWrap w:val="0"/>
                  <w:vAlign w:val="center"/>
                </w:tcPr>
                <w:p w14:paraId="0E3DE72E">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符合性</w:t>
                  </w:r>
                </w:p>
              </w:tc>
            </w:tr>
            <w:tr w14:paraId="6FD62261">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30" w:type="pct"/>
                  <w:tcBorders>
                    <w:tl2br w:val="nil"/>
                    <w:tr2bl w:val="nil"/>
                  </w:tcBorders>
                  <w:noWrap w:val="0"/>
                  <w:vAlign w:val="center"/>
                </w:tcPr>
                <w:p w14:paraId="60F156CE">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1</w:t>
                  </w:r>
                </w:p>
              </w:tc>
              <w:tc>
                <w:tcPr>
                  <w:tcW w:w="2166" w:type="pct"/>
                  <w:tcBorders>
                    <w:tl2br w:val="nil"/>
                    <w:tr2bl w:val="nil"/>
                  </w:tcBorders>
                  <w:noWrap w:val="0"/>
                  <w:vAlign w:val="center"/>
                </w:tcPr>
                <w:p w14:paraId="334D81B7">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建设单位应当将防治扬尘污染的费用列入工程造价，并在施工承包合同中明确施工单位的扬尘污染防治责任。房屋建筑、市政基础设施建设等施工单位应当制定、实施包括重污染天气应对措施在内的施工扬尘污染防治实施方案，并遵守下列规定：</w:t>
                  </w:r>
                </w:p>
                <w:p w14:paraId="4D16136C">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一）在施工工地设置硬质围挡，并负责维护；（二）在施工工地公示扬尘污染防治措施、负责人、扬尘监督管理主管部门等信息；（三）在施工工地出口设置车辆冲洗设施，车辆不得带泥上路，施工工地通道以及出入口周边的道路不得存放建筑垃圾；（四）施工工地出入口、主要通道、加工区等采取硬化处理措施；（五）对施工工地内堆存的建筑土方、工程渣土、建筑垃圾，采取密闭式防尘网遮盖；（六）在施工工地建筑结构脚手架外侧设置有效抑尘的密闭式防尘网；（七）采取</w:t>
                  </w:r>
                  <w:r>
                    <w:rPr>
                      <w:rFonts w:hint="default" w:ascii="Times New Roman" w:hAnsi="Times New Roman" w:cs="Times New Roman" w:eastAsiaTheme="minorEastAsia"/>
                      <w:color w:val="000000" w:themeColor="text1"/>
                      <w:kern w:val="0"/>
                      <w:sz w:val="21"/>
                      <w:szCs w:val="21"/>
                      <w:highlight w:val="none"/>
                      <w:lang w:eastAsia="zh-CN"/>
                      <w14:textFill>
                        <w14:solidFill>
                          <w14:schemeClr w14:val="tx1"/>
                        </w14:solidFill>
                      </w14:textFill>
                    </w:rPr>
                    <w:t>密闭</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方式及时清运建筑垃圾；（八）有效防尘、降尘的其他措施。</w:t>
                  </w:r>
                </w:p>
              </w:tc>
              <w:tc>
                <w:tcPr>
                  <w:tcW w:w="2172" w:type="pct"/>
                  <w:tcBorders>
                    <w:tl2br w:val="nil"/>
                    <w:tr2bl w:val="nil"/>
                  </w:tcBorders>
                  <w:noWrap w:val="0"/>
                  <w:vAlign w:val="center"/>
                </w:tcPr>
                <w:p w14:paraId="64C35C46">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本项目为扩建工程，主要施工内容为设备安装，</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因此，本项目施工期对周边环境无明显影响。</w:t>
                  </w:r>
                </w:p>
              </w:tc>
              <w:tc>
                <w:tcPr>
                  <w:tcW w:w="330" w:type="pct"/>
                  <w:tcBorders>
                    <w:tl2br w:val="nil"/>
                    <w:tr2bl w:val="nil"/>
                  </w:tcBorders>
                  <w:noWrap w:val="0"/>
                  <w:vAlign w:val="center"/>
                </w:tcPr>
                <w:p w14:paraId="66FD291E">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符合</w:t>
                  </w:r>
                </w:p>
              </w:tc>
            </w:tr>
            <w:tr w14:paraId="5F2D3AEC">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30" w:type="pct"/>
                  <w:tcBorders>
                    <w:tl2br w:val="nil"/>
                    <w:tr2bl w:val="nil"/>
                  </w:tcBorders>
                  <w:noWrap w:val="0"/>
                  <w:vAlign w:val="center"/>
                </w:tcPr>
                <w:p w14:paraId="0BE40A88">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2</w:t>
                  </w:r>
                </w:p>
              </w:tc>
              <w:tc>
                <w:tcPr>
                  <w:tcW w:w="2166" w:type="pct"/>
                  <w:tcBorders>
                    <w:tl2br w:val="nil"/>
                    <w:tr2bl w:val="nil"/>
                  </w:tcBorders>
                  <w:noWrap w:val="0"/>
                  <w:vAlign w:val="center"/>
                </w:tcPr>
                <w:p w14:paraId="61CFA3DD">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eastAsiaTheme="minorEastAsia"/>
                      <w:color w:val="000000" w:themeColor="text1"/>
                      <w:kern w:val="0"/>
                      <w:sz w:val="21"/>
                      <w:szCs w:val="21"/>
                      <w:highlight w:val="none"/>
                      <w:lang w:val="en-US"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暂时不能开工的建设用地，建设单位应当对裸露地面进行覆盖；超过三个月的，应当进行绿化、铺装或者遮盖。</w:t>
                  </w:r>
                </w:p>
              </w:tc>
              <w:tc>
                <w:tcPr>
                  <w:tcW w:w="2172" w:type="pct"/>
                  <w:tcBorders>
                    <w:tl2br w:val="nil"/>
                    <w:tr2bl w:val="nil"/>
                  </w:tcBorders>
                  <w:noWrap w:val="0"/>
                  <w:vAlign w:val="center"/>
                </w:tcPr>
                <w:p w14:paraId="74DBB85A">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eastAsiaTheme="minorEastAsia"/>
                      <w:color w:val="000000" w:themeColor="text1"/>
                      <w:kern w:val="0"/>
                      <w:sz w:val="21"/>
                      <w:szCs w:val="21"/>
                      <w:highlight w:val="none"/>
                      <w:lang w:val="en-US"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t>本项目为扩建工程，主要施工内容为设备安装，不涉及</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w:t>
                  </w:r>
                </w:p>
              </w:tc>
              <w:tc>
                <w:tcPr>
                  <w:tcW w:w="330" w:type="pct"/>
                  <w:tcBorders>
                    <w:tl2br w:val="nil"/>
                    <w:tr2bl w:val="nil"/>
                  </w:tcBorders>
                  <w:noWrap w:val="0"/>
                  <w:vAlign w:val="center"/>
                </w:tcPr>
                <w:p w14:paraId="12FB3440">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eastAsiaTheme="minorEastAsia"/>
                      <w:color w:val="000000" w:themeColor="text1"/>
                      <w:kern w:val="0"/>
                      <w:sz w:val="21"/>
                      <w:szCs w:val="21"/>
                      <w:highlight w:val="none"/>
                      <w:lang w:val="en-US"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符合</w:t>
                  </w:r>
                </w:p>
              </w:tc>
            </w:tr>
            <w:tr w14:paraId="227F4435">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30" w:type="pct"/>
                  <w:tcBorders>
                    <w:tl2br w:val="nil"/>
                    <w:tr2bl w:val="nil"/>
                  </w:tcBorders>
                  <w:noWrap w:val="0"/>
                  <w:vAlign w:val="center"/>
                </w:tcPr>
                <w:p w14:paraId="51E540A9">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eastAsiaTheme="minorEastAsia"/>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3</w:t>
                  </w:r>
                </w:p>
              </w:tc>
              <w:tc>
                <w:tcPr>
                  <w:tcW w:w="2166" w:type="pct"/>
                  <w:tcBorders>
                    <w:tl2br w:val="nil"/>
                    <w:tr2bl w:val="nil"/>
                  </w:tcBorders>
                  <w:noWrap w:val="0"/>
                  <w:vAlign w:val="center"/>
                </w:tcPr>
                <w:p w14:paraId="0D8A4B41">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eastAsiaTheme="minorEastAsia"/>
                      <w:color w:val="000000" w:themeColor="text1"/>
                      <w:kern w:val="0"/>
                      <w:sz w:val="21"/>
                      <w:szCs w:val="21"/>
                      <w:highlight w:val="none"/>
                      <w:lang w:val="en-US"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矿山企业应当按照设计和开发利用方案作业，设置废石、废渣、泥土等专门存放地，并采取围挡、硬化施工道路、洒水降尘、设置防风抑尘网或者防尘布等防尘、降尘措施。开采后应当及时进行</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fldChar w:fldCharType="begin"/>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instrText xml:space="preserve"> HYPERLINK "http://www.chndaqi.com/news/field?fid=42" </w:instrTex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fldChar w:fldCharType="separate"/>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生态修</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fldChar w:fldCharType="end"/>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fldChar w:fldCharType="begin"/>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instrText xml:space="preserve"> HYPERLINK "http://www.chndaqi.com/news/field?fid=42" </w:instrTex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fldChar w:fldCharType="separate"/>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复</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fldChar w:fldCharType="end"/>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，防治扬尘污染。</w:t>
                  </w:r>
                </w:p>
              </w:tc>
              <w:tc>
                <w:tcPr>
                  <w:tcW w:w="2172" w:type="pct"/>
                  <w:tcBorders>
                    <w:tl2br w:val="nil"/>
                    <w:tr2bl w:val="nil"/>
                  </w:tcBorders>
                  <w:noWrap w:val="0"/>
                  <w:vAlign w:val="center"/>
                </w:tcPr>
                <w:p w14:paraId="0E11F5BB">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eastAsiaTheme="minorEastAsia"/>
                      <w:color w:val="000000" w:themeColor="text1"/>
                      <w:kern w:val="0"/>
                      <w:sz w:val="21"/>
                      <w:szCs w:val="21"/>
                      <w:highlight w:val="none"/>
                      <w:lang w:val="en-US"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本项目为热力生产和供应</w:t>
                  </w:r>
                  <w:r>
                    <w:rPr>
                      <w:rFonts w:hint="default" w:ascii="Times New Roman" w:hAnsi="Times New Roman" w:cs="Times New Roman" w:eastAsiaTheme="minorEastAsia"/>
                      <w:color w:val="000000" w:themeColor="text1"/>
                      <w:kern w:val="0"/>
                      <w:sz w:val="21"/>
                      <w:szCs w:val="21"/>
                      <w:highlight w:val="none"/>
                      <w:lang w:eastAsia="zh-CN"/>
                      <w14:textFill>
                        <w14:solidFill>
                          <w14:schemeClr w14:val="tx1"/>
                        </w14:solidFill>
                      </w14:textFill>
                    </w:rPr>
                    <w:t>项目</w:t>
                  </w: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，非矿山企业。</w:t>
                  </w:r>
                </w:p>
              </w:tc>
              <w:tc>
                <w:tcPr>
                  <w:tcW w:w="330" w:type="pct"/>
                  <w:tcBorders>
                    <w:tl2br w:val="nil"/>
                    <w:tr2bl w:val="nil"/>
                  </w:tcBorders>
                  <w:noWrap w:val="0"/>
                  <w:vAlign w:val="center"/>
                </w:tcPr>
                <w:p w14:paraId="4FF713B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eastAsiaTheme="minorEastAsia"/>
                      <w:color w:val="000000" w:themeColor="text1"/>
                      <w:kern w:val="0"/>
                      <w:sz w:val="21"/>
                      <w:szCs w:val="21"/>
                      <w:highlight w:val="none"/>
                      <w:lang w:val="en-US" w:eastAsia="en-US"/>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14:textFill>
                        <w14:solidFill>
                          <w14:schemeClr w14:val="tx1"/>
                        </w14:solidFill>
                      </w14:textFill>
                    </w:rPr>
                    <w:t>符合</w:t>
                  </w:r>
                </w:p>
              </w:tc>
            </w:tr>
          </w:tbl>
          <w:p w14:paraId="53107BAE">
            <w:pPr>
              <w:spacing w:line="360" w:lineRule="auto"/>
              <w:ind w:firstLine="482" w:firstLineChars="200"/>
              <w:jc w:val="left"/>
              <w:rPr>
                <w:rFonts w:hint="default" w:ascii="Times New Roman" w:hAnsi="Times New Roman" w:cs="Times New Roman" w:eastAsiaTheme="minorEastAsia"/>
                <w:b/>
                <w:color w:val="000000" w:themeColor="text1"/>
                <w:kern w:val="0"/>
                <w:sz w:val="24"/>
                <w:szCs w:val="24"/>
                <w:highlight w:val="none"/>
                <w:lang w:val="en-US" w:eastAsia="zh-CN"/>
                <w14:textFill>
                  <w14:solidFill>
                    <w14:schemeClr w14:val="tx1"/>
                  </w14:solidFill>
                </w14:textFill>
              </w:rPr>
            </w:pPr>
            <w:r>
              <w:rPr>
                <w:rFonts w:hint="default" w:ascii="Times New Roman" w:hAnsi="Times New Roman" w:cs="Times New Roman" w:eastAsiaTheme="minorEastAsia"/>
                <w:b/>
                <w:color w:val="000000" w:themeColor="text1"/>
                <w:kern w:val="0"/>
                <w:sz w:val="24"/>
                <w:szCs w:val="24"/>
                <w:highlight w:val="none"/>
                <w:lang w:val="en-US" w:eastAsia="zh-CN"/>
                <w14:textFill>
                  <w14:solidFill>
                    <w14:schemeClr w14:val="tx1"/>
                  </w14:solidFill>
                </w14:textFill>
              </w:rPr>
              <w:t>3.与《黑龙江省“十四五”生态环境保护规划》符合性分析</w:t>
            </w:r>
          </w:p>
          <w:p w14:paraId="695EDDE4">
            <w:pPr>
              <w:pStyle w:val="38"/>
              <w:adjustRightInd w:val="0"/>
              <w:snapToGrid w:val="0"/>
              <w:spacing w:line="360" w:lineRule="auto"/>
              <w:ind w:firstLine="480"/>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pP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《规划》提出：推进扬尘精细化管控。全面推行绿色施工，严格落实施工工地扬尘管控责任，加强施工扬尘监管执法。推进低尘机械化湿式清扫作业，加大城市出入口、城乡接合部等重要路段冲洗保洁力度</w:t>
            </w:r>
            <w:r>
              <w:rPr>
                <w:rFonts w:hint="eastAsia" w:cs="Times New Roman" w:eastAsiaTheme="minorEastAsia"/>
                <w:color w:val="000000" w:themeColor="text1"/>
                <w:kern w:val="2"/>
                <w:sz w:val="24"/>
                <w:szCs w:val="24"/>
                <w:highlight w:val="none"/>
                <w:lang w:val="en-US" w:eastAsia="zh-CN" w:bidi="zh-CN"/>
                <w14:textFill>
                  <w14:solidFill>
                    <w14:schemeClr w14:val="tx1"/>
                  </w14:solidFill>
                </w14:textFill>
              </w:rPr>
              <w:t>，对</w:t>
            </w: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渣土车实施全密闭运输，强化绿化用地扬尘治理。城市裸露地面、粉粒类物料堆放以及大型煤炭和矿石码头、干散货码头物料堆场，全面完成抑尘设施建设和物料输送系统密闭改造，鼓励有条件的码头堆场实施全密闭改造。</w:t>
            </w:r>
          </w:p>
          <w:p w14:paraId="0E5D481B">
            <w:pPr>
              <w:pStyle w:val="38"/>
              <w:adjustRightInd w:val="0"/>
              <w:snapToGrid w:val="0"/>
              <w:spacing w:line="360" w:lineRule="auto"/>
              <w:ind w:firstLine="480"/>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pP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本项目原料采用汽运运入厂区，运输车辆全部采用苫布覆盖，运输过程做到不超载，不滴、撒、漏，厂区地面洒水降尘；原料的输送、计量及投料均为密闭式。综上，本项目采取污染防治措施符合《黑龙江省“十四五”生态环境保护规划》要求。</w:t>
            </w:r>
          </w:p>
          <w:p w14:paraId="6B6B2361">
            <w:pPr>
              <w:spacing w:line="360" w:lineRule="auto"/>
              <w:ind w:firstLine="482" w:firstLineChars="200"/>
              <w:jc w:val="left"/>
              <w:rPr>
                <w:rFonts w:hint="default" w:ascii="Times New Roman" w:hAnsi="Times New Roman" w:cs="Times New Roman" w:eastAsiaTheme="minorEastAsia"/>
                <w:b/>
                <w:color w:val="000000" w:themeColor="text1"/>
                <w:kern w:val="0"/>
                <w:sz w:val="24"/>
                <w:szCs w:val="24"/>
                <w:highlight w:val="none"/>
                <w:lang w:val="en-US" w:eastAsia="zh-CN"/>
                <w14:textFill>
                  <w14:solidFill>
                    <w14:schemeClr w14:val="tx1"/>
                  </w14:solidFill>
                </w14:textFill>
              </w:rPr>
            </w:pPr>
            <w:r>
              <w:rPr>
                <w:rFonts w:hint="default" w:ascii="Times New Roman" w:hAnsi="Times New Roman" w:cs="Times New Roman" w:eastAsiaTheme="minorEastAsia"/>
                <w:b/>
                <w:color w:val="000000" w:themeColor="text1"/>
                <w:kern w:val="0"/>
                <w:sz w:val="24"/>
                <w:szCs w:val="24"/>
                <w:highlight w:val="none"/>
                <w:lang w:val="en-US" w:eastAsia="zh-CN"/>
                <w14:textFill>
                  <w14:solidFill>
                    <w14:schemeClr w14:val="tx1"/>
                  </w14:solidFill>
                </w14:textFill>
              </w:rPr>
              <w:t>4.与《黑龙江省空气质量持续改善行动计划实施方案》符合性分析</w:t>
            </w:r>
          </w:p>
          <w:p w14:paraId="28113772">
            <w:pPr>
              <w:pStyle w:val="38"/>
              <w:adjustRightInd w:val="0"/>
              <w:snapToGrid w:val="0"/>
              <w:spacing w:line="360" w:lineRule="auto"/>
              <w:ind w:firstLine="480"/>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pP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根据黑龙江省空气质量持续改善行动计划实施方案：五、持续加强面源污染治理、（十九）深化扬尘污染综合治理。全面推行绿色施工，严格执行“六个百分之百”，将防治扬尘污染费用纳入工程造价。到2025年，装配式建筑占新建建筑面积的比例达到30%；地级及以上城市建成区道路机械化清扫率达80%左右，县城达70%左右。对城市公共绿地进行排查建档并采取防尘措施。城市大型煤炭、矿石等干散货码头物料堆场基本完成抑尘设施建设和物料输送系统密闭改造。</w:t>
            </w:r>
          </w:p>
          <w:p w14:paraId="22A6DCB4">
            <w:pPr>
              <w:pStyle w:val="38"/>
              <w:adjustRightInd w:val="0"/>
              <w:snapToGrid w:val="0"/>
              <w:spacing w:line="360" w:lineRule="auto"/>
              <w:ind w:firstLine="480"/>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pP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本项目原料采用汽运运入厂区，运输车辆全部采用苫布覆盖，运输过程做到不超载，不滴、撒、漏，厂区地面洒水降尘；原料的输送、计量及投料均为密闭式。综上，本项目采取污染防治措施符合《黑龙江省空气质量持续改善行动计划实施方案》要求。</w:t>
            </w:r>
          </w:p>
          <w:p w14:paraId="3586E483">
            <w:pPr>
              <w:spacing w:line="360" w:lineRule="auto"/>
              <w:ind w:firstLine="482" w:firstLineChars="200"/>
              <w:jc w:val="left"/>
              <w:rPr>
                <w:rFonts w:hint="default" w:ascii="Times New Roman" w:hAnsi="Times New Roman" w:cs="Times New Roman" w:eastAsiaTheme="minorEastAsia"/>
                <w:b/>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cs="Times New Roman" w:eastAsiaTheme="minorEastAsia"/>
                <w:b/>
                <w:bCs w:val="0"/>
                <w:color w:val="000000" w:themeColor="text1"/>
                <w:kern w:val="0"/>
                <w:sz w:val="24"/>
                <w:szCs w:val="24"/>
                <w:highlight w:val="none"/>
                <w:lang w:val="en-US" w:eastAsia="zh-CN"/>
                <w14:textFill>
                  <w14:solidFill>
                    <w14:schemeClr w14:val="tx1"/>
                  </w14:solidFill>
                </w14:textFill>
              </w:rPr>
              <w:t>5.与《双鸭山市“十四五”生态环境保护规划》符合性分析</w:t>
            </w:r>
          </w:p>
          <w:p w14:paraId="22DB5AF9">
            <w:pPr>
              <w:pStyle w:val="38"/>
              <w:adjustRightInd w:val="0"/>
              <w:snapToGrid w:val="0"/>
              <w:spacing w:line="360" w:lineRule="auto"/>
              <w:ind w:firstLine="480"/>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（三）深化协同控制，持续改善环境空气质量。</w:t>
            </w:r>
          </w:p>
          <w:p w14:paraId="57D4A28F">
            <w:pPr>
              <w:pStyle w:val="38"/>
              <w:adjustRightInd w:val="0"/>
              <w:snapToGrid w:val="0"/>
              <w:spacing w:line="360" w:lineRule="auto"/>
              <w:ind w:firstLine="480"/>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1.实施大气环境质量目标管理。</w:t>
            </w:r>
          </w:p>
          <w:p w14:paraId="78474FEF">
            <w:pPr>
              <w:pStyle w:val="38"/>
              <w:adjustRightInd w:val="0"/>
              <w:snapToGrid w:val="0"/>
              <w:spacing w:line="360" w:lineRule="auto"/>
              <w:ind w:firstLine="480"/>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以环境空气质量改善为核心，不断提高优良天数比率。深入研究分析影响全市环境空气质量改善的重点问题，集中精力做到重点突破，同时对已完成的工作要巩固治理成果，防止反弹。</w:t>
            </w:r>
          </w:p>
          <w:p w14:paraId="792AA12E">
            <w:pPr>
              <w:pStyle w:val="38"/>
              <w:adjustRightInd w:val="0"/>
              <w:snapToGrid w:val="0"/>
              <w:spacing w:line="360" w:lineRule="auto"/>
              <w:ind w:firstLine="480"/>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2.加强细颗粒物污染防治。</w:t>
            </w:r>
          </w:p>
          <w:p w14:paraId="5CC1F8A4">
            <w:pPr>
              <w:pStyle w:val="38"/>
              <w:adjustRightInd w:val="0"/>
              <w:snapToGrid w:val="0"/>
              <w:spacing w:line="360" w:lineRule="auto"/>
              <w:ind w:firstLine="480"/>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聚焦“三重一改”，集中力量开展散煤污染治理。根据《双鸭山市散煤污染治理行动方案》，通过实施集中供热工程、棚户区拆迁改造工程、清洁能源替代工程、推进农村地区生物质燃料可再生能源替代散煤、节能建筑和老旧管网小区改造工程、燃煤小锅炉淘汰工程、规范散煤经营行为、打击非法经营行为等8方面工作，实现全市环境空气质量不断改善。2021年，削减散煤23.68万吨，棚户区改造1663户，改造老旧小区外墙保温板104.13万平方米，老旧管网改造101.08公里，淘汰建成区外20台10蒸吨以下锅炉、7台20蒸吨锅炉，完成了集贤浩宇新能源公司、集贤佳盛新能源公司、中能建公司笔架山、双鸭山市尖山区公立村4个分散式风电。2022年，削减散煤3.85万吨，棚户区改造170户、建筑节能改造77万平方米，老旧管网改造89.22公里，完成了国能宝清煤电化有限公司分布式光伏电站、黑龙江建龙钢铁有限公司40MW煤气发电等“近零排放”项目。</w:t>
            </w:r>
          </w:p>
          <w:p w14:paraId="2E65FED6">
            <w:pPr>
              <w:pStyle w:val="38"/>
              <w:adjustRightInd w:val="0"/>
              <w:snapToGrid w:val="0"/>
              <w:spacing w:line="360" w:lineRule="auto"/>
              <w:ind w:firstLine="480"/>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实施大气环境质量目标管理。对照2035年远景目标，开展形势分析，研究提出大气环境质量近期目标。坚持前紧后松、持续改善的原则，加强达标进程管理。到2025年，我市持续改善大气环境质量。</w:t>
            </w:r>
          </w:p>
          <w:p w14:paraId="26ED8E03">
            <w:pPr>
              <w:pStyle w:val="38"/>
              <w:adjustRightInd w:val="0"/>
              <w:snapToGrid w:val="0"/>
              <w:spacing w:line="360" w:lineRule="auto"/>
              <w:ind w:firstLine="480"/>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深化燃煤设施整治。全面开展市级城市建成区内35蒸吨以下燃煤锅炉淘汰工作；按照《双鸭山市燃煤储粮烘干设施清洁能源改造项目实施方案》要求，逐步推进燃煤储粮烘干设施清洁能源改造，将燃料由煤改为醇基清洁燃料。</w:t>
            </w:r>
          </w:p>
          <w:p w14:paraId="447A4968">
            <w:pPr>
              <w:pStyle w:val="38"/>
              <w:adjustRightInd w:val="0"/>
              <w:snapToGrid w:val="0"/>
              <w:spacing w:line="360" w:lineRule="auto"/>
              <w:ind w:firstLine="480"/>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加强秸秆禁烧和综合利用。加强春、秋季秸秆禁烧管控，发挥工作领导小组及联席会议制度作用，统筹对各县（区）</w:t>
            </w:r>
            <w:r>
              <w:rPr>
                <w:rFonts w:hint="default" w:ascii="Times New Roman" w:hAnsi="Times New Roman" w:cs="Times New Roman" w:eastAsiaTheme="minorEastAsia"/>
                <w:color w:val="000000" w:themeColor="text1"/>
                <w:kern w:val="0"/>
                <w:sz w:val="24"/>
                <w:szCs w:val="24"/>
                <w:highlight w:val="none"/>
                <w:lang w:eastAsia="zh-CN"/>
                <w14:textFill>
                  <w14:solidFill>
                    <w14:schemeClr w14:val="tx1"/>
                  </w14:solidFill>
                </w14:textFill>
              </w:rPr>
              <w:t>、各</w:t>
            </w: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部门持续开展督察。健全市县乡村“四级”网格化监管体系，开展秸秆禁烧专项巡查，综合运用无人机、高清视频监控等手段，不断提高禁烧监管水平，严格落实禁烧监管目标责任考核和奖惩制度。加大秸秆离田政策支持力度，探索秸秆肥料化、饲料化、基料化、原料化、燃料化“五化”利用，到2025年，全市秸秆综合利用率95%。</w:t>
            </w:r>
          </w:p>
          <w:p w14:paraId="3DE42A2F">
            <w:pPr>
              <w:pStyle w:val="38"/>
              <w:adjustRightInd w:val="0"/>
              <w:snapToGrid w:val="0"/>
              <w:spacing w:line="360" w:lineRule="auto"/>
              <w:ind w:firstLine="480"/>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加强扬尘精细化管控。积极推行绿色施工，督促责任单位严格落实标准化防控措施。将绿色施工纳入企业资质评价、信用评价。重点区域道路、水务等线性工程进行分段施工。推进低尘机械化湿式清扫作业，加大城市出入口、</w:t>
            </w:r>
            <w:r>
              <w:rPr>
                <w:rFonts w:hint="default" w:ascii="Times New Roman" w:hAnsi="Times New Roman" w:cs="Times New Roman" w:eastAsiaTheme="minorEastAsia"/>
                <w:color w:val="000000" w:themeColor="text1"/>
                <w:kern w:val="0"/>
                <w:sz w:val="24"/>
                <w:szCs w:val="24"/>
                <w:highlight w:val="none"/>
                <w:lang w:eastAsia="zh-CN"/>
                <w14:textFill>
                  <w14:solidFill>
                    <w14:schemeClr w14:val="tx1"/>
                  </w14:solidFill>
                </w14:textFill>
              </w:rPr>
              <w:t>城乡接合部</w:t>
            </w: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等重要路段冲洗保洁力度</w:t>
            </w:r>
            <w:r>
              <w:rPr>
                <w:rFonts w:hint="eastAsia" w:cs="Times New Roman" w:eastAsiaTheme="minorEastAsia"/>
                <w:color w:val="000000" w:themeColor="text1"/>
                <w:kern w:val="0"/>
                <w:sz w:val="24"/>
                <w:szCs w:val="24"/>
                <w:highlight w:val="none"/>
                <w:lang w:eastAsia="zh-CN"/>
                <w14:textFill>
                  <w14:solidFill>
                    <w14:schemeClr w14:val="tx1"/>
                  </w14:solidFill>
                </w14:textFill>
              </w:rPr>
              <w:t>，对</w:t>
            </w: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渣土车实施硬覆盖与全密闭运输，强化绿化用地扬尘治理。加强城市裸露地面、粉粒类物料堆放以及大型煤炭物料堆场的抑尘设施建设。</w:t>
            </w:r>
          </w:p>
          <w:p w14:paraId="5316B6B1">
            <w:pPr>
              <w:pStyle w:val="38"/>
              <w:adjustRightInd w:val="0"/>
              <w:snapToGrid w:val="0"/>
              <w:spacing w:line="360" w:lineRule="auto"/>
              <w:ind w:firstLine="480"/>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pP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本项目为</w:t>
            </w:r>
            <w:r>
              <w:rPr>
                <w:rFonts w:hint="eastAsia" w:cs="Times New Roman" w:eastAsiaTheme="minorEastAsia"/>
                <w:color w:val="000000" w:themeColor="text1"/>
                <w:kern w:val="2"/>
                <w:sz w:val="24"/>
                <w:szCs w:val="24"/>
                <w:highlight w:val="none"/>
                <w:lang w:val="en-US" w:eastAsia="zh-CN" w:bidi="zh-CN"/>
                <w14:textFill>
                  <w14:solidFill>
                    <w14:schemeClr w14:val="tx1"/>
                  </w14:solidFill>
                </w14:textFill>
              </w:rPr>
              <w:t>扩建</w:t>
            </w: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1.75MW燃生物质锅炉，废气经袋式除尘器处理后，经30米高烟囱排放，满足《锅炉大气污染物排放标准》（GB13271-2014）表2中标准限值要求。</w:t>
            </w:r>
            <w:r>
              <w:rPr>
                <w:rFonts w:hint="default" w:ascii="Times New Roman" w:hAnsi="Times New Roman" w:cs="Times New Roman" w:eastAsiaTheme="minorEastAsia"/>
                <w:color w:val="000000" w:themeColor="text1"/>
                <w:kern w:val="0"/>
                <w:sz w:val="24"/>
                <w:szCs w:val="24"/>
                <w:highlight w:val="none"/>
                <w:lang w:val="en-US" w:eastAsia="zh-CN"/>
                <w14:textFill>
                  <w14:solidFill>
                    <w14:schemeClr w14:val="tx1"/>
                  </w14:solidFill>
                </w14:textFill>
              </w:rPr>
              <w:t>通过相应大气污染防治措施可使大气污染物达标排放，</w:t>
            </w:r>
            <w:r>
              <w:rPr>
                <w:rFonts w:hint="default" w:ascii="Times New Roman" w:hAnsi="Times New Roman" w:cs="Times New Roman" w:eastAsiaTheme="minorEastAsia"/>
                <w:color w:val="000000" w:themeColor="text1"/>
                <w:kern w:val="2"/>
                <w:sz w:val="24"/>
                <w:szCs w:val="24"/>
                <w:highlight w:val="none"/>
                <w:lang w:val="en-US" w:eastAsia="zh-CN" w:bidi="zh-CN"/>
                <w14:textFill>
                  <w14:solidFill>
                    <w14:schemeClr w14:val="tx1"/>
                  </w14:solidFill>
                </w14:textFill>
              </w:rPr>
              <w:t>可满足《双鸭山市“十四五”生态环境保护规划》中的相关要求。</w:t>
            </w:r>
          </w:p>
          <w:p w14:paraId="4DEB044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pPr>
          </w:p>
        </w:tc>
      </w:tr>
    </w:tbl>
    <w:p w14:paraId="79D057EA">
      <w:pPr>
        <w:spacing w:line="360" w:lineRule="auto"/>
        <w:outlineLvl w:val="0"/>
        <w:rPr>
          <w:rFonts w:hint="default" w:ascii="Times New Roman" w:hAnsi="Times New Roman" w:eastAsia="黑体" w:cs="Times New Roman"/>
          <w:color w:val="000000" w:themeColor="text1"/>
          <w:sz w:val="30"/>
          <w:highlight w:val="none"/>
          <w14:textFill>
            <w14:solidFill>
              <w14:schemeClr w14:val="tx1"/>
            </w14:solidFill>
          </w14:textFill>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3E592723">
      <w:pPr>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bookmarkStart w:id="8" w:name="_Toc21046"/>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二、建设项目工程分析</w:t>
      </w:r>
      <w:bookmarkEnd w:id="8"/>
    </w:p>
    <w:tbl>
      <w:tblPr>
        <w:tblStyle w:val="1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3"/>
        <w:gridCol w:w="8317"/>
      </w:tblGrid>
      <w:tr w14:paraId="20BD83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10" w:hRule="atLeast"/>
          <w:jc w:val="center"/>
        </w:trPr>
        <w:tc>
          <w:tcPr>
            <w:tcW w:w="743" w:type="dxa"/>
            <w:noWrap w:val="0"/>
            <w:vAlign w:val="center"/>
          </w:tcPr>
          <w:p w14:paraId="16AB393D">
            <w:pPr>
              <w:adjustRightInd w:val="0"/>
              <w:snapToGrid w:val="0"/>
              <w:spacing w:before="0" w:beforeAutospacing="0" w:after="0" w:afterAutospacing="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建设内容</w:t>
            </w:r>
          </w:p>
        </w:tc>
        <w:tc>
          <w:tcPr>
            <w:tcW w:w="8317" w:type="dxa"/>
            <w:noWrap w:val="0"/>
            <w:vAlign w:val="top"/>
          </w:tcPr>
          <w:p w14:paraId="2C473910">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pPr>
            <w:r>
              <w:rPr>
                <w:rFonts w:hint="default" w:ascii="Times New Roman" w:hAnsi="Times New Roman" w:cs="Times New Roman"/>
                <w:b/>
                <w:bCs w:val="0"/>
                <w:color w:val="000000" w:themeColor="text1"/>
                <w:sz w:val="24"/>
                <w:szCs w:val="24"/>
                <w:highlight w:val="none"/>
                <w:lang w:val="en-US" w:eastAsia="zh-CN"/>
                <w14:textFill>
                  <w14:solidFill>
                    <w14:schemeClr w14:val="tx1"/>
                  </w14:solidFill>
                </w14:textFill>
              </w:rPr>
              <w:t>项目由来</w:t>
            </w:r>
          </w:p>
          <w:p w14:paraId="3BBE77E6">
            <w:pPr>
              <w:pStyle w:val="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双鸭山森远木业有限公司成立于2014年，于2019年6月完成《双鸭山森远木业有限公司禾香板生产及定制家具加工建设项目环境影响评价报告表》。双鸭山市生态环境局于2019年7月24日出具</w:t>
            </w:r>
            <w:r>
              <w:rPr>
                <w:rFonts w:hint="default" w:ascii="Times New Roman" w:hAnsi="Times New Roman" w:eastAsia="宋体" w:cs="Times New Roman"/>
                <w:color w:val="FF0000"/>
                <w:kern w:val="2"/>
                <w:sz w:val="24"/>
                <w:szCs w:val="24"/>
                <w:highlight w:val="none"/>
                <w:lang w:val="en-US" w:eastAsia="zh-CN" w:bidi="ar-SA"/>
              </w:rPr>
              <w:t>《关于双鸭山森远木业有限公司禾香板生产及定制家具加工建设项目环境影响报告表的批复》</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（双环函</w:t>
            </w:r>
            <w:r>
              <w:rPr>
                <w:rFonts w:hint="eastAsia" w:eastAsia="宋体" w:cs="Times New Roman"/>
                <w:color w:val="000000" w:themeColor="text1"/>
                <w:kern w:val="2"/>
                <w:sz w:val="24"/>
                <w:szCs w:val="24"/>
                <w:highlight w:val="none"/>
                <w:lang w:val="en-US" w:eastAsia="zh-CN" w:bidi="ar-SA"/>
                <w14:textFill>
                  <w14:solidFill>
                    <w14:schemeClr w14:val="tx1"/>
                  </w14:solidFill>
                </w14:textFill>
              </w:rPr>
              <w:t>〔2019〕60号</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）。并于2019年12月建成，由于新冠病毒疫情原因及市场原因，至今，企业尚未</w:t>
            </w:r>
            <w:r>
              <w:rPr>
                <w:rFonts w:hint="eastAsia" w:cs="Times New Roman"/>
                <w:color w:val="000000" w:themeColor="text1"/>
                <w:kern w:val="2"/>
                <w:sz w:val="24"/>
                <w:szCs w:val="24"/>
                <w:highlight w:val="none"/>
                <w:lang w:val="en-US" w:eastAsia="zh-CN" w:bidi="ar-SA"/>
                <w14:textFill>
                  <w14:solidFill>
                    <w14:schemeClr w14:val="tx1"/>
                  </w14:solidFill>
                </w14:textFill>
              </w:rPr>
              <w:t>正式</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开工生产</w:t>
            </w:r>
            <w:r>
              <w:rPr>
                <w:rFonts w:hint="eastAsia" w:cs="Times New Roman"/>
                <w:color w:val="000000" w:themeColor="text1"/>
                <w:kern w:val="2"/>
                <w:sz w:val="24"/>
                <w:szCs w:val="24"/>
                <w:highlight w:val="none"/>
                <w:lang w:val="en-US" w:eastAsia="zh-CN" w:bidi="ar-SA"/>
                <w14:textFill>
                  <w14:solidFill>
                    <w14:schemeClr w14:val="tx1"/>
                  </w14:solidFill>
                </w14:textFill>
              </w:rPr>
              <w:t>，</w:t>
            </w:r>
            <w:r>
              <w:rPr>
                <w:rFonts w:hint="eastAsia" w:cs="Times New Roman"/>
                <w:color w:val="FF0000"/>
                <w:kern w:val="2"/>
                <w:sz w:val="24"/>
                <w:szCs w:val="24"/>
                <w:highlight w:val="none"/>
                <w:lang w:val="en-US" w:eastAsia="zh-CN" w:bidi="ar-SA"/>
              </w:rPr>
              <w:t>尚未进行建设项目竣工环境保护验收工作</w:t>
            </w:r>
            <w:r>
              <w:rPr>
                <w:rFonts w:hint="default" w:ascii="Times New Roman" w:hAnsi="Times New Roman" w:eastAsia="宋体" w:cs="Times New Roman"/>
                <w:color w:val="FF0000"/>
                <w:kern w:val="2"/>
                <w:sz w:val="24"/>
                <w:szCs w:val="24"/>
                <w:highlight w:val="none"/>
                <w:lang w:val="en-US" w:eastAsia="zh-CN" w:bidi="ar-SA"/>
              </w:rPr>
              <w:t>。</w:t>
            </w:r>
          </w:p>
          <w:p w14:paraId="677927EF">
            <w:pPr>
              <w:pStyle w:val="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2023年3月，公司名称变更为黑龙江森柏岚图家具制造有限公司。</w:t>
            </w:r>
          </w:p>
          <w:p w14:paraId="236FAAD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color w:val="000000" w:themeColor="text1"/>
                <w:kern w:val="2"/>
                <w:sz w:val="24"/>
                <w:szCs w:val="24"/>
                <w:highlight w:val="none"/>
                <w:lang w:val="en-US" w:eastAsia="zh-CN" w:bidi="ar-SA"/>
                <w14:textFill>
                  <w14:solidFill>
                    <w14:schemeClr w14:val="tx1"/>
                  </w14:solidFill>
                </w14:textFill>
              </w:rPr>
              <w:t>本项目位于双鸭山市尖山区窑地路，与岭东区相接，经咨询双鸭山市岭东区供热办，本项目位于岭东区供热范围内，由双鸭山市双达供热有限公司负责供热。目前供热管道已经铺设到位，但由于供热站尚未建设，双鸭山市双达供热有限公司供热负荷无法满足本项目需求。为满足本项目供热需求，</w:t>
            </w: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建设</w:t>
            </w:r>
            <w:r>
              <w:rPr>
                <w:rFonts w:hint="eastAsia" w:cs="Times New Roman"/>
                <w:color w:val="000000" w:themeColor="text1"/>
                <w:kern w:val="2"/>
                <w:sz w:val="24"/>
                <w:szCs w:val="24"/>
                <w:highlight w:val="none"/>
                <w:lang w:val="en-US" w:eastAsia="zh-CN" w:bidi="ar-SA"/>
                <w14:textFill>
                  <w14:solidFill>
                    <w14:schemeClr w14:val="tx1"/>
                  </w14:solidFill>
                </w14:textFill>
              </w:rPr>
              <w:t>一台</w:t>
            </w: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1.75MW燃生物质锅炉</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（CDZG1.75/85/60）</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cs="Times New Roman"/>
                <w:color w:val="000000" w:themeColor="text1"/>
                <w:kern w:val="2"/>
                <w:sz w:val="24"/>
                <w:szCs w:val="24"/>
                <w:highlight w:val="none"/>
                <w:lang w:val="en-US" w:eastAsia="zh-CN" w:bidi="ar-SA"/>
                <w14:textFill>
                  <w14:solidFill>
                    <w14:schemeClr w14:val="tx1"/>
                  </w14:solidFill>
                </w14:textFill>
              </w:rPr>
              <w:t>作为临时热源，</w:t>
            </w: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为生产车间及办公室供热。</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待热源具备供应能力后，接入集中供热，拆除本次建设的生物质锅炉，承诺文件见附件。</w:t>
            </w:r>
          </w:p>
          <w:p w14:paraId="5BED2BE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pPr>
            <w:r>
              <w:rPr>
                <w:rFonts w:hint="eastAsia" w:eastAsia="宋体" w:cs="Times New Roman"/>
                <w:b/>
                <w:bCs/>
                <w:color w:val="000000" w:themeColor="text1"/>
                <w:kern w:val="2"/>
                <w:sz w:val="24"/>
                <w:szCs w:val="24"/>
                <w:highlight w:val="none"/>
                <w:lang w:val="en-US" w:eastAsia="zh-CN" w:bidi="ar-SA"/>
                <w14:textFill>
                  <w14:solidFill>
                    <w14:schemeClr w14:val="tx1"/>
                  </w14:solidFill>
                </w14:textFill>
              </w:rPr>
              <w:t>2.</w:t>
            </w:r>
            <w:r>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t>工程组成</w:t>
            </w:r>
          </w:p>
          <w:p w14:paraId="54264DD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t>本项目总</w:t>
            </w:r>
            <w:r>
              <w:rPr>
                <w:rFonts w:hint="default" w:ascii="Times New Roman" w:hAnsi="Times New Roman" w:eastAsia="宋体" w:cs="Times New Roman"/>
                <w:bCs/>
                <w:color w:val="000000" w:themeColor="text1"/>
                <w:sz w:val="24"/>
                <w:szCs w:val="24"/>
                <w:highlight w:val="none"/>
                <w14:textFill>
                  <w14:solidFill>
                    <w14:schemeClr w14:val="tx1"/>
                  </w14:solidFill>
                </w14:textFill>
              </w:rPr>
              <w:t>占地面积</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200</w:t>
            </w:r>
            <w:r>
              <w:rPr>
                <w:rFonts w:hint="default" w:ascii="Times New Roman" w:hAnsi="Times New Roman" w:eastAsia="宋体" w:cs="Times New Roman"/>
                <w:bCs/>
                <w:color w:val="000000" w:themeColor="text1"/>
                <w:sz w:val="24"/>
                <w:szCs w:val="24"/>
                <w:highlight w:val="none"/>
                <w14:textFill>
                  <w14:solidFill>
                    <w14:schemeClr w14:val="tx1"/>
                  </w14:solidFill>
                </w14:textFill>
              </w:rPr>
              <w:t>m</w:t>
            </w:r>
            <w:r>
              <w:rPr>
                <w:rFonts w:hint="default" w:ascii="Times New Roman" w:hAnsi="Times New Roman" w:eastAsia="宋体" w:cs="Times New Roman"/>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Cs/>
                <w:color w:val="000000" w:themeColor="text1"/>
                <w:sz w:val="24"/>
                <w:szCs w:val="24"/>
                <w:highlight w:val="none"/>
                <w14:textFill>
                  <w14:solidFill>
                    <w14:schemeClr w14:val="tx1"/>
                  </w14:solidFill>
                </w14:textFill>
              </w:rPr>
              <w:t>，</w:t>
            </w:r>
            <w:r>
              <w:rPr>
                <w:rFonts w:hint="default" w:ascii="Times New Roman" w:hAnsi="Times New Roman" w:cs="Times New Roman"/>
                <w:bCs/>
                <w:color w:val="000000" w:themeColor="text1"/>
                <w:sz w:val="24"/>
                <w:szCs w:val="24"/>
                <w:highlight w:val="none"/>
                <w:lang w:eastAsia="zh-CN"/>
                <w14:textFill>
                  <w14:solidFill>
                    <w14:schemeClr w14:val="tx1"/>
                  </w14:solidFill>
                </w14:textFill>
              </w:rPr>
              <w:t>主要建设</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1座锅炉房，</w:t>
            </w:r>
            <w:r>
              <w:rPr>
                <w:rFonts w:hint="eastAsia" w:cs="Times New Roman"/>
                <w:bCs/>
                <w:color w:val="000000" w:themeColor="text1"/>
                <w:sz w:val="24"/>
                <w:szCs w:val="24"/>
                <w:highlight w:val="none"/>
                <w:lang w:val="en-US" w:eastAsia="zh-CN"/>
                <w14:textFill>
                  <w14:solidFill>
                    <w14:schemeClr w14:val="tx1"/>
                  </w14:solidFill>
                </w14:textFill>
              </w:rPr>
              <w:t>主要供热范围为生产车间和办公室，供热面积为7637.2m</w:t>
            </w:r>
            <w:r>
              <w:rPr>
                <w:rFonts w:hint="eastAsia" w:cs="Times New Roman"/>
                <w:bCs/>
                <w:color w:val="000000" w:themeColor="text1"/>
                <w:sz w:val="24"/>
                <w:szCs w:val="24"/>
                <w:highlight w:val="none"/>
                <w:vertAlign w:val="superscript"/>
                <w:lang w:val="en-US" w:eastAsia="zh-CN"/>
                <w14:textFill>
                  <w14:solidFill>
                    <w14:schemeClr w14:val="tx1"/>
                  </w14:solidFill>
                </w14:textFill>
              </w:rPr>
              <w:t>2</w:t>
            </w:r>
            <w:r>
              <w:rPr>
                <w:rFonts w:hint="eastAsia" w:ascii="Times New Roman" w:hAnsi="Times New Roman" w:eastAsia="宋体" w:cs="Times New Roman"/>
                <w:bCs/>
                <w:color w:val="FF0000"/>
                <w:sz w:val="24"/>
                <w:szCs w:val="24"/>
                <w:highlight w:val="none"/>
                <w:lang w:val="en-US" w:eastAsia="zh-CN"/>
              </w:rPr>
              <w:t>（</w:t>
            </w:r>
            <w:r>
              <w:rPr>
                <w:rFonts w:hint="eastAsia" w:ascii="Times New Roman" w:hAnsi="Times New Roman" w:eastAsia="宋体" w:cs="Times New Roman"/>
                <w:bCs/>
                <w:color w:val="FF0000"/>
                <w:sz w:val="24"/>
                <w:szCs w:val="24"/>
                <w:highlight w:val="none"/>
                <w:lang w:eastAsia="zh-CN"/>
              </w:rPr>
              <w:t>本项目建设前后，</w:t>
            </w:r>
            <w:r>
              <w:rPr>
                <w:rFonts w:hint="eastAsia" w:ascii="Times New Roman" w:hAnsi="Times New Roman" w:eastAsia="宋体" w:cs="Times New Roman"/>
                <w:bCs/>
                <w:color w:val="FF0000"/>
                <w:sz w:val="24"/>
                <w:szCs w:val="24"/>
                <w:highlight w:val="none"/>
                <w:lang w:val="en-US" w:eastAsia="zh-CN"/>
              </w:rPr>
              <w:t>供热面积无变化），不涉及原有工程的</w:t>
            </w:r>
            <w:r>
              <w:rPr>
                <w:rFonts w:hint="eastAsia" w:ascii="Times New Roman" w:hAnsi="Times New Roman" w:eastAsia="宋体" w:cs="Times New Roman"/>
                <w:bCs/>
                <w:color w:val="FF0000"/>
                <w:sz w:val="24"/>
                <w:szCs w:val="24"/>
                <w:highlight w:val="none"/>
                <w:lang w:eastAsia="zh-CN"/>
              </w:rPr>
              <w:t>新改扩建或技术改。</w:t>
            </w:r>
            <w:r>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t>项目组成表详见表</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2-1。</w:t>
            </w:r>
          </w:p>
          <w:p w14:paraId="0BE910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表2-1工程组成一览表</w:t>
            </w:r>
          </w:p>
          <w:tbl>
            <w:tblPr>
              <w:tblStyle w:val="13"/>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9"/>
              <w:gridCol w:w="1621"/>
              <w:gridCol w:w="4912"/>
              <w:gridCol w:w="816"/>
            </w:tblGrid>
            <w:tr w14:paraId="4179D2D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0" w:type="dxa"/>
                  <w:gridSpan w:val="2"/>
                  <w:tcBorders>
                    <w:tl2br w:val="nil"/>
                    <w:tr2bl w:val="nil"/>
                  </w:tcBorders>
                  <w:noWrap w:val="0"/>
                  <w:vAlign w:val="center"/>
                </w:tcPr>
                <w:p w14:paraId="20F1A077">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建设内容</w:t>
                  </w:r>
                </w:p>
              </w:tc>
              <w:tc>
                <w:tcPr>
                  <w:tcW w:w="4912" w:type="dxa"/>
                  <w:tcBorders>
                    <w:tl2br w:val="nil"/>
                    <w:tr2bl w:val="nil"/>
                  </w:tcBorders>
                  <w:noWrap w:val="0"/>
                  <w:vAlign w:val="center"/>
                </w:tcPr>
                <w:p w14:paraId="79A3A486">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建设规模及内容</w:t>
                  </w:r>
                </w:p>
              </w:tc>
              <w:tc>
                <w:tcPr>
                  <w:tcW w:w="816" w:type="dxa"/>
                  <w:tcBorders>
                    <w:tl2br w:val="nil"/>
                    <w:tr2bl w:val="nil"/>
                  </w:tcBorders>
                  <w:noWrap w:val="0"/>
                  <w:vAlign w:val="center"/>
                </w:tcPr>
                <w:p w14:paraId="1938B131">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备注</w:t>
                  </w:r>
                </w:p>
              </w:tc>
            </w:tr>
            <w:tr w14:paraId="64ED66A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tcBorders>
                    <w:tl2br w:val="nil"/>
                    <w:tr2bl w:val="nil"/>
                  </w:tcBorders>
                  <w:noWrap w:val="0"/>
                  <w:vAlign w:val="center"/>
                </w:tcPr>
                <w:p w14:paraId="1F495E4C">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主体工程</w:t>
                  </w:r>
                </w:p>
              </w:tc>
              <w:tc>
                <w:tcPr>
                  <w:tcW w:w="1621" w:type="dxa"/>
                  <w:tcBorders>
                    <w:tl2br w:val="nil"/>
                    <w:tr2bl w:val="nil"/>
                  </w:tcBorders>
                  <w:noWrap w:val="0"/>
                  <w:vAlign w:val="center"/>
                </w:tcPr>
                <w:p w14:paraId="5FF6E3CC">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锅炉房</w:t>
                  </w:r>
                </w:p>
              </w:tc>
              <w:tc>
                <w:tcPr>
                  <w:tcW w:w="4912" w:type="dxa"/>
                  <w:tcBorders>
                    <w:tl2br w:val="nil"/>
                    <w:tr2bl w:val="nil"/>
                  </w:tcBorders>
                  <w:noWrap w:val="0"/>
                  <w:vAlign w:val="center"/>
                </w:tcPr>
                <w:p w14:paraId="35806A12">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建筑面积100m</w:t>
                  </w:r>
                  <w:r>
                    <w:rPr>
                      <w:rFonts w:hint="default" w:ascii="Times New Roman" w:hAnsi="Times New Roman" w:cs="Times New Roman"/>
                      <w:b w:val="0"/>
                      <w:bCs w:val="0"/>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r>
                    <w:rPr>
                      <w:rFonts w:hint="eastAsia" w:cs="Times New Roman"/>
                      <w:b w:val="0"/>
                      <w:bCs w:val="0"/>
                      <w:color w:val="000000" w:themeColor="text1"/>
                      <w:sz w:val="21"/>
                      <w:szCs w:val="21"/>
                      <w:highlight w:val="none"/>
                      <w:lang w:val="en-US" w:eastAsia="zh-CN"/>
                      <w14:textFill>
                        <w14:solidFill>
                          <w14:schemeClr w14:val="tx1"/>
                        </w14:solidFill>
                      </w14:textFill>
                    </w:rPr>
                    <w:t>层高3.6米，</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内设一台1.75MW生物质锅炉</w:t>
                  </w:r>
                  <w:r>
                    <w:rPr>
                      <w:rFonts w:hint="eastAsia" w:cs="Times New Roman"/>
                      <w:color w:val="000000" w:themeColor="text1"/>
                      <w:sz w:val="21"/>
                      <w:szCs w:val="21"/>
                      <w:highlight w:val="none"/>
                      <w:lang w:val="en-US" w:eastAsia="zh-CN"/>
                      <w14:textFill>
                        <w14:solidFill>
                          <w14:schemeClr w14:val="tx1"/>
                        </w14:solidFill>
                      </w14:textFill>
                    </w:rPr>
                    <w:t>（CDZG1.75/85/60）</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，一套软化水设备。</w:t>
                  </w:r>
                </w:p>
              </w:tc>
              <w:tc>
                <w:tcPr>
                  <w:tcW w:w="816" w:type="dxa"/>
                  <w:tcBorders>
                    <w:tl2br w:val="nil"/>
                    <w:tr2bl w:val="nil"/>
                  </w:tcBorders>
                  <w:noWrap w:val="0"/>
                  <w:vAlign w:val="center"/>
                </w:tcPr>
                <w:p w14:paraId="4088D0AC">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新建</w:t>
                  </w:r>
                </w:p>
              </w:tc>
            </w:tr>
            <w:tr w14:paraId="4E59733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749" w:type="dxa"/>
                  <w:vMerge w:val="restart"/>
                  <w:tcBorders>
                    <w:tl2br w:val="nil"/>
                    <w:tr2bl w:val="nil"/>
                  </w:tcBorders>
                  <w:noWrap w:val="0"/>
                  <w:vAlign w:val="center"/>
                </w:tcPr>
                <w:p w14:paraId="05523FC3">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附属工程</w:t>
                  </w:r>
                </w:p>
              </w:tc>
              <w:tc>
                <w:tcPr>
                  <w:tcW w:w="1621" w:type="dxa"/>
                  <w:tcBorders>
                    <w:tl2br w:val="nil"/>
                    <w:tr2bl w:val="nil"/>
                  </w:tcBorders>
                  <w:noWrap w:val="0"/>
                  <w:vAlign w:val="center"/>
                </w:tcPr>
                <w:p w14:paraId="5C206121">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燃料库</w:t>
                  </w:r>
                </w:p>
              </w:tc>
              <w:tc>
                <w:tcPr>
                  <w:tcW w:w="4912" w:type="dxa"/>
                  <w:tcBorders>
                    <w:tl2br w:val="nil"/>
                    <w:tr2bl w:val="nil"/>
                  </w:tcBorders>
                  <w:noWrap w:val="0"/>
                  <w:vAlign w:val="center"/>
                </w:tcPr>
                <w:p w14:paraId="087AEA51">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建筑面积30m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eastAsia" w:cs="Times New Roman"/>
                      <w:b w:val="0"/>
                      <w:bCs w:val="0"/>
                      <w:color w:val="000000" w:themeColor="text1"/>
                      <w:sz w:val="21"/>
                      <w:szCs w:val="21"/>
                      <w:highlight w:val="none"/>
                      <w:lang w:val="en-US" w:eastAsia="zh-CN"/>
                      <w14:textFill>
                        <w14:solidFill>
                          <w14:schemeClr w14:val="tx1"/>
                        </w14:solidFill>
                      </w14:textFill>
                    </w:rPr>
                    <w:t>层高3.6米</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密闭结构，存储成型生物质燃料。存储能力为</w:t>
                  </w:r>
                  <w:r>
                    <w:rPr>
                      <w:rFonts w:hint="eastAsia" w:cs="Times New Roman"/>
                      <w:color w:val="000000" w:themeColor="text1"/>
                      <w:sz w:val="21"/>
                      <w:szCs w:val="21"/>
                      <w:highlight w:val="none"/>
                      <w:vertAlign w:val="baseline"/>
                      <w:lang w:val="en-US" w:eastAsia="zh-CN"/>
                      <w14:textFill>
                        <w14:solidFill>
                          <w14:schemeClr w14:val="tx1"/>
                        </w14:solidFill>
                      </w14:textFill>
                    </w:rPr>
                    <w:t>20</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t。存储周期为</w:t>
                  </w:r>
                  <w:r>
                    <w:rPr>
                      <w:rFonts w:hint="eastAsia" w:cs="Times New Roman"/>
                      <w:color w:val="000000" w:themeColor="text1"/>
                      <w:sz w:val="21"/>
                      <w:szCs w:val="21"/>
                      <w:highlight w:val="none"/>
                      <w:vertAlign w:val="baseline"/>
                      <w:lang w:val="en-US" w:eastAsia="zh-CN"/>
                      <w14:textFill>
                        <w14:solidFill>
                          <w14:schemeClr w14:val="tx1"/>
                        </w14:solidFill>
                      </w14:textFill>
                    </w:rPr>
                    <w:t>7</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d。</w:t>
                  </w:r>
                </w:p>
              </w:tc>
              <w:tc>
                <w:tcPr>
                  <w:tcW w:w="816" w:type="dxa"/>
                  <w:tcBorders>
                    <w:tl2br w:val="nil"/>
                    <w:tr2bl w:val="nil"/>
                  </w:tcBorders>
                  <w:noWrap w:val="0"/>
                  <w:vAlign w:val="center"/>
                </w:tcPr>
                <w:p w14:paraId="5A08710B">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新建</w:t>
                  </w:r>
                </w:p>
              </w:tc>
            </w:tr>
            <w:tr w14:paraId="3D2B75B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749" w:type="dxa"/>
                  <w:vMerge w:val="continue"/>
                  <w:tcBorders>
                    <w:tl2br w:val="nil"/>
                    <w:tr2bl w:val="nil"/>
                  </w:tcBorders>
                  <w:noWrap w:val="0"/>
                  <w:vAlign w:val="center"/>
                </w:tcPr>
                <w:p w14:paraId="6F07505B">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621" w:type="dxa"/>
                  <w:tcBorders>
                    <w:tl2br w:val="nil"/>
                    <w:tr2bl w:val="nil"/>
                  </w:tcBorders>
                  <w:noWrap w:val="0"/>
                  <w:vAlign w:val="center"/>
                </w:tcPr>
                <w:p w14:paraId="27C15A7E">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灰渣库</w:t>
                  </w:r>
                </w:p>
              </w:tc>
              <w:tc>
                <w:tcPr>
                  <w:tcW w:w="4912" w:type="dxa"/>
                  <w:tcBorders>
                    <w:tl2br w:val="nil"/>
                    <w:tr2bl w:val="nil"/>
                  </w:tcBorders>
                  <w:noWrap w:val="0"/>
                  <w:vAlign w:val="center"/>
                </w:tcPr>
                <w:p w14:paraId="341CFA46">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建筑面积10m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eastAsia" w:cs="Times New Roman"/>
                      <w:b w:val="0"/>
                      <w:bCs w:val="0"/>
                      <w:color w:val="000000" w:themeColor="text1"/>
                      <w:sz w:val="21"/>
                      <w:szCs w:val="21"/>
                      <w:highlight w:val="none"/>
                      <w:lang w:val="en-US" w:eastAsia="zh-CN"/>
                      <w14:textFill>
                        <w14:solidFill>
                          <w14:schemeClr w14:val="tx1"/>
                        </w14:solidFill>
                      </w14:textFill>
                    </w:rPr>
                    <w:t>层高3.6米</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密闭结构，存储锅炉灰渣。存储能力为3t。存储周期为4d。</w:t>
                  </w:r>
                </w:p>
              </w:tc>
              <w:tc>
                <w:tcPr>
                  <w:tcW w:w="816" w:type="dxa"/>
                  <w:tcBorders>
                    <w:tl2br w:val="nil"/>
                    <w:tr2bl w:val="nil"/>
                  </w:tcBorders>
                  <w:noWrap w:val="0"/>
                  <w:vAlign w:val="center"/>
                </w:tcPr>
                <w:p w14:paraId="65587483">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新建</w:t>
                  </w:r>
                </w:p>
              </w:tc>
            </w:tr>
            <w:tr w14:paraId="04B0F3E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Merge w:val="restart"/>
                  <w:tcBorders>
                    <w:tl2br w:val="nil"/>
                    <w:tr2bl w:val="nil"/>
                  </w:tcBorders>
                  <w:noWrap w:val="0"/>
                  <w:vAlign w:val="center"/>
                </w:tcPr>
                <w:p w14:paraId="2A9B01C5">
                  <w:pPr>
                    <w:keepNext w:val="0"/>
                    <w:keepLines w:val="0"/>
                    <w:pageBreakBefore w:val="0"/>
                    <w:widowControl w:val="0"/>
                    <w:kinsoku/>
                    <w:wordWrap/>
                    <w:overflowPunct/>
                    <w:topLinePunct w:val="0"/>
                    <w:autoSpaceDE/>
                    <w:autoSpaceDN/>
                    <w:bidi w:val="0"/>
                    <w:adjustRightInd/>
                    <w:snapToGrid/>
                    <w:spacing w:line="270" w:lineRule="exact"/>
                    <w:ind w:left="-38" w:leftChars="-18" w:right="-105" w:rightChars="-5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公用</w:t>
                  </w:r>
                </w:p>
                <w:p w14:paraId="2B1A0256">
                  <w:pPr>
                    <w:keepNext w:val="0"/>
                    <w:keepLines w:val="0"/>
                    <w:pageBreakBefore w:val="0"/>
                    <w:widowControl w:val="0"/>
                    <w:kinsoku/>
                    <w:wordWrap/>
                    <w:overflowPunct/>
                    <w:topLinePunct w:val="0"/>
                    <w:autoSpaceDE/>
                    <w:autoSpaceDN/>
                    <w:bidi w:val="0"/>
                    <w:adjustRightInd/>
                    <w:snapToGrid/>
                    <w:spacing w:line="270" w:lineRule="exact"/>
                    <w:ind w:left="-38" w:leftChars="-18" w:right="-105" w:rightChars="-5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工程</w:t>
                  </w:r>
                </w:p>
              </w:tc>
              <w:tc>
                <w:tcPr>
                  <w:tcW w:w="1621" w:type="dxa"/>
                  <w:tcBorders>
                    <w:tl2br w:val="nil"/>
                    <w:tr2bl w:val="nil"/>
                  </w:tcBorders>
                  <w:noWrap w:val="0"/>
                  <w:vAlign w:val="center"/>
                </w:tcPr>
                <w:p w14:paraId="57BB78B0">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给水</w:t>
                  </w:r>
                </w:p>
              </w:tc>
              <w:tc>
                <w:tcPr>
                  <w:tcW w:w="4912" w:type="dxa"/>
                  <w:tcBorders>
                    <w:tl2br w:val="nil"/>
                    <w:tr2bl w:val="nil"/>
                  </w:tcBorders>
                  <w:noWrap w:val="0"/>
                  <w:vAlign w:val="center"/>
                </w:tcPr>
                <w:p w14:paraId="14E9EE45">
                  <w:pPr>
                    <w:keepNext w:val="0"/>
                    <w:keepLines w:val="0"/>
                    <w:pageBreakBefore w:val="0"/>
                    <w:widowControl w:val="0"/>
                    <w:kinsoku/>
                    <w:wordWrap/>
                    <w:overflowPunct/>
                    <w:topLinePunct w:val="0"/>
                    <w:autoSpaceDE/>
                    <w:autoSpaceDN/>
                    <w:bidi w:val="0"/>
                    <w:adjustRightInd/>
                    <w:snapToGrid/>
                    <w:spacing w:line="270" w:lineRule="exact"/>
                    <w:ind w:right="-84" w:rightChars="-4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本项目不新增生活用水，锅炉补水由市政管网提供</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p>
              </w:tc>
              <w:tc>
                <w:tcPr>
                  <w:tcW w:w="816" w:type="dxa"/>
                  <w:tcBorders>
                    <w:tl2br w:val="nil"/>
                    <w:tr2bl w:val="nil"/>
                  </w:tcBorders>
                  <w:noWrap w:val="0"/>
                  <w:vAlign w:val="center"/>
                </w:tcPr>
                <w:p w14:paraId="25AFDFC3">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依托</w:t>
                  </w:r>
                </w:p>
              </w:tc>
            </w:tr>
            <w:tr w14:paraId="0C8D86C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Merge w:val="continue"/>
                  <w:tcBorders>
                    <w:tl2br w:val="nil"/>
                    <w:tr2bl w:val="nil"/>
                  </w:tcBorders>
                  <w:noWrap w:val="0"/>
                  <w:vAlign w:val="center"/>
                </w:tcPr>
                <w:p w14:paraId="7481A5C1">
                  <w:pPr>
                    <w:keepNext w:val="0"/>
                    <w:keepLines w:val="0"/>
                    <w:pageBreakBefore w:val="0"/>
                    <w:widowControl w:val="0"/>
                    <w:kinsoku/>
                    <w:wordWrap/>
                    <w:overflowPunct/>
                    <w:topLinePunct w:val="0"/>
                    <w:autoSpaceDE/>
                    <w:autoSpaceDN/>
                    <w:bidi w:val="0"/>
                    <w:adjustRightInd/>
                    <w:snapToGrid/>
                    <w:spacing w:line="270" w:lineRule="exact"/>
                    <w:ind w:left="-38" w:leftChars="-18" w:right="-105" w:rightChars="-5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21" w:type="dxa"/>
                  <w:tcBorders>
                    <w:tl2br w:val="nil"/>
                    <w:tr2bl w:val="nil"/>
                  </w:tcBorders>
                  <w:noWrap w:val="0"/>
                  <w:vAlign w:val="center"/>
                </w:tcPr>
                <w:p w14:paraId="2BFD115D">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供电</w:t>
                  </w:r>
                </w:p>
              </w:tc>
              <w:tc>
                <w:tcPr>
                  <w:tcW w:w="4912" w:type="dxa"/>
                  <w:tcBorders>
                    <w:tl2br w:val="nil"/>
                    <w:tr2bl w:val="nil"/>
                  </w:tcBorders>
                  <w:noWrap w:val="0"/>
                  <w:vAlign w:val="center"/>
                </w:tcPr>
                <w:p w14:paraId="727D1FA4">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由市政供电局供给</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p>
              </w:tc>
              <w:tc>
                <w:tcPr>
                  <w:tcW w:w="816" w:type="dxa"/>
                  <w:tcBorders>
                    <w:tl2br w:val="nil"/>
                    <w:tr2bl w:val="nil"/>
                  </w:tcBorders>
                  <w:noWrap w:val="0"/>
                  <w:vAlign w:val="center"/>
                </w:tcPr>
                <w:p w14:paraId="4DB41E6A">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依托</w:t>
                  </w:r>
                </w:p>
              </w:tc>
            </w:tr>
            <w:tr w14:paraId="0117B61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Merge w:val="continue"/>
                  <w:tcBorders>
                    <w:tl2br w:val="nil"/>
                    <w:tr2bl w:val="nil"/>
                  </w:tcBorders>
                  <w:noWrap w:val="0"/>
                  <w:vAlign w:val="center"/>
                </w:tcPr>
                <w:p w14:paraId="02D65E39">
                  <w:pPr>
                    <w:keepNext w:val="0"/>
                    <w:keepLines w:val="0"/>
                    <w:pageBreakBefore w:val="0"/>
                    <w:widowControl w:val="0"/>
                    <w:kinsoku/>
                    <w:wordWrap/>
                    <w:overflowPunct/>
                    <w:topLinePunct w:val="0"/>
                    <w:autoSpaceDE/>
                    <w:autoSpaceDN/>
                    <w:bidi w:val="0"/>
                    <w:adjustRightInd/>
                    <w:snapToGrid/>
                    <w:spacing w:line="270" w:lineRule="exact"/>
                    <w:ind w:left="-38" w:leftChars="-18" w:right="-105" w:rightChars="-5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21" w:type="dxa"/>
                  <w:tcBorders>
                    <w:tl2br w:val="nil"/>
                    <w:tr2bl w:val="nil"/>
                  </w:tcBorders>
                  <w:noWrap w:val="0"/>
                  <w:vAlign w:val="center"/>
                </w:tcPr>
                <w:p w14:paraId="49EC0A4B">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供热</w:t>
                  </w:r>
                </w:p>
              </w:tc>
              <w:tc>
                <w:tcPr>
                  <w:tcW w:w="4912" w:type="dxa"/>
                  <w:tcBorders>
                    <w:tl2br w:val="nil"/>
                    <w:tr2bl w:val="nil"/>
                  </w:tcBorders>
                  <w:noWrap w:val="0"/>
                  <w:vAlign w:val="center"/>
                </w:tcPr>
                <w:p w14:paraId="1BD3CEE9">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生产用热由原有电锅炉提供；取暖</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供热由本项目锅炉提供。</w:t>
                  </w:r>
                </w:p>
              </w:tc>
              <w:tc>
                <w:tcPr>
                  <w:tcW w:w="816" w:type="dxa"/>
                  <w:tcBorders>
                    <w:tl2br w:val="nil"/>
                    <w:tr2bl w:val="nil"/>
                  </w:tcBorders>
                  <w:noWrap w:val="0"/>
                  <w:vAlign w:val="center"/>
                </w:tcPr>
                <w:p w14:paraId="7CD94321">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r w14:paraId="2F46840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Merge w:val="continue"/>
                  <w:tcBorders>
                    <w:tl2br w:val="nil"/>
                    <w:tr2bl w:val="nil"/>
                  </w:tcBorders>
                  <w:noWrap w:val="0"/>
                  <w:vAlign w:val="center"/>
                </w:tcPr>
                <w:p w14:paraId="1EE002DF">
                  <w:pPr>
                    <w:keepNext w:val="0"/>
                    <w:keepLines w:val="0"/>
                    <w:pageBreakBefore w:val="0"/>
                    <w:widowControl w:val="0"/>
                    <w:kinsoku/>
                    <w:wordWrap/>
                    <w:overflowPunct/>
                    <w:topLinePunct w:val="0"/>
                    <w:autoSpaceDE/>
                    <w:autoSpaceDN/>
                    <w:bidi w:val="0"/>
                    <w:adjustRightInd/>
                    <w:snapToGrid/>
                    <w:spacing w:line="270" w:lineRule="exact"/>
                    <w:ind w:firstLine="105" w:firstLineChars="5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21" w:type="dxa"/>
                  <w:tcBorders>
                    <w:tl2br w:val="nil"/>
                    <w:tr2bl w:val="nil"/>
                  </w:tcBorders>
                  <w:noWrap w:val="0"/>
                  <w:vAlign w:val="center"/>
                </w:tcPr>
                <w:p w14:paraId="094D6280">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排水</w:t>
                  </w:r>
                </w:p>
              </w:tc>
              <w:tc>
                <w:tcPr>
                  <w:tcW w:w="4912" w:type="dxa"/>
                  <w:tcBorders>
                    <w:tl2br w:val="nil"/>
                    <w:tr2bl w:val="nil"/>
                  </w:tcBorders>
                  <w:noWrap w:val="0"/>
                  <w:vAlign w:val="center"/>
                </w:tcPr>
                <w:p w14:paraId="06730E26">
                  <w:pPr>
                    <w:keepNext w:val="0"/>
                    <w:keepLines w:val="0"/>
                    <w:pageBreakBefore w:val="0"/>
                    <w:widowControl w:val="0"/>
                    <w:kinsoku/>
                    <w:wordWrap/>
                    <w:overflowPunct/>
                    <w:topLinePunct w:val="0"/>
                    <w:autoSpaceDE/>
                    <w:autoSpaceDN/>
                    <w:bidi w:val="0"/>
                    <w:adjustRightInd/>
                    <w:snapToGrid/>
                    <w:spacing w:line="270" w:lineRule="exact"/>
                    <w:ind w:right="-84" w:rightChars="-4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锅炉排污水及软化排污水</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用于锅炉炉渣拌湿降尘。</w:t>
                  </w:r>
                </w:p>
              </w:tc>
              <w:tc>
                <w:tcPr>
                  <w:tcW w:w="816" w:type="dxa"/>
                  <w:tcBorders>
                    <w:tl2br w:val="nil"/>
                    <w:tr2bl w:val="nil"/>
                  </w:tcBorders>
                  <w:noWrap w:val="0"/>
                  <w:vAlign w:val="center"/>
                </w:tcPr>
                <w:p w14:paraId="28A8BD21">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r w14:paraId="0969FA6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Merge w:val="restart"/>
                  <w:tcBorders>
                    <w:tl2br w:val="nil"/>
                    <w:tr2bl w:val="nil"/>
                  </w:tcBorders>
                  <w:noWrap w:val="0"/>
                  <w:vAlign w:val="center"/>
                </w:tcPr>
                <w:p w14:paraId="179DEFFB">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环保</w:t>
                  </w:r>
                </w:p>
                <w:p w14:paraId="5A021512">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工程</w:t>
                  </w:r>
                </w:p>
              </w:tc>
              <w:tc>
                <w:tcPr>
                  <w:tcW w:w="1621" w:type="dxa"/>
                  <w:tcBorders>
                    <w:tl2br w:val="nil"/>
                    <w:tr2bl w:val="nil"/>
                  </w:tcBorders>
                  <w:noWrap w:val="0"/>
                  <w:vAlign w:val="center"/>
                </w:tcPr>
                <w:p w14:paraId="6D3F82DE">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气</w:t>
                  </w:r>
                  <w:r>
                    <w:rPr>
                      <w:rFonts w:hint="default" w:ascii="Times New Roman" w:hAnsi="Times New Roman" w:eastAsia="宋体" w:cs="Times New Roman"/>
                      <w:color w:val="000000" w:themeColor="text1"/>
                      <w:sz w:val="21"/>
                      <w:szCs w:val="21"/>
                      <w:highlight w:val="none"/>
                      <w14:textFill>
                        <w14:solidFill>
                          <w14:schemeClr w14:val="tx1"/>
                        </w14:solidFill>
                      </w14:textFill>
                    </w:rPr>
                    <w:t>处理</w:t>
                  </w:r>
                </w:p>
              </w:tc>
              <w:tc>
                <w:tcPr>
                  <w:tcW w:w="4912" w:type="dxa"/>
                  <w:tcBorders>
                    <w:tl2br w:val="nil"/>
                    <w:tr2bl w:val="nil"/>
                  </w:tcBorders>
                  <w:noWrap w:val="0"/>
                  <w:vAlign w:val="center"/>
                </w:tcPr>
                <w:p w14:paraId="0A0D9D6E">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锅炉烟气经</w:t>
                  </w:r>
                  <w:r>
                    <w:rPr>
                      <w:rFonts w:hint="eastAsia" w:cs="Times New Roman"/>
                      <w:color w:val="000000" w:themeColor="text1"/>
                      <w:sz w:val="21"/>
                      <w:szCs w:val="21"/>
                      <w:highlight w:val="none"/>
                      <w:lang w:val="en-US" w:eastAsia="zh-CN"/>
                      <w14:textFill>
                        <w14:solidFill>
                          <w14:schemeClr w14:val="tx1"/>
                        </w14:solidFill>
                      </w14:textFill>
                    </w:rPr>
                    <w:t>旋风除尘器+袋式除尘器</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处理后由30米高烟囱排放。灰渣暂存位置、灰渣装运过</w:t>
                  </w:r>
                  <w:r>
                    <w:rPr>
                      <w:rFonts w:hint="eastAsia" w:cs="Times New Roman"/>
                      <w:color w:val="000000" w:themeColor="text1"/>
                      <w:sz w:val="21"/>
                      <w:szCs w:val="21"/>
                      <w:highlight w:val="none"/>
                      <w:lang w:val="en-US" w:eastAsia="zh-CN"/>
                      <w14:textFill>
                        <w14:solidFill>
                          <w14:schemeClr w14:val="tx1"/>
                        </w14:solidFill>
                      </w14:textFill>
                    </w:rPr>
                    <w:t>程中</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采取洒水降尘措施。</w:t>
                  </w:r>
                </w:p>
              </w:tc>
              <w:tc>
                <w:tcPr>
                  <w:tcW w:w="816" w:type="dxa"/>
                  <w:tcBorders>
                    <w:tl2br w:val="nil"/>
                    <w:tr2bl w:val="nil"/>
                  </w:tcBorders>
                  <w:noWrap w:val="0"/>
                  <w:vAlign w:val="center"/>
                </w:tcPr>
                <w:p w14:paraId="3F3D97DA">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新建</w:t>
                  </w:r>
                </w:p>
              </w:tc>
            </w:tr>
            <w:tr w14:paraId="4719F67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Merge w:val="continue"/>
                  <w:tcBorders>
                    <w:tl2br w:val="nil"/>
                    <w:tr2bl w:val="nil"/>
                  </w:tcBorders>
                  <w:noWrap w:val="0"/>
                  <w:vAlign w:val="center"/>
                </w:tcPr>
                <w:p w14:paraId="02C7C59C">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21" w:type="dxa"/>
                  <w:tcBorders>
                    <w:tl2br w:val="nil"/>
                    <w:tr2bl w:val="nil"/>
                  </w:tcBorders>
                  <w:noWrap w:val="0"/>
                  <w:vAlign w:val="center"/>
                </w:tcPr>
                <w:p w14:paraId="0CB1AB9B">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废水处理</w:t>
                  </w:r>
                </w:p>
              </w:tc>
              <w:tc>
                <w:tcPr>
                  <w:tcW w:w="4912" w:type="dxa"/>
                  <w:tcBorders>
                    <w:tl2br w:val="nil"/>
                    <w:tr2bl w:val="nil"/>
                  </w:tcBorders>
                  <w:noWrap w:val="0"/>
                  <w:vAlign w:val="center"/>
                </w:tcPr>
                <w:p w14:paraId="3EAB7B82">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锅炉排污水及软化排污水</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用于锅炉炉渣拌湿降尘。</w:t>
                  </w:r>
                </w:p>
              </w:tc>
              <w:tc>
                <w:tcPr>
                  <w:tcW w:w="816" w:type="dxa"/>
                  <w:tcBorders>
                    <w:tl2br w:val="nil"/>
                    <w:tr2bl w:val="nil"/>
                  </w:tcBorders>
                  <w:noWrap w:val="0"/>
                  <w:vAlign w:val="center"/>
                </w:tcPr>
                <w:p w14:paraId="1CC950A4">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新建</w:t>
                  </w:r>
                </w:p>
              </w:tc>
            </w:tr>
            <w:tr w14:paraId="7DC46C1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Merge w:val="continue"/>
                  <w:tcBorders>
                    <w:tl2br w:val="nil"/>
                    <w:tr2bl w:val="nil"/>
                  </w:tcBorders>
                  <w:noWrap w:val="0"/>
                  <w:vAlign w:val="center"/>
                </w:tcPr>
                <w:p w14:paraId="4ED5184A">
                  <w:pPr>
                    <w:keepNext w:val="0"/>
                    <w:keepLines w:val="0"/>
                    <w:pageBreakBefore w:val="0"/>
                    <w:widowControl w:val="0"/>
                    <w:kinsoku/>
                    <w:wordWrap/>
                    <w:overflowPunct/>
                    <w:topLinePunct w:val="0"/>
                    <w:autoSpaceDE/>
                    <w:autoSpaceDN/>
                    <w:bidi w:val="0"/>
                    <w:adjustRightInd/>
                    <w:snapToGrid/>
                    <w:spacing w:line="270" w:lineRule="exact"/>
                    <w:ind w:firstLine="105" w:firstLineChars="5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21" w:type="dxa"/>
                  <w:tcBorders>
                    <w:tl2br w:val="nil"/>
                    <w:tr2bl w:val="nil"/>
                  </w:tcBorders>
                  <w:noWrap w:val="0"/>
                  <w:vAlign w:val="center"/>
                </w:tcPr>
                <w:p w14:paraId="2869589E">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噪声处理</w:t>
                  </w:r>
                </w:p>
              </w:tc>
              <w:tc>
                <w:tcPr>
                  <w:tcW w:w="4912" w:type="dxa"/>
                  <w:tcBorders>
                    <w:tl2br w:val="nil"/>
                    <w:tr2bl w:val="nil"/>
                  </w:tcBorders>
                  <w:noWrap w:val="0"/>
                  <w:vAlign w:val="center"/>
                </w:tcPr>
                <w:p w14:paraId="46620F02">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设备经</w:t>
                  </w:r>
                  <w:r>
                    <w:rPr>
                      <w:rFonts w:hint="default" w:ascii="Times New Roman" w:hAnsi="Times New Roman" w:cs="Times New Roman"/>
                      <w:color w:val="000000" w:themeColor="text1"/>
                      <w:sz w:val="21"/>
                      <w:szCs w:val="21"/>
                      <w:highlight w:val="none"/>
                      <w14:textFill>
                        <w14:solidFill>
                          <w14:schemeClr w14:val="tx1"/>
                        </w14:solidFill>
                      </w14:textFill>
                    </w:rPr>
                    <w:t>建筑隔声、基础减振等</w:t>
                  </w:r>
                  <w:r>
                    <w:rPr>
                      <w:rFonts w:hint="default" w:ascii="Times New Roman" w:hAnsi="Times New Roman" w:cs="Times New Roman"/>
                      <w:color w:val="000000" w:themeColor="text1"/>
                      <w:sz w:val="21"/>
                      <w:szCs w:val="21"/>
                      <w:highlight w:val="none"/>
                      <w:lang w:eastAsia="zh-CN"/>
                      <w14:textFill>
                        <w14:solidFill>
                          <w14:schemeClr w14:val="tx1"/>
                        </w14:solidFill>
                      </w14:textFill>
                    </w:rPr>
                    <w:t>措施。</w:t>
                  </w:r>
                </w:p>
              </w:tc>
              <w:tc>
                <w:tcPr>
                  <w:tcW w:w="816" w:type="dxa"/>
                  <w:tcBorders>
                    <w:tl2br w:val="nil"/>
                    <w:tr2bl w:val="nil"/>
                  </w:tcBorders>
                  <w:noWrap w:val="0"/>
                  <w:vAlign w:val="center"/>
                </w:tcPr>
                <w:p w14:paraId="2D95762C">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新建</w:t>
                  </w:r>
                </w:p>
              </w:tc>
            </w:tr>
            <w:tr w14:paraId="06A3234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Merge w:val="continue"/>
                  <w:tcBorders>
                    <w:tl2br w:val="nil"/>
                    <w:tr2bl w:val="nil"/>
                  </w:tcBorders>
                  <w:noWrap w:val="0"/>
                  <w:vAlign w:val="center"/>
                </w:tcPr>
                <w:p w14:paraId="41AE7886">
                  <w:pPr>
                    <w:keepNext w:val="0"/>
                    <w:keepLines w:val="0"/>
                    <w:pageBreakBefore w:val="0"/>
                    <w:widowControl w:val="0"/>
                    <w:kinsoku/>
                    <w:wordWrap/>
                    <w:overflowPunct/>
                    <w:topLinePunct w:val="0"/>
                    <w:autoSpaceDE/>
                    <w:autoSpaceDN/>
                    <w:bidi w:val="0"/>
                    <w:adjustRightInd/>
                    <w:snapToGrid/>
                    <w:spacing w:line="270" w:lineRule="exact"/>
                    <w:ind w:firstLine="105" w:firstLineChars="5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21" w:type="dxa"/>
                  <w:tcBorders>
                    <w:tl2br w:val="nil"/>
                    <w:tr2bl w:val="nil"/>
                  </w:tcBorders>
                  <w:noWrap w:val="0"/>
                  <w:vAlign w:val="center"/>
                </w:tcPr>
                <w:p w14:paraId="012C8F6E">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14:textFill>
                        <w14:solidFill>
                          <w14:schemeClr w14:val="tx1"/>
                        </w14:solidFill>
                      </w14:textFill>
                    </w:rPr>
                    <w:t>固体废物</w:t>
                  </w:r>
                </w:p>
              </w:tc>
              <w:tc>
                <w:tcPr>
                  <w:tcW w:w="4912" w:type="dxa"/>
                  <w:tcBorders>
                    <w:tl2br w:val="nil"/>
                    <w:tr2bl w:val="nil"/>
                  </w:tcBorders>
                  <w:noWrap w:val="0"/>
                  <w:vAlign w:val="center"/>
                </w:tcPr>
                <w:p w14:paraId="1BFD2336">
                  <w:pP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本项目不新增生活垃圾，废离子交换树脂由厂家更换带走，不在厂区贮存。灰渣袋装集中存储在库房内，外售给有能力的有机肥厂综合利用。</w:t>
                  </w:r>
                  <w:r>
                    <w:rPr>
                      <w:rFonts w:hint="eastAsia" w:cs="Times New Roman"/>
                      <w:color w:val="000000" w:themeColor="text1"/>
                      <w:sz w:val="21"/>
                      <w:szCs w:val="21"/>
                      <w:highlight w:val="none"/>
                      <w:lang w:val="en-US" w:eastAsia="zh-CN"/>
                      <w14:textFill>
                        <w14:solidFill>
                          <w14:schemeClr w14:val="tx1"/>
                        </w14:solidFill>
                      </w14:textFill>
                    </w:rPr>
                    <w:t>废布袋由厂家回收。除尘器收集灰</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外售给有能力的有机肥厂综合利用。</w:t>
                  </w:r>
                </w:p>
              </w:tc>
              <w:tc>
                <w:tcPr>
                  <w:tcW w:w="816" w:type="dxa"/>
                  <w:tcBorders>
                    <w:tl2br w:val="nil"/>
                    <w:tr2bl w:val="nil"/>
                  </w:tcBorders>
                  <w:noWrap w:val="0"/>
                  <w:vAlign w:val="center"/>
                </w:tcPr>
                <w:p w14:paraId="4711E056">
                  <w:pPr>
                    <w:keepNext w:val="0"/>
                    <w:keepLines w:val="0"/>
                    <w:pageBreakBefore w:val="0"/>
                    <w:widowControl w:val="0"/>
                    <w:kinsoku/>
                    <w:wordWrap/>
                    <w:overflowPunct/>
                    <w:topLinePunct w:val="0"/>
                    <w:autoSpaceDE/>
                    <w:autoSpaceDN/>
                    <w:bidi w:val="0"/>
                    <w:adjustRightInd/>
                    <w:snapToGrid/>
                    <w:spacing w:line="270" w:lineRule="exact"/>
                    <w:jc w:val="center"/>
                    <w:textAlignment w:val="auto"/>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新建</w:t>
                  </w:r>
                </w:p>
              </w:tc>
            </w:tr>
          </w:tbl>
          <w:p w14:paraId="36C27FEC">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eastAsia" w:cs="Times New Roman"/>
                <w:b/>
                <w:bCs w:val="0"/>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生产设施</w:t>
            </w:r>
          </w:p>
          <w:p w14:paraId="6B97D2A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本项目主要生产设施详见表2-</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p>
          <w:p w14:paraId="4ABC6C59">
            <w:pPr>
              <w:adjustRightInd w:val="0"/>
              <w:snapToGrid w:val="0"/>
              <w:spacing w:line="360" w:lineRule="auto"/>
              <w:jc w:val="cente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表2-2主要生产设施</w:t>
            </w:r>
          </w:p>
          <w:tbl>
            <w:tblPr>
              <w:tblStyle w:val="13"/>
              <w:tblW w:w="4998"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5"/>
              <w:gridCol w:w="1425"/>
              <w:gridCol w:w="3070"/>
              <w:gridCol w:w="1159"/>
              <w:gridCol w:w="1160"/>
            </w:tblGrid>
            <w:tr w14:paraId="1FB4A1B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3" w:type="pct"/>
                  <w:tcBorders>
                    <w:tl2br w:val="nil"/>
                    <w:tr2bl w:val="nil"/>
                  </w:tcBorders>
                  <w:noWrap/>
                  <w:vAlign w:val="center"/>
                </w:tcPr>
                <w:p w14:paraId="14320FD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生产单元</w:t>
                  </w:r>
                </w:p>
              </w:tc>
              <w:tc>
                <w:tcPr>
                  <w:tcW w:w="879" w:type="pct"/>
                  <w:tcBorders>
                    <w:tl2br w:val="nil"/>
                    <w:tr2bl w:val="nil"/>
                  </w:tcBorders>
                  <w:noWrap/>
                  <w:vAlign w:val="center"/>
                </w:tcPr>
                <w:p w14:paraId="113EF69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生产工艺</w:t>
                  </w:r>
                </w:p>
              </w:tc>
              <w:tc>
                <w:tcPr>
                  <w:tcW w:w="1895" w:type="pct"/>
                  <w:tcBorders>
                    <w:tl2br w:val="nil"/>
                    <w:tr2bl w:val="nil"/>
                  </w:tcBorders>
                  <w:noWrap/>
                  <w:vAlign w:val="center"/>
                </w:tcPr>
                <w:p w14:paraId="61C5AFD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生产设施</w:t>
                  </w:r>
                </w:p>
              </w:tc>
              <w:tc>
                <w:tcPr>
                  <w:tcW w:w="715" w:type="pct"/>
                  <w:tcBorders>
                    <w:tl2br w:val="nil"/>
                    <w:tr2bl w:val="nil"/>
                  </w:tcBorders>
                  <w:noWrap/>
                  <w:vAlign w:val="center"/>
                </w:tcPr>
                <w:p w14:paraId="1AF8990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zh-CN"/>
                      <w14:textFill>
                        <w14:solidFill>
                          <w14:schemeClr w14:val="tx1"/>
                        </w14:solidFill>
                      </w14:textFill>
                    </w:rPr>
                    <w:t>设施参数</w:t>
                  </w:r>
                </w:p>
              </w:tc>
              <w:tc>
                <w:tcPr>
                  <w:tcW w:w="716" w:type="pct"/>
                  <w:tcBorders>
                    <w:tl2br w:val="nil"/>
                    <w:tr2bl w:val="nil"/>
                  </w:tcBorders>
                  <w:noWrap/>
                  <w:vAlign w:val="center"/>
                </w:tcPr>
                <w:p w14:paraId="67BB676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zh-CN"/>
                      <w14:textFill>
                        <w14:solidFill>
                          <w14:schemeClr w14:val="tx1"/>
                        </w14:solidFill>
                      </w14:textFill>
                    </w:rPr>
                    <w:t>数量</w:t>
                  </w:r>
                </w:p>
              </w:tc>
            </w:tr>
            <w:tr w14:paraId="21A34A3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3" w:type="pct"/>
                  <w:vMerge w:val="restart"/>
                  <w:tcBorders>
                    <w:tl2br w:val="nil"/>
                    <w:tr2bl w:val="nil"/>
                  </w:tcBorders>
                  <w:noWrap/>
                  <w:vAlign w:val="center"/>
                </w:tcPr>
                <w:p w14:paraId="5A812BB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热力生产单元</w:t>
                  </w:r>
                </w:p>
              </w:tc>
              <w:tc>
                <w:tcPr>
                  <w:tcW w:w="879" w:type="pct"/>
                  <w:vMerge w:val="restart"/>
                  <w:tcBorders>
                    <w:tl2br w:val="nil"/>
                    <w:tr2bl w:val="nil"/>
                  </w:tcBorders>
                  <w:noWrap/>
                  <w:vAlign w:val="center"/>
                </w:tcPr>
                <w:p w14:paraId="733426DF">
                  <w:pPr>
                    <w:keepNext w:val="0"/>
                    <w:keepLines w:val="0"/>
                    <w:pageBreakBefore w:val="0"/>
                    <w:widowControl/>
                    <w:tabs>
                      <w:tab w:val="left" w:pos="465"/>
                    </w:tabs>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燃烧系统</w:t>
                  </w:r>
                </w:p>
              </w:tc>
              <w:tc>
                <w:tcPr>
                  <w:tcW w:w="1895" w:type="pct"/>
                  <w:tcBorders>
                    <w:tl2br w:val="nil"/>
                    <w:tr2bl w:val="nil"/>
                  </w:tcBorders>
                  <w:noWrap/>
                  <w:vAlign w:val="center"/>
                </w:tcPr>
                <w:p w14:paraId="33CF6B7F">
                  <w:pPr>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生物质锅炉</w:t>
                  </w:r>
                  <w:r>
                    <w:rPr>
                      <w:rFonts w:hint="eastAsia" w:cs="Times New Roman"/>
                      <w:color w:val="000000" w:themeColor="text1"/>
                      <w:sz w:val="21"/>
                      <w:szCs w:val="21"/>
                      <w:highlight w:val="none"/>
                      <w:lang w:val="en-US" w:eastAsia="zh-CN"/>
                      <w14:textFill>
                        <w14:solidFill>
                          <w14:schemeClr w14:val="tx1"/>
                        </w14:solidFill>
                      </w14:textFill>
                    </w:rPr>
                    <w:t>（CDZG1.75/85/60）</w:t>
                  </w:r>
                </w:p>
              </w:tc>
              <w:tc>
                <w:tcPr>
                  <w:tcW w:w="715" w:type="pct"/>
                  <w:tcBorders>
                    <w:tl2br w:val="nil"/>
                    <w:tr2bl w:val="nil"/>
                  </w:tcBorders>
                  <w:noWrap/>
                  <w:vAlign w:val="center"/>
                </w:tcPr>
                <w:p w14:paraId="1628A1B6">
                  <w:pPr>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1.75MW</w:t>
                  </w:r>
                </w:p>
              </w:tc>
              <w:tc>
                <w:tcPr>
                  <w:tcW w:w="716" w:type="pct"/>
                  <w:tcBorders>
                    <w:tl2br w:val="nil"/>
                    <w:tr2bl w:val="nil"/>
                  </w:tcBorders>
                  <w:noWrap/>
                  <w:vAlign w:val="center"/>
                </w:tcPr>
                <w:p w14:paraId="516302AA">
                  <w:pPr>
                    <w:numPr>
                      <w:ilvl w:val="0"/>
                      <w:numId w:val="0"/>
                    </w:numPr>
                    <w:ind w:left="0" w:leftChars="0"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1台</w:t>
                  </w:r>
                </w:p>
              </w:tc>
            </w:tr>
            <w:tr w14:paraId="3F5452D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3" w:type="pct"/>
                  <w:vMerge w:val="continue"/>
                  <w:tcBorders>
                    <w:tl2br w:val="nil"/>
                    <w:tr2bl w:val="nil"/>
                  </w:tcBorders>
                  <w:noWrap/>
                  <w:vAlign w:val="center"/>
                </w:tcPr>
                <w:p w14:paraId="16CA113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pPr>
                </w:p>
              </w:tc>
              <w:tc>
                <w:tcPr>
                  <w:tcW w:w="879" w:type="pct"/>
                  <w:vMerge w:val="continue"/>
                  <w:tcBorders>
                    <w:tl2br w:val="nil"/>
                    <w:tr2bl w:val="nil"/>
                  </w:tcBorders>
                  <w:noWrap/>
                  <w:vAlign w:val="center"/>
                </w:tcPr>
                <w:p w14:paraId="33325304">
                  <w:pPr>
                    <w:keepNext w:val="0"/>
                    <w:keepLines w:val="0"/>
                    <w:pageBreakBefore w:val="0"/>
                    <w:widowControl/>
                    <w:tabs>
                      <w:tab w:val="left" w:pos="465"/>
                    </w:tabs>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pPr>
                </w:p>
              </w:tc>
              <w:tc>
                <w:tcPr>
                  <w:tcW w:w="1895" w:type="pct"/>
                  <w:tcBorders>
                    <w:tl2br w:val="nil"/>
                    <w:tr2bl w:val="nil"/>
                  </w:tcBorders>
                  <w:noWrap/>
                  <w:vAlign w:val="center"/>
                </w:tcPr>
                <w:p w14:paraId="4BD0E4CB">
                  <w:pPr>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旋风除尘器+袋式除尘器</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+30m烟囱</w:t>
                  </w:r>
                </w:p>
              </w:tc>
              <w:tc>
                <w:tcPr>
                  <w:tcW w:w="715" w:type="pct"/>
                  <w:tcBorders>
                    <w:tl2br w:val="nil"/>
                    <w:tr2bl w:val="nil"/>
                  </w:tcBorders>
                  <w:noWrap/>
                  <w:vAlign w:val="center"/>
                </w:tcPr>
                <w:p w14:paraId="404F5C38">
                  <w:pPr>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716" w:type="pct"/>
                  <w:tcBorders>
                    <w:tl2br w:val="nil"/>
                    <w:tr2bl w:val="nil"/>
                  </w:tcBorders>
                  <w:noWrap/>
                  <w:vAlign w:val="center"/>
                </w:tcPr>
                <w:p w14:paraId="438B01C4">
                  <w:pPr>
                    <w:numPr>
                      <w:ilvl w:val="0"/>
                      <w:numId w:val="0"/>
                    </w:numPr>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1套</w:t>
                  </w:r>
                </w:p>
              </w:tc>
            </w:tr>
            <w:tr w14:paraId="3C97F83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3" w:type="pct"/>
                  <w:vMerge w:val="continue"/>
                  <w:tcBorders>
                    <w:tl2br w:val="nil"/>
                    <w:tr2bl w:val="nil"/>
                  </w:tcBorders>
                  <w:noWrap/>
                  <w:vAlign w:val="center"/>
                </w:tcPr>
                <w:p w14:paraId="30B0832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pPr>
                </w:p>
              </w:tc>
              <w:tc>
                <w:tcPr>
                  <w:tcW w:w="879" w:type="pct"/>
                  <w:tcBorders>
                    <w:tl2br w:val="nil"/>
                    <w:tr2bl w:val="nil"/>
                  </w:tcBorders>
                  <w:noWrap/>
                  <w:vAlign w:val="center"/>
                </w:tcPr>
                <w:p w14:paraId="516A238F">
                  <w:pPr>
                    <w:keepNext w:val="0"/>
                    <w:keepLines w:val="0"/>
                    <w:pageBreakBefore w:val="0"/>
                    <w:widowControl/>
                    <w:tabs>
                      <w:tab w:val="left" w:pos="465"/>
                    </w:tabs>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软化水制备</w:t>
                  </w:r>
                </w:p>
              </w:tc>
              <w:tc>
                <w:tcPr>
                  <w:tcW w:w="1895" w:type="pct"/>
                  <w:tcBorders>
                    <w:tl2br w:val="nil"/>
                    <w:tr2bl w:val="nil"/>
                  </w:tcBorders>
                  <w:noWrap/>
                  <w:vAlign w:val="center"/>
                </w:tcPr>
                <w:p w14:paraId="5A5E3061">
                  <w:pPr>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软化水制备系统</w:t>
                  </w:r>
                </w:p>
              </w:tc>
              <w:tc>
                <w:tcPr>
                  <w:tcW w:w="715" w:type="pct"/>
                  <w:tcBorders>
                    <w:tl2br w:val="nil"/>
                    <w:tr2bl w:val="nil"/>
                  </w:tcBorders>
                  <w:noWrap/>
                  <w:vAlign w:val="center"/>
                </w:tcPr>
                <w:p w14:paraId="25412F5D">
                  <w:pPr>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716" w:type="pct"/>
                  <w:tcBorders>
                    <w:tl2br w:val="nil"/>
                    <w:tr2bl w:val="nil"/>
                  </w:tcBorders>
                  <w:noWrap/>
                  <w:vAlign w:val="center"/>
                </w:tcPr>
                <w:p w14:paraId="30ACBE56">
                  <w:pPr>
                    <w:numPr>
                      <w:ilvl w:val="0"/>
                      <w:numId w:val="0"/>
                    </w:numPr>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1台</w:t>
                  </w:r>
                </w:p>
              </w:tc>
            </w:tr>
          </w:tbl>
          <w:p w14:paraId="0570BBA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eastAsia" w:cs="Times New Roman"/>
                <w:b/>
                <w:bCs w:val="0"/>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原辅材料用量</w:t>
            </w:r>
          </w:p>
          <w:p w14:paraId="55493A5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u w:val="none" w:color="auto"/>
              </w:rPr>
            </w:pPr>
            <w:r>
              <w:rPr>
                <w:rFonts w:hint="eastAsia" w:cs="Times New Roman"/>
                <w:color w:val="FF0000"/>
                <w:sz w:val="24"/>
                <w:szCs w:val="24"/>
                <w:u w:val="none" w:color="auto"/>
                <w:lang w:val="en-US" w:eastAsia="zh-CN"/>
              </w:rPr>
              <w:t>本项目</w:t>
            </w:r>
            <w:r>
              <w:rPr>
                <w:rFonts w:hint="eastAsia" w:cs="Times New Roman"/>
                <w:bCs/>
                <w:color w:val="FF0000"/>
                <w:sz w:val="24"/>
                <w:szCs w:val="24"/>
                <w:highlight w:val="none"/>
                <w:lang w:val="en-US" w:eastAsia="zh-CN"/>
              </w:rPr>
              <w:t>主要供热范围为生产车间和办公室，供热面积为7637.2m</w:t>
            </w:r>
            <w:r>
              <w:rPr>
                <w:rFonts w:hint="eastAsia" w:cs="Times New Roman"/>
                <w:bCs/>
                <w:color w:val="FF0000"/>
                <w:sz w:val="24"/>
                <w:szCs w:val="24"/>
                <w:highlight w:val="none"/>
                <w:vertAlign w:val="superscript"/>
                <w:lang w:val="en-US" w:eastAsia="zh-CN"/>
              </w:rPr>
              <w:t>2</w:t>
            </w:r>
            <w:r>
              <w:rPr>
                <w:rFonts w:hint="eastAsia" w:cs="Times New Roman"/>
                <w:bCs/>
                <w:color w:val="FF0000"/>
                <w:sz w:val="24"/>
                <w:szCs w:val="24"/>
                <w:highlight w:val="none"/>
                <w:lang w:val="en-US" w:eastAsia="zh-CN"/>
              </w:rPr>
              <w:t>，</w:t>
            </w:r>
            <w:r>
              <w:rPr>
                <w:rFonts w:hint="default" w:ascii="Times New Roman" w:hAnsi="Times New Roman" w:eastAsia="宋体" w:cs="Times New Roman"/>
                <w:color w:val="FF0000"/>
                <w:sz w:val="24"/>
                <w:szCs w:val="24"/>
                <w:u w:val="none" w:color="auto"/>
              </w:rPr>
              <w:t>锅炉燃料消耗计算方法：总热功率/热效率/燃料发热量＝燃料消耗量，</w:t>
            </w:r>
            <w:r>
              <w:rPr>
                <w:rFonts w:hint="eastAsia" w:ascii="Times New Roman" w:hAnsi="Times New Roman" w:eastAsia="宋体" w:cs="Times New Roman"/>
                <w:color w:val="FF0000"/>
                <w:sz w:val="24"/>
                <w:szCs w:val="24"/>
                <w:u w:val="none" w:color="auto"/>
                <w:lang w:val="en-US" w:eastAsia="zh-CN"/>
              </w:rPr>
              <w:t>1.75MW</w:t>
            </w:r>
            <w:r>
              <w:rPr>
                <w:rFonts w:hint="default" w:ascii="Times New Roman" w:hAnsi="Times New Roman" w:eastAsia="宋体" w:cs="Times New Roman"/>
                <w:color w:val="FF0000"/>
                <w:sz w:val="24"/>
                <w:szCs w:val="24"/>
                <w:u w:val="none" w:color="auto"/>
              </w:rPr>
              <w:t>锅炉总热功率为</w:t>
            </w:r>
            <w:r>
              <w:rPr>
                <w:rFonts w:hint="eastAsia" w:ascii="Times New Roman" w:hAnsi="Times New Roman" w:eastAsia="宋体" w:cs="Times New Roman"/>
                <w:color w:val="FF0000"/>
                <w:sz w:val="24"/>
                <w:szCs w:val="24"/>
                <w:u w:val="none" w:color="auto"/>
                <w:lang w:val="en-US" w:eastAsia="zh-CN"/>
              </w:rPr>
              <w:t>150</w:t>
            </w:r>
            <w:r>
              <w:rPr>
                <w:rFonts w:hint="default" w:ascii="Times New Roman" w:hAnsi="Times New Roman" w:eastAsia="宋体" w:cs="Times New Roman"/>
                <w:color w:val="FF0000"/>
                <w:sz w:val="24"/>
                <w:szCs w:val="24"/>
                <w:u w:val="none" w:color="auto"/>
              </w:rPr>
              <w:t>万大卡，根据建设单位提供的固体生物质检测分析报告，收到基低位发热量为</w:t>
            </w:r>
            <w:r>
              <w:rPr>
                <w:rFonts w:hint="eastAsia" w:ascii="Times New Roman" w:hAnsi="Times New Roman" w:eastAsia="宋体" w:cs="Times New Roman"/>
                <w:color w:val="FF0000"/>
                <w:sz w:val="24"/>
                <w:szCs w:val="24"/>
                <w:u w:val="none" w:color="auto"/>
                <w:lang w:val="en-US" w:eastAsia="zh-CN"/>
              </w:rPr>
              <w:t>16.77</w:t>
            </w:r>
            <w:r>
              <w:rPr>
                <w:rFonts w:hint="default" w:ascii="Times New Roman" w:hAnsi="Times New Roman" w:eastAsia="宋体" w:cs="Times New Roman"/>
                <w:color w:val="FF0000"/>
                <w:sz w:val="24"/>
                <w:szCs w:val="24"/>
                <w:u w:val="none" w:color="auto"/>
              </w:rPr>
              <w:t>MJ/kg（1MJ=1000000焦耳=239.234大卡）即4011.95418大卡/kg，本项目为</w:t>
            </w:r>
            <w:r>
              <w:rPr>
                <w:rFonts w:hint="eastAsia" w:ascii="Times New Roman" w:hAnsi="Times New Roman" w:eastAsia="宋体" w:cs="Times New Roman"/>
                <w:color w:val="FF0000"/>
                <w:sz w:val="24"/>
                <w:szCs w:val="24"/>
                <w:u w:val="none" w:color="auto"/>
                <w:lang w:val="en-US" w:eastAsia="zh-CN"/>
              </w:rPr>
              <w:t>1.75MW</w:t>
            </w:r>
            <w:r>
              <w:rPr>
                <w:rFonts w:hint="default" w:ascii="Times New Roman" w:hAnsi="Times New Roman" w:eastAsia="宋体" w:cs="Times New Roman"/>
                <w:color w:val="FF0000"/>
                <w:sz w:val="24"/>
                <w:szCs w:val="24"/>
                <w:u w:val="none" w:color="auto"/>
              </w:rPr>
              <w:t>锅炉，根据《生物质锅炉技术规范》（GB/T44906-2024）锅炉热效率为83%，本则1台</w:t>
            </w:r>
            <w:r>
              <w:rPr>
                <w:rFonts w:hint="eastAsia" w:ascii="Times New Roman" w:hAnsi="Times New Roman" w:eastAsia="宋体" w:cs="Times New Roman"/>
                <w:color w:val="FF0000"/>
                <w:sz w:val="24"/>
                <w:szCs w:val="24"/>
                <w:u w:val="none" w:color="auto"/>
                <w:lang w:val="en-US" w:eastAsia="zh-CN"/>
              </w:rPr>
              <w:t>1.75MW</w:t>
            </w:r>
            <w:r>
              <w:rPr>
                <w:rFonts w:hint="default" w:ascii="Times New Roman" w:hAnsi="Times New Roman" w:eastAsia="宋体" w:cs="Times New Roman"/>
                <w:color w:val="FF0000"/>
                <w:sz w:val="24"/>
                <w:szCs w:val="24"/>
                <w:u w:val="none" w:color="auto"/>
              </w:rPr>
              <w:t>锅炉生物质成型燃料消耗量：1</w:t>
            </w:r>
            <w:r>
              <w:rPr>
                <w:rFonts w:hint="eastAsia" w:ascii="Times New Roman" w:hAnsi="Times New Roman" w:eastAsia="宋体" w:cs="Times New Roman"/>
                <w:color w:val="FF0000"/>
                <w:sz w:val="24"/>
                <w:szCs w:val="24"/>
                <w:u w:val="none" w:color="auto"/>
                <w:lang w:val="en-US" w:eastAsia="zh-CN"/>
              </w:rPr>
              <w:t>5</w:t>
            </w:r>
            <w:r>
              <w:rPr>
                <w:rFonts w:hint="default" w:ascii="Times New Roman" w:hAnsi="Times New Roman" w:eastAsia="宋体" w:cs="Times New Roman"/>
                <w:color w:val="FF0000"/>
                <w:sz w:val="24"/>
                <w:szCs w:val="24"/>
                <w:u w:val="none" w:color="auto"/>
              </w:rPr>
              <w:t>00000/83%/4011.95418/1000=0.</w:t>
            </w:r>
            <w:r>
              <w:rPr>
                <w:rFonts w:hint="eastAsia" w:ascii="Times New Roman" w:hAnsi="Times New Roman" w:eastAsia="宋体" w:cs="Times New Roman"/>
                <w:color w:val="FF0000"/>
                <w:sz w:val="24"/>
                <w:szCs w:val="24"/>
                <w:u w:val="none" w:color="auto"/>
                <w:lang w:val="en-US" w:eastAsia="zh-CN"/>
              </w:rPr>
              <w:t>45</w:t>
            </w:r>
            <w:r>
              <w:rPr>
                <w:rFonts w:hint="default" w:ascii="Times New Roman" w:hAnsi="Times New Roman" w:eastAsia="宋体" w:cs="Times New Roman"/>
                <w:color w:val="FF0000"/>
                <w:sz w:val="24"/>
                <w:szCs w:val="24"/>
                <w:u w:val="none" w:color="auto"/>
              </w:rPr>
              <w:t>t/h。</w:t>
            </w:r>
          </w:p>
          <w:p w14:paraId="5A3D186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u w:val="none" w:color="auto"/>
                <w:lang w:val="en-US" w:eastAsia="zh-CN"/>
              </w:rPr>
            </w:pPr>
            <w:r>
              <w:rPr>
                <w:rFonts w:hint="eastAsia" w:cs="Times New Roman"/>
                <w:color w:val="FF0000"/>
                <w:sz w:val="24"/>
                <w:szCs w:val="24"/>
                <w:u w:val="none" w:color="auto"/>
                <w:lang w:val="en-US" w:eastAsia="zh-CN"/>
              </w:rPr>
              <w:t>本项目年供热180天，24小时，年燃料量为1944t/a。</w:t>
            </w:r>
          </w:p>
          <w:p w14:paraId="70EEB2C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本项目原辅料用量情况详见表2-</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p>
          <w:p w14:paraId="2619011F">
            <w:pPr>
              <w:adjustRightInd w:val="0"/>
              <w:snapToGrid w:val="0"/>
              <w:jc w:val="cente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表2-</w:t>
            </w:r>
            <w:r>
              <w:rPr>
                <w:rFonts w:hint="default" w:ascii="Times New Roman" w:hAnsi="Times New Roman" w:cs="Times New Roman"/>
                <w:b/>
                <w:bCs w:val="0"/>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原辅料一览表</w:t>
            </w:r>
          </w:p>
          <w:tbl>
            <w:tblPr>
              <w:tblStyle w:val="13"/>
              <w:tblW w:w="793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0"/>
              <w:gridCol w:w="2433"/>
              <w:gridCol w:w="865"/>
              <w:gridCol w:w="1688"/>
              <w:gridCol w:w="2141"/>
            </w:tblGrid>
            <w:tr w14:paraId="47F41DB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0" w:type="dxa"/>
                  <w:tcBorders>
                    <w:tl2br w:val="nil"/>
                    <w:tr2bl w:val="nil"/>
                  </w:tcBorders>
                  <w:noWrap w:val="0"/>
                  <w:vAlign w:val="center"/>
                </w:tcPr>
                <w:p w14:paraId="6555972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pacing w:val="0"/>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0"/>
                      <w:sz w:val="21"/>
                      <w:szCs w:val="21"/>
                      <w:highlight w:val="none"/>
                      <w14:textFill>
                        <w14:solidFill>
                          <w14:schemeClr w14:val="tx1"/>
                        </w14:solidFill>
                      </w14:textFill>
                    </w:rPr>
                    <w:t>序号</w:t>
                  </w:r>
                </w:p>
              </w:tc>
              <w:tc>
                <w:tcPr>
                  <w:tcW w:w="2433" w:type="dxa"/>
                  <w:tcBorders>
                    <w:tl2br w:val="nil"/>
                    <w:tr2bl w:val="nil"/>
                  </w:tcBorders>
                  <w:noWrap w:val="0"/>
                  <w:vAlign w:val="center"/>
                </w:tcPr>
                <w:p w14:paraId="0BFE893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pacing w:val="0"/>
                      <w:kern w:val="0"/>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0"/>
                      <w:kern w:val="0"/>
                      <w:sz w:val="21"/>
                      <w:szCs w:val="21"/>
                      <w:highlight w:val="none"/>
                      <w:lang w:eastAsia="zh-CN"/>
                      <w14:textFill>
                        <w14:solidFill>
                          <w14:schemeClr w14:val="tx1"/>
                        </w14:solidFill>
                      </w14:textFill>
                    </w:rPr>
                    <w:t>原辅料名称</w:t>
                  </w:r>
                </w:p>
              </w:tc>
              <w:tc>
                <w:tcPr>
                  <w:tcW w:w="865" w:type="dxa"/>
                  <w:tcBorders>
                    <w:tl2br w:val="nil"/>
                    <w:tr2bl w:val="nil"/>
                  </w:tcBorders>
                  <w:noWrap w:val="0"/>
                  <w:vAlign w:val="center"/>
                </w:tcPr>
                <w:p w14:paraId="11372A4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pacing w:val="0"/>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0"/>
                      <w:sz w:val="21"/>
                      <w:szCs w:val="21"/>
                      <w:highlight w:val="none"/>
                      <w14:textFill>
                        <w14:solidFill>
                          <w14:schemeClr w14:val="tx1"/>
                        </w14:solidFill>
                      </w14:textFill>
                    </w:rPr>
                    <w:t>单位</w:t>
                  </w:r>
                </w:p>
              </w:tc>
              <w:tc>
                <w:tcPr>
                  <w:tcW w:w="1688" w:type="dxa"/>
                  <w:tcBorders>
                    <w:tl2br w:val="nil"/>
                    <w:tr2bl w:val="nil"/>
                  </w:tcBorders>
                  <w:noWrap w:val="0"/>
                  <w:vAlign w:val="center"/>
                </w:tcPr>
                <w:p w14:paraId="3992A8E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pacing w:val="0"/>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0"/>
                      <w:sz w:val="21"/>
                      <w:szCs w:val="21"/>
                      <w:highlight w:val="none"/>
                      <w14:textFill>
                        <w14:solidFill>
                          <w14:schemeClr w14:val="tx1"/>
                        </w14:solidFill>
                      </w14:textFill>
                    </w:rPr>
                    <w:t>年用量</w:t>
                  </w:r>
                </w:p>
              </w:tc>
              <w:tc>
                <w:tcPr>
                  <w:tcW w:w="2141" w:type="dxa"/>
                  <w:tcBorders>
                    <w:tl2br w:val="nil"/>
                    <w:tr2bl w:val="nil"/>
                  </w:tcBorders>
                  <w:noWrap w:val="0"/>
                  <w:vAlign w:val="center"/>
                </w:tcPr>
                <w:p w14:paraId="04A99CB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pacing w:val="0"/>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0"/>
                      <w:sz w:val="21"/>
                      <w:szCs w:val="21"/>
                      <w:highlight w:val="none"/>
                      <w14:textFill>
                        <w14:solidFill>
                          <w14:schemeClr w14:val="tx1"/>
                        </w14:solidFill>
                      </w14:textFill>
                    </w:rPr>
                    <w:t>备注</w:t>
                  </w:r>
                </w:p>
              </w:tc>
            </w:tr>
            <w:tr w14:paraId="44BF204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0" w:type="dxa"/>
                  <w:tcBorders>
                    <w:tl2br w:val="nil"/>
                    <w:tr2bl w:val="nil"/>
                  </w:tcBorders>
                  <w:noWrap w:val="0"/>
                  <w:vAlign w:val="center"/>
                </w:tcPr>
                <w:p w14:paraId="1091A3F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pacing w:val="0"/>
                      <w:kern w:val="0"/>
                      <w:sz w:val="21"/>
                      <w:szCs w:val="21"/>
                      <w:highlight w:val="none"/>
                      <w14:textFill>
                        <w14:solidFill>
                          <w14:schemeClr w14:val="tx1"/>
                        </w14:solidFill>
                      </w14:textFill>
                    </w:rPr>
                  </w:pPr>
                  <w:r>
                    <w:rPr>
                      <w:rFonts w:hint="default" w:ascii="Times New Roman" w:hAnsi="Times New Roman" w:cs="Times New Roman"/>
                      <w:color w:val="000000" w:themeColor="text1"/>
                      <w:spacing w:val="0"/>
                      <w:kern w:val="0"/>
                      <w:sz w:val="21"/>
                      <w:szCs w:val="21"/>
                      <w:highlight w:val="none"/>
                      <w:lang w:val="en-US" w:eastAsia="zh-CN"/>
                      <w14:textFill>
                        <w14:solidFill>
                          <w14:schemeClr w14:val="tx1"/>
                        </w14:solidFill>
                      </w14:textFill>
                    </w:rPr>
                    <w:t>1</w:t>
                  </w:r>
                </w:p>
              </w:tc>
              <w:tc>
                <w:tcPr>
                  <w:tcW w:w="2433" w:type="dxa"/>
                  <w:tcBorders>
                    <w:tl2br w:val="nil"/>
                    <w:tr2bl w:val="nil"/>
                  </w:tcBorders>
                  <w:noWrap w:val="0"/>
                  <w:vAlign w:val="center"/>
                </w:tcPr>
                <w:p w14:paraId="1CE4792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pacing w:val="0"/>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kern w:val="0"/>
                      <w:sz w:val="21"/>
                      <w:szCs w:val="21"/>
                      <w:highlight w:val="none"/>
                      <w:lang w:val="en-US" w:eastAsia="zh-CN"/>
                      <w14:textFill>
                        <w14:solidFill>
                          <w14:schemeClr w14:val="tx1"/>
                        </w14:solidFill>
                      </w14:textFill>
                    </w:rPr>
                    <w:t>成型生物质燃料</w:t>
                  </w:r>
                </w:p>
              </w:tc>
              <w:tc>
                <w:tcPr>
                  <w:tcW w:w="865" w:type="dxa"/>
                  <w:tcBorders>
                    <w:tl2br w:val="nil"/>
                    <w:tr2bl w:val="nil"/>
                  </w:tcBorders>
                  <w:noWrap w:val="0"/>
                  <w:vAlign w:val="center"/>
                </w:tcPr>
                <w:p w14:paraId="6A6E82A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0"/>
                      <w:kern w:val="0"/>
                      <w:sz w:val="21"/>
                      <w:szCs w:val="21"/>
                      <w:highlight w:val="none"/>
                      <w:vertAlign w:val="baseline"/>
                      <w:lang w:val="en-US" w:eastAsia="zh-CN"/>
                      <w14:textFill>
                        <w14:solidFill>
                          <w14:schemeClr w14:val="tx1"/>
                        </w14:solidFill>
                      </w14:textFill>
                    </w:rPr>
                    <w:t>t</w:t>
                  </w:r>
                </w:p>
              </w:tc>
              <w:tc>
                <w:tcPr>
                  <w:tcW w:w="1688" w:type="dxa"/>
                  <w:tcBorders>
                    <w:tl2br w:val="nil"/>
                    <w:tr2bl w:val="nil"/>
                  </w:tcBorders>
                  <w:noWrap w:val="0"/>
                  <w:vAlign w:val="center"/>
                </w:tcPr>
                <w:p w14:paraId="5B784B9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eastAsia" w:cs="Times New Roman"/>
                      <w:color w:val="000000" w:themeColor="text1"/>
                      <w:spacing w:val="0"/>
                      <w:kern w:val="0"/>
                      <w:sz w:val="21"/>
                      <w:szCs w:val="21"/>
                      <w:highlight w:val="none"/>
                      <w:vertAlign w:val="baseline"/>
                      <w:lang w:val="en-US" w:eastAsia="zh-CN"/>
                      <w14:textFill>
                        <w14:solidFill>
                          <w14:schemeClr w14:val="tx1"/>
                        </w14:solidFill>
                      </w14:textFill>
                    </w:rPr>
                    <w:t>1944</w:t>
                  </w:r>
                </w:p>
              </w:tc>
              <w:tc>
                <w:tcPr>
                  <w:tcW w:w="2141" w:type="dxa"/>
                  <w:tcBorders>
                    <w:tl2br w:val="nil"/>
                    <w:tr2bl w:val="nil"/>
                  </w:tcBorders>
                  <w:noWrap w:val="0"/>
                  <w:vAlign w:val="center"/>
                </w:tcPr>
                <w:p w14:paraId="1643D9A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pacing w:val="0"/>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kern w:val="0"/>
                      <w:sz w:val="21"/>
                      <w:szCs w:val="21"/>
                      <w:highlight w:val="none"/>
                      <w:lang w:val="en-US" w:eastAsia="zh-CN"/>
                      <w14:textFill>
                        <w14:solidFill>
                          <w14:schemeClr w14:val="tx1"/>
                        </w14:solidFill>
                      </w14:textFill>
                    </w:rPr>
                    <w:t>/</w:t>
                  </w:r>
                </w:p>
              </w:tc>
            </w:tr>
            <w:tr w14:paraId="2954535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0" w:type="dxa"/>
                  <w:tcBorders>
                    <w:tl2br w:val="nil"/>
                    <w:tr2bl w:val="nil"/>
                  </w:tcBorders>
                  <w:noWrap w:val="0"/>
                  <w:vAlign w:val="center"/>
                </w:tcPr>
                <w:p w14:paraId="4A9DF23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pacing w:val="0"/>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kern w:val="0"/>
                      <w:sz w:val="21"/>
                      <w:szCs w:val="21"/>
                      <w:highlight w:val="none"/>
                      <w:lang w:val="en-US" w:eastAsia="zh-CN"/>
                      <w14:textFill>
                        <w14:solidFill>
                          <w14:schemeClr w14:val="tx1"/>
                        </w14:solidFill>
                      </w14:textFill>
                    </w:rPr>
                    <w:t>2</w:t>
                  </w:r>
                </w:p>
              </w:tc>
              <w:tc>
                <w:tcPr>
                  <w:tcW w:w="2433" w:type="dxa"/>
                  <w:tcBorders>
                    <w:tl2br w:val="nil"/>
                    <w:tr2bl w:val="nil"/>
                  </w:tcBorders>
                  <w:noWrap w:val="0"/>
                  <w:vAlign w:val="center"/>
                </w:tcPr>
                <w:p w14:paraId="3EC88C4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pacing w:val="0"/>
                      <w:kern w:val="0"/>
                      <w:sz w:val="21"/>
                      <w:szCs w:val="21"/>
                      <w:highlight w:val="none"/>
                      <w:lang w:val="en-US" w:eastAsia="zh-CN"/>
                      <w14:textFill>
                        <w14:solidFill>
                          <w14:schemeClr w14:val="tx1"/>
                        </w14:solidFill>
                      </w14:textFill>
                    </w:rPr>
                  </w:pPr>
                  <w:r>
                    <w:rPr>
                      <w:rFonts w:hint="eastAsia" w:cs="Times New Roman"/>
                      <w:color w:val="000000" w:themeColor="text1"/>
                      <w:spacing w:val="0"/>
                      <w:kern w:val="0"/>
                      <w:sz w:val="21"/>
                      <w:szCs w:val="21"/>
                      <w:highlight w:val="none"/>
                      <w:lang w:val="en-US" w:eastAsia="zh-CN"/>
                      <w14:textFill>
                        <w14:solidFill>
                          <w14:schemeClr w14:val="tx1"/>
                        </w14:solidFill>
                      </w14:textFill>
                    </w:rPr>
                    <w:t>补充用</w:t>
                  </w:r>
                  <w:r>
                    <w:rPr>
                      <w:rFonts w:hint="default" w:ascii="Times New Roman" w:hAnsi="Times New Roman" w:cs="Times New Roman"/>
                      <w:color w:val="000000" w:themeColor="text1"/>
                      <w:spacing w:val="0"/>
                      <w:kern w:val="0"/>
                      <w:sz w:val="21"/>
                      <w:szCs w:val="21"/>
                      <w:highlight w:val="none"/>
                      <w:lang w:val="en-US" w:eastAsia="zh-CN"/>
                      <w14:textFill>
                        <w14:solidFill>
                          <w14:schemeClr w14:val="tx1"/>
                        </w14:solidFill>
                      </w14:textFill>
                    </w:rPr>
                    <w:t>水</w:t>
                  </w:r>
                </w:p>
              </w:tc>
              <w:tc>
                <w:tcPr>
                  <w:tcW w:w="865" w:type="dxa"/>
                  <w:tcBorders>
                    <w:tl2br w:val="nil"/>
                    <w:tr2bl w:val="nil"/>
                  </w:tcBorders>
                  <w:noWrap w:val="0"/>
                  <w:vAlign w:val="center"/>
                </w:tcPr>
                <w:p w14:paraId="66598B7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0"/>
                      <w:sz w:val="21"/>
                      <w:szCs w:val="21"/>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pacing w:val="0"/>
                      <w:kern w:val="0"/>
                      <w:sz w:val="21"/>
                      <w:szCs w:val="21"/>
                      <w:highlight w:val="none"/>
                      <w:vertAlign w:val="superscript"/>
                      <w:lang w:val="en-US" w:eastAsia="zh-CN"/>
                      <w14:textFill>
                        <w14:solidFill>
                          <w14:schemeClr w14:val="tx1"/>
                        </w14:solidFill>
                      </w14:textFill>
                    </w:rPr>
                    <w:t>3</w:t>
                  </w:r>
                </w:p>
              </w:tc>
              <w:tc>
                <w:tcPr>
                  <w:tcW w:w="1688" w:type="dxa"/>
                  <w:tcBorders>
                    <w:tl2br w:val="nil"/>
                    <w:tr2bl w:val="nil"/>
                  </w:tcBorders>
                  <w:noWrap w:val="0"/>
                  <w:vAlign w:val="center"/>
                </w:tcPr>
                <w:p w14:paraId="0BFB8B2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eastAsia" w:cs="Times New Roman"/>
                      <w:color w:val="000000" w:themeColor="text1"/>
                      <w:spacing w:val="0"/>
                      <w:kern w:val="0"/>
                      <w:sz w:val="21"/>
                      <w:szCs w:val="21"/>
                      <w:highlight w:val="none"/>
                      <w:vertAlign w:val="baseline"/>
                      <w:lang w:val="en-US" w:eastAsia="zh-CN"/>
                      <w14:textFill>
                        <w14:solidFill>
                          <w14:schemeClr w14:val="tx1"/>
                        </w14:solidFill>
                      </w14:textFill>
                    </w:rPr>
                    <w:t>4109.81</w:t>
                  </w:r>
                </w:p>
              </w:tc>
              <w:tc>
                <w:tcPr>
                  <w:tcW w:w="2141" w:type="dxa"/>
                  <w:tcBorders>
                    <w:tl2br w:val="nil"/>
                    <w:tr2bl w:val="nil"/>
                  </w:tcBorders>
                  <w:noWrap w:val="0"/>
                  <w:vAlign w:val="center"/>
                </w:tcPr>
                <w:p w14:paraId="123D5C0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pacing w:val="0"/>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kern w:val="0"/>
                      <w:sz w:val="21"/>
                      <w:szCs w:val="21"/>
                      <w:highlight w:val="none"/>
                      <w:lang w:val="en-US" w:eastAsia="zh-CN"/>
                      <w14:textFill>
                        <w14:solidFill>
                          <w14:schemeClr w14:val="tx1"/>
                        </w14:solidFill>
                      </w14:textFill>
                    </w:rPr>
                    <w:t>/</w:t>
                  </w:r>
                </w:p>
              </w:tc>
            </w:tr>
            <w:tr w14:paraId="798B1B8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0" w:type="dxa"/>
                  <w:tcBorders>
                    <w:tl2br w:val="nil"/>
                    <w:tr2bl w:val="nil"/>
                  </w:tcBorders>
                  <w:noWrap w:val="0"/>
                  <w:vAlign w:val="center"/>
                </w:tcPr>
                <w:p w14:paraId="39B51A7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pacing w:val="0"/>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kern w:val="0"/>
                      <w:sz w:val="21"/>
                      <w:szCs w:val="21"/>
                      <w:highlight w:val="none"/>
                      <w:lang w:val="en-US" w:eastAsia="zh-CN"/>
                      <w14:textFill>
                        <w14:solidFill>
                          <w14:schemeClr w14:val="tx1"/>
                        </w14:solidFill>
                      </w14:textFill>
                    </w:rPr>
                    <w:t>3</w:t>
                  </w:r>
                </w:p>
              </w:tc>
              <w:tc>
                <w:tcPr>
                  <w:tcW w:w="2433" w:type="dxa"/>
                  <w:tcBorders>
                    <w:tl2br w:val="nil"/>
                    <w:tr2bl w:val="nil"/>
                  </w:tcBorders>
                  <w:noWrap w:val="0"/>
                  <w:vAlign w:val="center"/>
                </w:tcPr>
                <w:p w14:paraId="3327029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pacing w:val="0"/>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kern w:val="0"/>
                      <w:sz w:val="21"/>
                      <w:szCs w:val="21"/>
                      <w:highlight w:val="none"/>
                      <w:lang w:val="en-US" w:eastAsia="zh-CN"/>
                      <w14:textFill>
                        <w14:solidFill>
                          <w14:schemeClr w14:val="tx1"/>
                        </w14:solidFill>
                      </w14:textFill>
                    </w:rPr>
                    <w:t>离子交换树脂</w:t>
                  </w:r>
                </w:p>
              </w:tc>
              <w:tc>
                <w:tcPr>
                  <w:tcW w:w="865" w:type="dxa"/>
                  <w:tcBorders>
                    <w:tl2br w:val="nil"/>
                    <w:tr2bl w:val="nil"/>
                  </w:tcBorders>
                  <w:noWrap w:val="0"/>
                  <w:vAlign w:val="center"/>
                </w:tcPr>
                <w:p w14:paraId="0A08365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0"/>
                      <w:kern w:val="0"/>
                      <w:sz w:val="21"/>
                      <w:szCs w:val="21"/>
                      <w:highlight w:val="none"/>
                      <w:vertAlign w:val="baseline"/>
                      <w:lang w:val="en-US" w:eastAsia="zh-CN"/>
                      <w14:textFill>
                        <w14:solidFill>
                          <w14:schemeClr w14:val="tx1"/>
                        </w14:solidFill>
                      </w14:textFill>
                    </w:rPr>
                    <w:t>t</w:t>
                  </w:r>
                </w:p>
              </w:tc>
              <w:tc>
                <w:tcPr>
                  <w:tcW w:w="1688" w:type="dxa"/>
                  <w:tcBorders>
                    <w:tl2br w:val="nil"/>
                    <w:tr2bl w:val="nil"/>
                  </w:tcBorders>
                  <w:noWrap w:val="0"/>
                  <w:vAlign w:val="center"/>
                </w:tcPr>
                <w:p w14:paraId="7F95807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0"/>
                      <w:kern w:val="0"/>
                      <w:sz w:val="21"/>
                      <w:szCs w:val="21"/>
                      <w:highlight w:val="none"/>
                      <w:vertAlign w:val="baseline"/>
                      <w:lang w:val="en-US" w:eastAsia="zh-CN"/>
                      <w14:textFill>
                        <w14:solidFill>
                          <w14:schemeClr w14:val="tx1"/>
                        </w14:solidFill>
                      </w14:textFill>
                    </w:rPr>
                    <w:t>0.1</w:t>
                  </w:r>
                </w:p>
              </w:tc>
              <w:tc>
                <w:tcPr>
                  <w:tcW w:w="2141" w:type="dxa"/>
                  <w:tcBorders>
                    <w:tl2br w:val="nil"/>
                    <w:tr2bl w:val="nil"/>
                  </w:tcBorders>
                  <w:noWrap w:val="0"/>
                  <w:vAlign w:val="center"/>
                </w:tcPr>
                <w:p w14:paraId="4116178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pacing w:val="0"/>
                      <w:kern w:val="0"/>
                      <w:sz w:val="21"/>
                      <w:szCs w:val="21"/>
                      <w:highlight w:val="none"/>
                      <w:lang w:val="en-US" w:eastAsia="zh-CN"/>
                      <w14:textFill>
                        <w14:solidFill>
                          <w14:schemeClr w14:val="tx1"/>
                        </w14:solidFill>
                      </w14:textFill>
                    </w:rPr>
                  </w:pPr>
                  <w:r>
                    <w:rPr>
                      <w:rFonts w:hint="default" w:ascii="Times New Roman" w:hAnsi="Times New Roman" w:cs="Times New Roman"/>
                      <w:color w:val="FF0000"/>
                      <w:spacing w:val="0"/>
                      <w:kern w:val="0"/>
                      <w:sz w:val="21"/>
                      <w:szCs w:val="21"/>
                      <w:highlight w:val="none"/>
                      <w:lang w:val="en-US" w:eastAsia="zh-CN"/>
                    </w:rPr>
                    <w:t>/</w:t>
                  </w:r>
                </w:p>
              </w:tc>
            </w:tr>
          </w:tbl>
          <w:p w14:paraId="61538A69">
            <w:pPr>
              <w:adjustRightInd w:val="0"/>
              <w:snapToGrid w:val="0"/>
              <w:jc w:val="center"/>
              <w:rPr>
                <w:rFonts w:hint="default" w:ascii="Times New Roman" w:hAnsi="Times New Roman" w:eastAsia="宋体" w:cs="Times New Roman"/>
                <w:b/>
                <w:bCs w:val="0"/>
                <w:color w:val="FF0000"/>
                <w:sz w:val="24"/>
                <w:szCs w:val="24"/>
                <w:highlight w:val="none"/>
                <w:lang w:val="en-US" w:eastAsia="zh-CN"/>
              </w:rPr>
            </w:pPr>
            <w:r>
              <w:rPr>
                <w:rFonts w:hint="default" w:ascii="Times New Roman" w:hAnsi="Times New Roman" w:eastAsia="宋体" w:cs="Times New Roman"/>
                <w:b/>
                <w:bCs w:val="0"/>
                <w:color w:val="FF0000"/>
                <w:sz w:val="24"/>
                <w:szCs w:val="24"/>
                <w:highlight w:val="none"/>
                <w:lang w:val="en-US" w:eastAsia="zh-CN"/>
              </w:rPr>
              <w:t>表2-</w:t>
            </w:r>
            <w:r>
              <w:rPr>
                <w:rFonts w:hint="eastAsia" w:ascii="Times New Roman" w:hAnsi="Times New Roman" w:cs="Times New Roman"/>
                <w:b/>
                <w:bCs w:val="0"/>
                <w:color w:val="FF0000"/>
                <w:sz w:val="24"/>
                <w:szCs w:val="24"/>
                <w:highlight w:val="none"/>
                <w:lang w:val="en-US" w:eastAsia="zh-CN"/>
              </w:rPr>
              <w:t>4 扩建后</w:t>
            </w:r>
            <w:r>
              <w:rPr>
                <w:rFonts w:hint="default" w:ascii="Times New Roman" w:hAnsi="Times New Roman" w:eastAsia="宋体" w:cs="Times New Roman"/>
                <w:b/>
                <w:bCs w:val="0"/>
                <w:color w:val="FF0000"/>
                <w:sz w:val="24"/>
                <w:szCs w:val="24"/>
                <w:highlight w:val="none"/>
                <w:lang w:val="en-US" w:eastAsia="zh-CN"/>
              </w:rPr>
              <w:t>原辅料一览表</w:t>
            </w:r>
          </w:p>
          <w:tbl>
            <w:tblPr>
              <w:tblStyle w:val="13"/>
              <w:tblW w:w="793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0"/>
              <w:gridCol w:w="2433"/>
              <w:gridCol w:w="865"/>
              <w:gridCol w:w="1688"/>
              <w:gridCol w:w="2141"/>
            </w:tblGrid>
            <w:tr w14:paraId="65486D1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0" w:type="dxa"/>
                  <w:tcBorders>
                    <w:tl2br w:val="nil"/>
                    <w:tr2bl w:val="nil"/>
                  </w:tcBorders>
                  <w:noWrap w:val="0"/>
                  <w:vAlign w:val="center"/>
                </w:tcPr>
                <w:p w14:paraId="5AC6068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spacing w:val="0"/>
                      <w:kern w:val="0"/>
                      <w:sz w:val="21"/>
                      <w:szCs w:val="21"/>
                      <w:highlight w:val="none"/>
                    </w:rPr>
                  </w:pPr>
                  <w:r>
                    <w:rPr>
                      <w:rFonts w:hint="default" w:ascii="Times New Roman" w:hAnsi="Times New Roman" w:eastAsia="宋体" w:cs="Times New Roman"/>
                      <w:color w:val="FF0000"/>
                      <w:spacing w:val="0"/>
                      <w:kern w:val="0"/>
                      <w:sz w:val="21"/>
                      <w:szCs w:val="21"/>
                      <w:highlight w:val="none"/>
                    </w:rPr>
                    <w:t>序号</w:t>
                  </w:r>
                </w:p>
              </w:tc>
              <w:tc>
                <w:tcPr>
                  <w:tcW w:w="2433" w:type="dxa"/>
                  <w:tcBorders>
                    <w:tl2br w:val="nil"/>
                    <w:tr2bl w:val="nil"/>
                  </w:tcBorders>
                  <w:noWrap w:val="0"/>
                  <w:vAlign w:val="center"/>
                </w:tcPr>
                <w:p w14:paraId="416F7C5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spacing w:val="0"/>
                      <w:kern w:val="0"/>
                      <w:sz w:val="21"/>
                      <w:szCs w:val="21"/>
                      <w:highlight w:val="none"/>
                      <w:lang w:eastAsia="zh-CN"/>
                    </w:rPr>
                  </w:pPr>
                  <w:r>
                    <w:rPr>
                      <w:rFonts w:hint="default" w:ascii="Times New Roman" w:hAnsi="Times New Roman" w:cs="Times New Roman"/>
                      <w:color w:val="FF0000"/>
                      <w:spacing w:val="0"/>
                      <w:kern w:val="0"/>
                      <w:sz w:val="21"/>
                      <w:szCs w:val="21"/>
                      <w:highlight w:val="none"/>
                      <w:lang w:eastAsia="zh-CN"/>
                    </w:rPr>
                    <w:t>原辅料名称</w:t>
                  </w:r>
                </w:p>
              </w:tc>
              <w:tc>
                <w:tcPr>
                  <w:tcW w:w="865" w:type="dxa"/>
                  <w:tcBorders>
                    <w:tl2br w:val="nil"/>
                    <w:tr2bl w:val="nil"/>
                  </w:tcBorders>
                  <w:noWrap w:val="0"/>
                  <w:vAlign w:val="center"/>
                </w:tcPr>
                <w:p w14:paraId="682F87F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spacing w:val="0"/>
                      <w:kern w:val="0"/>
                      <w:sz w:val="21"/>
                      <w:szCs w:val="21"/>
                      <w:highlight w:val="none"/>
                    </w:rPr>
                  </w:pPr>
                  <w:r>
                    <w:rPr>
                      <w:rFonts w:hint="default" w:ascii="Times New Roman" w:hAnsi="Times New Roman" w:eastAsia="宋体" w:cs="Times New Roman"/>
                      <w:color w:val="FF0000"/>
                      <w:spacing w:val="0"/>
                      <w:kern w:val="0"/>
                      <w:sz w:val="21"/>
                      <w:szCs w:val="21"/>
                      <w:highlight w:val="none"/>
                    </w:rPr>
                    <w:t>单位</w:t>
                  </w:r>
                </w:p>
              </w:tc>
              <w:tc>
                <w:tcPr>
                  <w:tcW w:w="1688" w:type="dxa"/>
                  <w:tcBorders>
                    <w:tl2br w:val="nil"/>
                    <w:tr2bl w:val="nil"/>
                  </w:tcBorders>
                  <w:noWrap w:val="0"/>
                  <w:vAlign w:val="center"/>
                </w:tcPr>
                <w:p w14:paraId="37B6413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spacing w:val="0"/>
                      <w:kern w:val="0"/>
                      <w:sz w:val="21"/>
                      <w:szCs w:val="21"/>
                      <w:highlight w:val="none"/>
                    </w:rPr>
                  </w:pPr>
                  <w:r>
                    <w:rPr>
                      <w:rFonts w:hint="default" w:ascii="Times New Roman" w:hAnsi="Times New Roman" w:eastAsia="宋体" w:cs="Times New Roman"/>
                      <w:color w:val="FF0000"/>
                      <w:spacing w:val="0"/>
                      <w:kern w:val="0"/>
                      <w:sz w:val="21"/>
                      <w:szCs w:val="21"/>
                      <w:highlight w:val="none"/>
                    </w:rPr>
                    <w:t>年用量</w:t>
                  </w:r>
                </w:p>
              </w:tc>
              <w:tc>
                <w:tcPr>
                  <w:tcW w:w="2141" w:type="dxa"/>
                  <w:tcBorders>
                    <w:tl2br w:val="nil"/>
                    <w:tr2bl w:val="nil"/>
                  </w:tcBorders>
                  <w:noWrap w:val="0"/>
                  <w:vAlign w:val="center"/>
                </w:tcPr>
                <w:p w14:paraId="072EFD0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spacing w:val="0"/>
                      <w:kern w:val="0"/>
                      <w:sz w:val="21"/>
                      <w:szCs w:val="21"/>
                      <w:highlight w:val="none"/>
                    </w:rPr>
                  </w:pPr>
                  <w:r>
                    <w:rPr>
                      <w:rFonts w:hint="default" w:ascii="Times New Roman" w:hAnsi="Times New Roman" w:eastAsia="宋体" w:cs="Times New Roman"/>
                      <w:color w:val="FF0000"/>
                      <w:spacing w:val="0"/>
                      <w:kern w:val="0"/>
                      <w:sz w:val="21"/>
                      <w:szCs w:val="21"/>
                      <w:highlight w:val="none"/>
                    </w:rPr>
                    <w:t>备注</w:t>
                  </w:r>
                </w:p>
              </w:tc>
            </w:tr>
            <w:tr w14:paraId="685D12C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0" w:type="dxa"/>
                  <w:tcBorders>
                    <w:tl2br w:val="nil"/>
                    <w:tr2bl w:val="nil"/>
                  </w:tcBorders>
                  <w:noWrap w:val="0"/>
                  <w:vAlign w:val="center"/>
                </w:tcPr>
                <w:p w14:paraId="3E7CB54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spacing w:val="0"/>
                      <w:kern w:val="0"/>
                      <w:sz w:val="21"/>
                      <w:szCs w:val="21"/>
                      <w:highlight w:val="none"/>
                    </w:rPr>
                  </w:pPr>
                  <w:r>
                    <w:rPr>
                      <w:rFonts w:hint="default" w:ascii="Times New Roman" w:hAnsi="Times New Roman" w:cs="Times New Roman"/>
                      <w:color w:val="FF0000"/>
                      <w:spacing w:val="0"/>
                      <w:kern w:val="0"/>
                      <w:sz w:val="21"/>
                      <w:szCs w:val="21"/>
                      <w:highlight w:val="none"/>
                      <w:lang w:val="en-US" w:eastAsia="zh-CN"/>
                    </w:rPr>
                    <w:t>1</w:t>
                  </w:r>
                </w:p>
              </w:tc>
              <w:tc>
                <w:tcPr>
                  <w:tcW w:w="2433" w:type="dxa"/>
                  <w:tcBorders>
                    <w:tl2br w:val="nil"/>
                    <w:tr2bl w:val="nil"/>
                  </w:tcBorders>
                  <w:noWrap w:val="0"/>
                  <w:vAlign w:val="center"/>
                </w:tcPr>
                <w:p w14:paraId="09868F9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spacing w:val="0"/>
                      <w:kern w:val="0"/>
                      <w:sz w:val="21"/>
                      <w:szCs w:val="21"/>
                      <w:highlight w:val="none"/>
                      <w:lang w:val="en-US" w:eastAsia="zh-CN"/>
                    </w:rPr>
                  </w:pPr>
                  <w:r>
                    <w:rPr>
                      <w:rFonts w:hint="default" w:ascii="Times New Roman" w:hAnsi="Times New Roman" w:cs="Times New Roman"/>
                      <w:color w:val="FF0000"/>
                      <w:spacing w:val="0"/>
                      <w:kern w:val="0"/>
                      <w:sz w:val="21"/>
                      <w:szCs w:val="21"/>
                      <w:highlight w:val="none"/>
                      <w:lang w:val="en-US" w:eastAsia="zh-CN"/>
                    </w:rPr>
                    <w:t>成型生物质燃料</w:t>
                  </w:r>
                </w:p>
              </w:tc>
              <w:tc>
                <w:tcPr>
                  <w:tcW w:w="865" w:type="dxa"/>
                  <w:tcBorders>
                    <w:tl2br w:val="nil"/>
                    <w:tr2bl w:val="nil"/>
                  </w:tcBorders>
                  <w:noWrap w:val="0"/>
                  <w:vAlign w:val="center"/>
                </w:tcPr>
                <w:p w14:paraId="0C66605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vertAlign w:val="baseline"/>
                      <w:lang w:val="en-US" w:eastAsia="zh-CN"/>
                    </w:rPr>
                  </w:pPr>
                  <w:r>
                    <w:rPr>
                      <w:rFonts w:hint="default" w:ascii="Times New Roman" w:hAnsi="Times New Roman" w:cs="Times New Roman"/>
                      <w:color w:val="FF0000"/>
                      <w:spacing w:val="0"/>
                      <w:kern w:val="0"/>
                      <w:sz w:val="21"/>
                      <w:szCs w:val="21"/>
                      <w:highlight w:val="none"/>
                      <w:vertAlign w:val="baseline"/>
                      <w:lang w:val="en-US" w:eastAsia="zh-CN"/>
                    </w:rPr>
                    <w:t>t</w:t>
                  </w:r>
                </w:p>
              </w:tc>
              <w:tc>
                <w:tcPr>
                  <w:tcW w:w="1688" w:type="dxa"/>
                  <w:tcBorders>
                    <w:tl2br w:val="nil"/>
                    <w:tr2bl w:val="nil"/>
                  </w:tcBorders>
                  <w:noWrap w:val="0"/>
                  <w:vAlign w:val="center"/>
                </w:tcPr>
                <w:p w14:paraId="2AA783C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vertAlign w:val="baseline"/>
                      <w:lang w:val="en-US" w:eastAsia="zh-CN"/>
                    </w:rPr>
                  </w:pPr>
                  <w:r>
                    <w:rPr>
                      <w:rFonts w:hint="eastAsia" w:cs="Times New Roman"/>
                      <w:color w:val="FF0000"/>
                      <w:spacing w:val="0"/>
                      <w:kern w:val="0"/>
                      <w:sz w:val="21"/>
                      <w:szCs w:val="21"/>
                      <w:highlight w:val="none"/>
                      <w:vertAlign w:val="baseline"/>
                      <w:lang w:val="en-US" w:eastAsia="zh-CN"/>
                    </w:rPr>
                    <w:t>1944</w:t>
                  </w:r>
                </w:p>
              </w:tc>
              <w:tc>
                <w:tcPr>
                  <w:tcW w:w="2141" w:type="dxa"/>
                  <w:tcBorders>
                    <w:tl2br w:val="nil"/>
                    <w:tr2bl w:val="nil"/>
                  </w:tcBorders>
                  <w:noWrap w:val="0"/>
                  <w:vAlign w:val="center"/>
                </w:tcPr>
                <w:p w14:paraId="3A1C334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default" w:ascii="Times New Roman" w:hAnsi="Times New Roman" w:cs="Times New Roman"/>
                      <w:color w:val="FF0000"/>
                      <w:spacing w:val="0"/>
                      <w:kern w:val="0"/>
                      <w:sz w:val="21"/>
                      <w:szCs w:val="21"/>
                      <w:highlight w:val="none"/>
                      <w:lang w:val="en-US" w:eastAsia="zh-CN"/>
                    </w:rPr>
                    <w:t>/</w:t>
                  </w:r>
                </w:p>
              </w:tc>
            </w:tr>
            <w:tr w14:paraId="1511F30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0" w:type="dxa"/>
                  <w:tcBorders>
                    <w:tl2br w:val="nil"/>
                    <w:tr2bl w:val="nil"/>
                  </w:tcBorders>
                  <w:noWrap w:val="0"/>
                  <w:vAlign w:val="center"/>
                </w:tcPr>
                <w:p w14:paraId="19A12C5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default" w:ascii="Times New Roman" w:hAnsi="Times New Roman" w:cs="Times New Roman"/>
                      <w:color w:val="FF0000"/>
                      <w:spacing w:val="0"/>
                      <w:kern w:val="0"/>
                      <w:sz w:val="21"/>
                      <w:szCs w:val="21"/>
                      <w:highlight w:val="none"/>
                      <w:lang w:val="en-US" w:eastAsia="zh-CN"/>
                    </w:rPr>
                    <w:t>2</w:t>
                  </w:r>
                </w:p>
              </w:tc>
              <w:tc>
                <w:tcPr>
                  <w:tcW w:w="2433" w:type="dxa"/>
                  <w:tcBorders>
                    <w:tl2br w:val="nil"/>
                    <w:tr2bl w:val="nil"/>
                  </w:tcBorders>
                  <w:noWrap w:val="0"/>
                  <w:vAlign w:val="center"/>
                </w:tcPr>
                <w:p w14:paraId="43A5808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eastAsia" w:cs="Times New Roman"/>
                      <w:color w:val="FF0000"/>
                      <w:spacing w:val="0"/>
                      <w:kern w:val="0"/>
                      <w:sz w:val="21"/>
                      <w:szCs w:val="21"/>
                      <w:highlight w:val="none"/>
                      <w:lang w:val="en-US" w:eastAsia="zh-CN"/>
                    </w:rPr>
                    <w:t>补充用</w:t>
                  </w:r>
                  <w:r>
                    <w:rPr>
                      <w:rFonts w:hint="default" w:ascii="Times New Roman" w:hAnsi="Times New Roman" w:cs="Times New Roman"/>
                      <w:color w:val="FF0000"/>
                      <w:spacing w:val="0"/>
                      <w:kern w:val="0"/>
                      <w:sz w:val="21"/>
                      <w:szCs w:val="21"/>
                      <w:highlight w:val="none"/>
                      <w:lang w:val="en-US" w:eastAsia="zh-CN"/>
                    </w:rPr>
                    <w:t>水</w:t>
                  </w:r>
                </w:p>
              </w:tc>
              <w:tc>
                <w:tcPr>
                  <w:tcW w:w="865" w:type="dxa"/>
                  <w:tcBorders>
                    <w:tl2br w:val="nil"/>
                    <w:tr2bl w:val="nil"/>
                  </w:tcBorders>
                  <w:noWrap w:val="0"/>
                  <w:vAlign w:val="center"/>
                </w:tcPr>
                <w:p w14:paraId="0A3D38E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vertAlign w:val="baseline"/>
                      <w:lang w:val="en-US" w:eastAsia="zh-CN"/>
                    </w:rPr>
                  </w:pPr>
                  <w:r>
                    <w:rPr>
                      <w:rFonts w:hint="default" w:ascii="Times New Roman" w:hAnsi="Times New Roman" w:eastAsia="宋体" w:cs="Times New Roman"/>
                      <w:color w:val="FF0000"/>
                      <w:spacing w:val="0"/>
                      <w:kern w:val="0"/>
                      <w:sz w:val="21"/>
                      <w:szCs w:val="21"/>
                      <w:highlight w:val="none"/>
                      <w:lang w:val="en-US" w:eastAsia="zh-CN"/>
                    </w:rPr>
                    <w:t>m</w:t>
                  </w:r>
                  <w:r>
                    <w:rPr>
                      <w:rFonts w:hint="default" w:ascii="Times New Roman" w:hAnsi="Times New Roman" w:eastAsia="宋体" w:cs="Times New Roman"/>
                      <w:color w:val="FF0000"/>
                      <w:spacing w:val="0"/>
                      <w:kern w:val="0"/>
                      <w:sz w:val="21"/>
                      <w:szCs w:val="21"/>
                      <w:highlight w:val="none"/>
                      <w:vertAlign w:val="superscript"/>
                      <w:lang w:val="en-US" w:eastAsia="zh-CN"/>
                    </w:rPr>
                    <w:t>3</w:t>
                  </w:r>
                </w:p>
              </w:tc>
              <w:tc>
                <w:tcPr>
                  <w:tcW w:w="1688" w:type="dxa"/>
                  <w:tcBorders>
                    <w:tl2br w:val="nil"/>
                    <w:tr2bl w:val="nil"/>
                  </w:tcBorders>
                  <w:noWrap w:val="0"/>
                  <w:vAlign w:val="center"/>
                </w:tcPr>
                <w:p w14:paraId="104D489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vertAlign w:val="baseline"/>
                      <w:lang w:val="en-US" w:eastAsia="zh-CN"/>
                    </w:rPr>
                  </w:pPr>
                  <w:r>
                    <w:rPr>
                      <w:rFonts w:hint="eastAsia" w:ascii="Times New Roman" w:hAnsi="Times New Roman" w:eastAsia="宋体" w:cs="Times New Roman"/>
                      <w:color w:val="FF0000"/>
                      <w:spacing w:val="0"/>
                      <w:kern w:val="0"/>
                      <w:sz w:val="21"/>
                      <w:szCs w:val="21"/>
                      <w:highlight w:val="none"/>
                      <w:vertAlign w:val="baseline"/>
                      <w:lang w:val="en-US" w:eastAsia="zh-CN"/>
                    </w:rPr>
                    <w:t>4109.81</w:t>
                  </w:r>
                </w:p>
              </w:tc>
              <w:tc>
                <w:tcPr>
                  <w:tcW w:w="2141" w:type="dxa"/>
                  <w:tcBorders>
                    <w:tl2br w:val="nil"/>
                    <w:tr2bl w:val="nil"/>
                  </w:tcBorders>
                  <w:noWrap w:val="0"/>
                  <w:vAlign w:val="center"/>
                </w:tcPr>
                <w:p w14:paraId="7DB228E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default" w:ascii="Times New Roman" w:hAnsi="Times New Roman" w:cs="Times New Roman"/>
                      <w:color w:val="FF0000"/>
                      <w:spacing w:val="0"/>
                      <w:kern w:val="0"/>
                      <w:sz w:val="21"/>
                      <w:szCs w:val="21"/>
                      <w:highlight w:val="none"/>
                      <w:lang w:val="en-US" w:eastAsia="zh-CN"/>
                    </w:rPr>
                    <w:t>/</w:t>
                  </w:r>
                </w:p>
              </w:tc>
            </w:tr>
            <w:tr w14:paraId="589C7AB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0" w:type="dxa"/>
                  <w:tcBorders>
                    <w:tl2br w:val="nil"/>
                    <w:tr2bl w:val="nil"/>
                  </w:tcBorders>
                  <w:noWrap w:val="0"/>
                  <w:vAlign w:val="center"/>
                </w:tcPr>
                <w:p w14:paraId="5731DE4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default" w:ascii="Times New Roman" w:hAnsi="Times New Roman" w:cs="Times New Roman"/>
                      <w:color w:val="FF0000"/>
                      <w:spacing w:val="0"/>
                      <w:kern w:val="0"/>
                      <w:sz w:val="21"/>
                      <w:szCs w:val="21"/>
                      <w:highlight w:val="none"/>
                      <w:lang w:val="en-US" w:eastAsia="zh-CN"/>
                    </w:rPr>
                    <w:t>3</w:t>
                  </w:r>
                </w:p>
              </w:tc>
              <w:tc>
                <w:tcPr>
                  <w:tcW w:w="2433" w:type="dxa"/>
                  <w:tcBorders>
                    <w:tl2br w:val="nil"/>
                    <w:tr2bl w:val="nil"/>
                  </w:tcBorders>
                  <w:noWrap w:val="0"/>
                  <w:vAlign w:val="center"/>
                </w:tcPr>
                <w:p w14:paraId="241BF36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default" w:ascii="Times New Roman" w:hAnsi="Times New Roman" w:cs="Times New Roman"/>
                      <w:color w:val="FF0000"/>
                      <w:spacing w:val="0"/>
                      <w:kern w:val="0"/>
                      <w:sz w:val="21"/>
                      <w:szCs w:val="21"/>
                      <w:highlight w:val="none"/>
                      <w:lang w:val="en-US" w:eastAsia="zh-CN"/>
                    </w:rPr>
                    <w:t>离子交换树脂</w:t>
                  </w:r>
                </w:p>
              </w:tc>
              <w:tc>
                <w:tcPr>
                  <w:tcW w:w="865" w:type="dxa"/>
                  <w:tcBorders>
                    <w:tl2br w:val="nil"/>
                    <w:tr2bl w:val="nil"/>
                  </w:tcBorders>
                  <w:noWrap w:val="0"/>
                  <w:vAlign w:val="center"/>
                </w:tcPr>
                <w:p w14:paraId="10340BF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vertAlign w:val="baseline"/>
                      <w:lang w:val="en-US" w:eastAsia="zh-CN"/>
                    </w:rPr>
                  </w:pPr>
                  <w:r>
                    <w:rPr>
                      <w:rFonts w:hint="default" w:ascii="Times New Roman" w:hAnsi="Times New Roman" w:cs="Times New Roman"/>
                      <w:color w:val="FF0000"/>
                      <w:spacing w:val="0"/>
                      <w:kern w:val="0"/>
                      <w:sz w:val="21"/>
                      <w:szCs w:val="21"/>
                      <w:highlight w:val="none"/>
                      <w:vertAlign w:val="baseline"/>
                      <w:lang w:val="en-US" w:eastAsia="zh-CN"/>
                    </w:rPr>
                    <w:t>t</w:t>
                  </w:r>
                </w:p>
              </w:tc>
              <w:tc>
                <w:tcPr>
                  <w:tcW w:w="1688" w:type="dxa"/>
                  <w:tcBorders>
                    <w:tl2br w:val="nil"/>
                    <w:tr2bl w:val="nil"/>
                  </w:tcBorders>
                  <w:noWrap w:val="0"/>
                  <w:vAlign w:val="center"/>
                </w:tcPr>
                <w:p w14:paraId="48C721B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vertAlign w:val="baseline"/>
                      <w:lang w:val="en-US" w:eastAsia="zh-CN"/>
                    </w:rPr>
                  </w:pPr>
                  <w:r>
                    <w:rPr>
                      <w:rFonts w:hint="default" w:ascii="Times New Roman" w:hAnsi="Times New Roman" w:cs="Times New Roman"/>
                      <w:color w:val="FF0000"/>
                      <w:spacing w:val="0"/>
                      <w:kern w:val="0"/>
                      <w:sz w:val="21"/>
                      <w:szCs w:val="21"/>
                      <w:highlight w:val="none"/>
                      <w:vertAlign w:val="baseline"/>
                      <w:lang w:val="en-US" w:eastAsia="zh-CN"/>
                    </w:rPr>
                    <w:t>0.1</w:t>
                  </w:r>
                </w:p>
              </w:tc>
              <w:tc>
                <w:tcPr>
                  <w:tcW w:w="2141" w:type="dxa"/>
                  <w:tcBorders>
                    <w:tl2br w:val="nil"/>
                    <w:tr2bl w:val="nil"/>
                  </w:tcBorders>
                  <w:noWrap w:val="0"/>
                  <w:vAlign w:val="center"/>
                </w:tcPr>
                <w:p w14:paraId="2DA0C7E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default" w:ascii="Times New Roman" w:hAnsi="Times New Roman" w:cs="Times New Roman"/>
                      <w:color w:val="FF0000"/>
                      <w:spacing w:val="0"/>
                      <w:kern w:val="0"/>
                      <w:sz w:val="21"/>
                      <w:szCs w:val="21"/>
                      <w:highlight w:val="none"/>
                      <w:lang w:val="en-US" w:eastAsia="zh-CN"/>
                    </w:rPr>
                    <w:t>/</w:t>
                  </w:r>
                </w:p>
              </w:tc>
            </w:tr>
            <w:tr w14:paraId="68C676F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0" w:type="dxa"/>
                  <w:tcBorders>
                    <w:tl2br w:val="nil"/>
                    <w:tr2bl w:val="nil"/>
                  </w:tcBorders>
                  <w:noWrap w:val="0"/>
                  <w:vAlign w:val="center"/>
                </w:tcPr>
                <w:p w14:paraId="194DDE2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eastAsia" w:ascii="Times New Roman" w:hAnsi="Times New Roman" w:cs="Times New Roman"/>
                      <w:color w:val="FF0000"/>
                      <w:spacing w:val="0"/>
                      <w:kern w:val="0"/>
                      <w:sz w:val="21"/>
                      <w:szCs w:val="21"/>
                      <w:highlight w:val="none"/>
                      <w:lang w:val="en-US" w:eastAsia="zh-CN"/>
                    </w:rPr>
                    <w:t>4</w:t>
                  </w:r>
                </w:p>
              </w:tc>
              <w:tc>
                <w:tcPr>
                  <w:tcW w:w="2433" w:type="dxa"/>
                  <w:tcBorders>
                    <w:tl2br w:val="nil"/>
                    <w:tr2bl w:val="nil"/>
                  </w:tcBorders>
                  <w:noWrap w:val="0"/>
                  <w:vAlign w:val="center"/>
                </w:tcPr>
                <w:p w14:paraId="6AE74BF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eastAsia" w:ascii="Times New Roman" w:hAnsi="Times New Roman" w:cs="Times New Roman"/>
                      <w:color w:val="FF0000"/>
                      <w:spacing w:val="0"/>
                      <w:kern w:val="0"/>
                      <w:sz w:val="21"/>
                      <w:szCs w:val="21"/>
                      <w:highlight w:val="none"/>
                      <w:lang w:val="en-US" w:eastAsia="zh-CN"/>
                    </w:rPr>
                    <w:t>打捆秸秆</w:t>
                  </w:r>
                </w:p>
              </w:tc>
              <w:tc>
                <w:tcPr>
                  <w:tcW w:w="865" w:type="dxa"/>
                  <w:tcBorders>
                    <w:tl2br w:val="nil"/>
                    <w:tr2bl w:val="nil"/>
                  </w:tcBorders>
                  <w:noWrap w:val="0"/>
                  <w:vAlign w:val="center"/>
                </w:tcPr>
                <w:p w14:paraId="0A787BF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vertAlign w:val="baseline"/>
                      <w:lang w:val="en-US" w:eastAsia="zh-CN"/>
                    </w:rPr>
                  </w:pPr>
                  <w:r>
                    <w:rPr>
                      <w:rFonts w:hint="eastAsia" w:ascii="Times New Roman" w:hAnsi="Times New Roman" w:cs="Times New Roman"/>
                      <w:color w:val="FF0000"/>
                      <w:spacing w:val="0"/>
                      <w:kern w:val="0"/>
                      <w:sz w:val="21"/>
                      <w:szCs w:val="21"/>
                      <w:highlight w:val="none"/>
                      <w:vertAlign w:val="baseline"/>
                      <w:lang w:val="en-US" w:eastAsia="zh-CN"/>
                    </w:rPr>
                    <w:t>t</w:t>
                  </w:r>
                </w:p>
              </w:tc>
              <w:tc>
                <w:tcPr>
                  <w:tcW w:w="1688" w:type="dxa"/>
                  <w:tcBorders>
                    <w:tl2br w:val="nil"/>
                    <w:tr2bl w:val="nil"/>
                  </w:tcBorders>
                  <w:noWrap w:val="0"/>
                  <w:vAlign w:val="center"/>
                </w:tcPr>
                <w:p w14:paraId="53A8FD6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vertAlign w:val="baseline"/>
                      <w:lang w:val="en-US" w:eastAsia="zh-CN"/>
                    </w:rPr>
                  </w:pPr>
                  <w:r>
                    <w:rPr>
                      <w:rFonts w:hint="eastAsia" w:ascii="Times New Roman" w:hAnsi="Times New Roman" w:cs="Times New Roman"/>
                      <w:color w:val="FF0000"/>
                      <w:spacing w:val="0"/>
                      <w:kern w:val="0"/>
                      <w:sz w:val="21"/>
                      <w:szCs w:val="21"/>
                      <w:highlight w:val="none"/>
                      <w:vertAlign w:val="baseline"/>
                      <w:lang w:val="en-US" w:eastAsia="zh-CN"/>
                    </w:rPr>
                    <w:t>3000</w:t>
                  </w:r>
                </w:p>
              </w:tc>
              <w:tc>
                <w:tcPr>
                  <w:tcW w:w="2141" w:type="dxa"/>
                  <w:tcBorders>
                    <w:tl2br w:val="nil"/>
                    <w:tr2bl w:val="nil"/>
                  </w:tcBorders>
                  <w:noWrap w:val="0"/>
                  <w:vAlign w:val="center"/>
                </w:tcPr>
                <w:p w14:paraId="3DBD18D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default" w:ascii="Times New Roman" w:hAnsi="Times New Roman" w:cs="Times New Roman"/>
                      <w:color w:val="FF0000"/>
                      <w:spacing w:val="0"/>
                      <w:kern w:val="0"/>
                      <w:sz w:val="21"/>
                      <w:szCs w:val="21"/>
                      <w:highlight w:val="none"/>
                      <w:lang w:val="en-US" w:eastAsia="zh-CN"/>
                    </w:rPr>
                    <w:t>/</w:t>
                  </w:r>
                </w:p>
              </w:tc>
            </w:tr>
            <w:tr w14:paraId="1C7240A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0" w:type="dxa"/>
                  <w:tcBorders>
                    <w:tl2br w:val="nil"/>
                    <w:tr2bl w:val="nil"/>
                  </w:tcBorders>
                  <w:noWrap w:val="0"/>
                  <w:vAlign w:val="center"/>
                </w:tcPr>
                <w:p w14:paraId="4555205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eastAsia" w:ascii="Times New Roman" w:hAnsi="Times New Roman" w:cs="Times New Roman"/>
                      <w:color w:val="FF0000"/>
                      <w:spacing w:val="0"/>
                      <w:kern w:val="0"/>
                      <w:sz w:val="21"/>
                      <w:szCs w:val="21"/>
                      <w:highlight w:val="none"/>
                      <w:lang w:val="en-US" w:eastAsia="zh-CN"/>
                    </w:rPr>
                    <w:t>5</w:t>
                  </w:r>
                </w:p>
              </w:tc>
              <w:tc>
                <w:tcPr>
                  <w:tcW w:w="2433" w:type="dxa"/>
                  <w:tcBorders>
                    <w:tl2br w:val="nil"/>
                    <w:tr2bl w:val="nil"/>
                  </w:tcBorders>
                  <w:noWrap w:val="0"/>
                  <w:vAlign w:val="center"/>
                </w:tcPr>
                <w:p w14:paraId="6733156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eastAsia" w:ascii="Times New Roman" w:hAnsi="Times New Roman" w:cs="Times New Roman"/>
                      <w:color w:val="FF0000"/>
                      <w:spacing w:val="0"/>
                      <w:kern w:val="0"/>
                      <w:sz w:val="21"/>
                      <w:szCs w:val="21"/>
                      <w:highlight w:val="none"/>
                      <w:lang w:val="en-US" w:eastAsia="zh-CN"/>
                    </w:rPr>
                    <w:t>水基胶</w:t>
                  </w:r>
                </w:p>
              </w:tc>
              <w:tc>
                <w:tcPr>
                  <w:tcW w:w="865" w:type="dxa"/>
                  <w:tcBorders>
                    <w:tl2br w:val="nil"/>
                    <w:tr2bl w:val="nil"/>
                  </w:tcBorders>
                  <w:noWrap w:val="0"/>
                  <w:vAlign w:val="center"/>
                </w:tcPr>
                <w:p w14:paraId="762C068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vertAlign w:val="baseline"/>
                      <w:lang w:val="en-US" w:eastAsia="zh-CN"/>
                    </w:rPr>
                  </w:pPr>
                  <w:r>
                    <w:rPr>
                      <w:rFonts w:hint="eastAsia" w:ascii="Times New Roman" w:hAnsi="Times New Roman" w:cs="Times New Roman"/>
                      <w:color w:val="FF0000"/>
                      <w:spacing w:val="0"/>
                      <w:kern w:val="0"/>
                      <w:sz w:val="21"/>
                      <w:szCs w:val="21"/>
                      <w:highlight w:val="none"/>
                      <w:vertAlign w:val="baseline"/>
                      <w:lang w:val="en-US" w:eastAsia="zh-CN"/>
                    </w:rPr>
                    <w:t>t</w:t>
                  </w:r>
                </w:p>
              </w:tc>
              <w:tc>
                <w:tcPr>
                  <w:tcW w:w="1688" w:type="dxa"/>
                  <w:tcBorders>
                    <w:tl2br w:val="nil"/>
                    <w:tr2bl w:val="nil"/>
                  </w:tcBorders>
                  <w:noWrap w:val="0"/>
                  <w:vAlign w:val="center"/>
                </w:tcPr>
                <w:p w14:paraId="19A2128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vertAlign w:val="baseline"/>
                      <w:lang w:val="en-US" w:eastAsia="zh-CN"/>
                    </w:rPr>
                  </w:pPr>
                  <w:r>
                    <w:rPr>
                      <w:rFonts w:hint="eastAsia" w:ascii="Times New Roman" w:hAnsi="Times New Roman" w:cs="Times New Roman"/>
                      <w:color w:val="FF0000"/>
                      <w:spacing w:val="0"/>
                      <w:kern w:val="0"/>
                      <w:sz w:val="21"/>
                      <w:szCs w:val="21"/>
                      <w:highlight w:val="none"/>
                      <w:vertAlign w:val="baseline"/>
                      <w:lang w:val="en-US" w:eastAsia="zh-CN"/>
                    </w:rPr>
                    <w:t>120</w:t>
                  </w:r>
                </w:p>
              </w:tc>
              <w:tc>
                <w:tcPr>
                  <w:tcW w:w="2141" w:type="dxa"/>
                  <w:tcBorders>
                    <w:tl2br w:val="nil"/>
                    <w:tr2bl w:val="nil"/>
                  </w:tcBorders>
                  <w:noWrap w:val="0"/>
                  <w:vAlign w:val="center"/>
                </w:tcPr>
                <w:p w14:paraId="7F30086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default" w:ascii="Times New Roman" w:hAnsi="Times New Roman" w:cs="Times New Roman"/>
                      <w:color w:val="FF0000"/>
                      <w:spacing w:val="0"/>
                      <w:kern w:val="0"/>
                      <w:sz w:val="21"/>
                      <w:szCs w:val="21"/>
                      <w:highlight w:val="none"/>
                      <w:lang w:val="en-US" w:eastAsia="zh-CN"/>
                    </w:rPr>
                    <w:t>/</w:t>
                  </w:r>
                </w:p>
              </w:tc>
            </w:tr>
            <w:tr w14:paraId="7503331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0" w:type="dxa"/>
                  <w:tcBorders>
                    <w:tl2br w:val="nil"/>
                    <w:tr2bl w:val="nil"/>
                  </w:tcBorders>
                  <w:noWrap w:val="0"/>
                  <w:vAlign w:val="center"/>
                </w:tcPr>
                <w:p w14:paraId="3E8E58C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eastAsia" w:ascii="Times New Roman" w:hAnsi="Times New Roman" w:cs="Times New Roman"/>
                      <w:color w:val="FF0000"/>
                      <w:spacing w:val="0"/>
                      <w:kern w:val="0"/>
                      <w:sz w:val="21"/>
                      <w:szCs w:val="21"/>
                      <w:highlight w:val="none"/>
                      <w:lang w:val="en-US" w:eastAsia="zh-CN"/>
                    </w:rPr>
                    <w:t>6</w:t>
                  </w:r>
                </w:p>
              </w:tc>
              <w:tc>
                <w:tcPr>
                  <w:tcW w:w="2433" w:type="dxa"/>
                  <w:tcBorders>
                    <w:tl2br w:val="nil"/>
                    <w:tr2bl w:val="nil"/>
                  </w:tcBorders>
                  <w:noWrap w:val="0"/>
                  <w:vAlign w:val="center"/>
                </w:tcPr>
                <w:p w14:paraId="55416E9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eastAsia" w:ascii="Times New Roman" w:hAnsi="Times New Roman" w:cs="Times New Roman"/>
                      <w:color w:val="FF0000"/>
                      <w:spacing w:val="0"/>
                      <w:kern w:val="0"/>
                      <w:sz w:val="21"/>
                      <w:szCs w:val="21"/>
                      <w:highlight w:val="none"/>
                      <w:lang w:val="en-US" w:eastAsia="zh-CN"/>
                    </w:rPr>
                    <w:t>细木板</w:t>
                  </w:r>
                </w:p>
              </w:tc>
              <w:tc>
                <w:tcPr>
                  <w:tcW w:w="865" w:type="dxa"/>
                  <w:tcBorders>
                    <w:tl2br w:val="nil"/>
                    <w:tr2bl w:val="nil"/>
                  </w:tcBorders>
                  <w:noWrap w:val="0"/>
                  <w:vAlign w:val="center"/>
                </w:tcPr>
                <w:p w14:paraId="383073D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vertAlign w:val="baseline"/>
                      <w:lang w:val="en-US" w:eastAsia="zh-CN"/>
                    </w:rPr>
                  </w:pPr>
                  <w:r>
                    <w:rPr>
                      <w:rFonts w:hint="default" w:ascii="Times New Roman" w:hAnsi="Times New Roman" w:eastAsia="宋体" w:cs="Times New Roman"/>
                      <w:color w:val="FF0000"/>
                      <w:spacing w:val="0"/>
                      <w:kern w:val="0"/>
                      <w:sz w:val="21"/>
                      <w:szCs w:val="21"/>
                      <w:highlight w:val="none"/>
                      <w:lang w:val="en-US" w:eastAsia="zh-CN"/>
                    </w:rPr>
                    <w:t>m</w:t>
                  </w:r>
                  <w:r>
                    <w:rPr>
                      <w:rFonts w:hint="default" w:ascii="Times New Roman" w:hAnsi="Times New Roman" w:eastAsia="宋体" w:cs="Times New Roman"/>
                      <w:color w:val="FF0000"/>
                      <w:spacing w:val="0"/>
                      <w:kern w:val="0"/>
                      <w:sz w:val="21"/>
                      <w:szCs w:val="21"/>
                      <w:highlight w:val="none"/>
                      <w:vertAlign w:val="superscript"/>
                      <w:lang w:val="en-US" w:eastAsia="zh-CN"/>
                    </w:rPr>
                    <w:t>3</w:t>
                  </w:r>
                </w:p>
              </w:tc>
              <w:tc>
                <w:tcPr>
                  <w:tcW w:w="1688" w:type="dxa"/>
                  <w:tcBorders>
                    <w:tl2br w:val="nil"/>
                    <w:tr2bl w:val="nil"/>
                  </w:tcBorders>
                  <w:noWrap w:val="0"/>
                  <w:vAlign w:val="center"/>
                </w:tcPr>
                <w:p w14:paraId="599F6B7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vertAlign w:val="baseline"/>
                      <w:lang w:val="en-US" w:eastAsia="zh-CN"/>
                    </w:rPr>
                  </w:pPr>
                  <w:r>
                    <w:rPr>
                      <w:rFonts w:hint="eastAsia" w:ascii="Times New Roman" w:hAnsi="Times New Roman" w:cs="Times New Roman"/>
                      <w:color w:val="FF0000"/>
                      <w:spacing w:val="0"/>
                      <w:kern w:val="0"/>
                      <w:sz w:val="21"/>
                      <w:szCs w:val="21"/>
                      <w:highlight w:val="none"/>
                      <w:vertAlign w:val="baseline"/>
                      <w:lang w:val="en-US" w:eastAsia="zh-CN"/>
                    </w:rPr>
                    <w:t>2000</w:t>
                  </w:r>
                </w:p>
              </w:tc>
              <w:tc>
                <w:tcPr>
                  <w:tcW w:w="2141" w:type="dxa"/>
                  <w:tcBorders>
                    <w:tl2br w:val="nil"/>
                    <w:tr2bl w:val="nil"/>
                  </w:tcBorders>
                  <w:noWrap w:val="0"/>
                  <w:vAlign w:val="center"/>
                </w:tcPr>
                <w:p w14:paraId="1672CE6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default" w:ascii="Times New Roman" w:hAnsi="Times New Roman" w:cs="Times New Roman"/>
                      <w:color w:val="FF0000"/>
                      <w:spacing w:val="0"/>
                      <w:kern w:val="0"/>
                      <w:sz w:val="21"/>
                      <w:szCs w:val="21"/>
                      <w:highlight w:val="none"/>
                      <w:lang w:val="en-US" w:eastAsia="zh-CN"/>
                    </w:rPr>
                    <w:t>/</w:t>
                  </w:r>
                </w:p>
              </w:tc>
            </w:tr>
            <w:tr w14:paraId="0BB9EBC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0" w:type="dxa"/>
                  <w:tcBorders>
                    <w:tl2br w:val="nil"/>
                    <w:tr2bl w:val="nil"/>
                  </w:tcBorders>
                  <w:noWrap w:val="0"/>
                  <w:vAlign w:val="center"/>
                </w:tcPr>
                <w:p w14:paraId="16FC3AD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eastAsia" w:ascii="Times New Roman" w:hAnsi="Times New Roman" w:cs="Times New Roman"/>
                      <w:color w:val="FF0000"/>
                      <w:spacing w:val="0"/>
                      <w:kern w:val="0"/>
                      <w:sz w:val="21"/>
                      <w:szCs w:val="21"/>
                      <w:highlight w:val="none"/>
                      <w:lang w:val="en-US" w:eastAsia="zh-CN"/>
                    </w:rPr>
                    <w:t>7</w:t>
                  </w:r>
                </w:p>
              </w:tc>
              <w:tc>
                <w:tcPr>
                  <w:tcW w:w="2433" w:type="dxa"/>
                  <w:tcBorders>
                    <w:tl2br w:val="nil"/>
                    <w:tr2bl w:val="nil"/>
                  </w:tcBorders>
                  <w:noWrap w:val="0"/>
                  <w:vAlign w:val="center"/>
                </w:tcPr>
                <w:p w14:paraId="3525341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eastAsia" w:ascii="Times New Roman" w:hAnsi="Times New Roman" w:cs="Times New Roman"/>
                      <w:color w:val="FF0000"/>
                      <w:spacing w:val="0"/>
                      <w:kern w:val="0"/>
                      <w:sz w:val="21"/>
                      <w:szCs w:val="21"/>
                      <w:highlight w:val="none"/>
                      <w:lang w:val="en-US" w:eastAsia="zh-CN"/>
                    </w:rPr>
                    <w:t>木（蜡）油</w:t>
                  </w:r>
                </w:p>
              </w:tc>
              <w:tc>
                <w:tcPr>
                  <w:tcW w:w="865" w:type="dxa"/>
                  <w:tcBorders>
                    <w:tl2br w:val="nil"/>
                    <w:tr2bl w:val="nil"/>
                  </w:tcBorders>
                  <w:noWrap w:val="0"/>
                  <w:vAlign w:val="center"/>
                </w:tcPr>
                <w:p w14:paraId="13B2363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vertAlign w:val="baseline"/>
                      <w:lang w:val="en-US" w:eastAsia="zh-CN"/>
                    </w:rPr>
                  </w:pPr>
                  <w:r>
                    <w:rPr>
                      <w:rFonts w:hint="eastAsia" w:ascii="Times New Roman" w:hAnsi="Times New Roman" w:cs="Times New Roman"/>
                      <w:color w:val="FF0000"/>
                      <w:spacing w:val="0"/>
                      <w:kern w:val="0"/>
                      <w:sz w:val="21"/>
                      <w:szCs w:val="21"/>
                      <w:highlight w:val="none"/>
                      <w:vertAlign w:val="baseline"/>
                      <w:lang w:val="en-US" w:eastAsia="zh-CN"/>
                    </w:rPr>
                    <w:t>t</w:t>
                  </w:r>
                </w:p>
              </w:tc>
              <w:tc>
                <w:tcPr>
                  <w:tcW w:w="1688" w:type="dxa"/>
                  <w:tcBorders>
                    <w:tl2br w:val="nil"/>
                    <w:tr2bl w:val="nil"/>
                  </w:tcBorders>
                  <w:noWrap w:val="0"/>
                  <w:vAlign w:val="center"/>
                </w:tcPr>
                <w:p w14:paraId="38B956C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vertAlign w:val="baseline"/>
                      <w:lang w:val="en-US" w:eastAsia="zh-CN"/>
                    </w:rPr>
                  </w:pPr>
                  <w:r>
                    <w:rPr>
                      <w:rFonts w:hint="eastAsia" w:ascii="Times New Roman" w:hAnsi="Times New Roman" w:cs="Times New Roman"/>
                      <w:color w:val="FF0000"/>
                      <w:spacing w:val="0"/>
                      <w:kern w:val="0"/>
                      <w:sz w:val="21"/>
                      <w:szCs w:val="21"/>
                      <w:highlight w:val="none"/>
                      <w:vertAlign w:val="baseline"/>
                      <w:lang w:val="en-US" w:eastAsia="zh-CN"/>
                    </w:rPr>
                    <w:t>0.8</w:t>
                  </w:r>
                </w:p>
              </w:tc>
              <w:tc>
                <w:tcPr>
                  <w:tcW w:w="2141" w:type="dxa"/>
                  <w:tcBorders>
                    <w:tl2br w:val="nil"/>
                    <w:tr2bl w:val="nil"/>
                  </w:tcBorders>
                  <w:noWrap w:val="0"/>
                  <w:vAlign w:val="center"/>
                </w:tcPr>
                <w:p w14:paraId="088DB44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default" w:ascii="Times New Roman" w:hAnsi="Times New Roman" w:cs="Times New Roman"/>
                      <w:color w:val="FF0000"/>
                      <w:spacing w:val="0"/>
                      <w:kern w:val="0"/>
                      <w:sz w:val="21"/>
                      <w:szCs w:val="21"/>
                      <w:highlight w:val="none"/>
                      <w:lang w:val="en-US" w:eastAsia="zh-CN"/>
                    </w:rPr>
                    <w:t>/</w:t>
                  </w:r>
                </w:p>
              </w:tc>
            </w:tr>
            <w:tr w14:paraId="0DFD616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0" w:type="dxa"/>
                  <w:tcBorders>
                    <w:tl2br w:val="nil"/>
                    <w:tr2bl w:val="nil"/>
                  </w:tcBorders>
                  <w:noWrap w:val="0"/>
                  <w:vAlign w:val="center"/>
                </w:tcPr>
                <w:p w14:paraId="34A1FA1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eastAsia" w:ascii="Times New Roman" w:hAnsi="Times New Roman" w:cs="Times New Roman"/>
                      <w:color w:val="FF0000"/>
                      <w:spacing w:val="0"/>
                      <w:kern w:val="0"/>
                      <w:sz w:val="21"/>
                      <w:szCs w:val="21"/>
                      <w:highlight w:val="none"/>
                      <w:lang w:val="en-US" w:eastAsia="zh-CN"/>
                    </w:rPr>
                    <w:t>8</w:t>
                  </w:r>
                </w:p>
              </w:tc>
              <w:tc>
                <w:tcPr>
                  <w:tcW w:w="2433" w:type="dxa"/>
                  <w:tcBorders>
                    <w:tl2br w:val="nil"/>
                    <w:tr2bl w:val="nil"/>
                  </w:tcBorders>
                  <w:noWrap w:val="0"/>
                  <w:vAlign w:val="center"/>
                </w:tcPr>
                <w:p w14:paraId="0803B04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eastAsia" w:ascii="Times New Roman" w:hAnsi="Times New Roman" w:cs="Times New Roman"/>
                      <w:color w:val="FF0000"/>
                      <w:spacing w:val="0"/>
                      <w:kern w:val="0"/>
                      <w:sz w:val="21"/>
                      <w:szCs w:val="21"/>
                      <w:highlight w:val="none"/>
                      <w:lang w:val="en-US" w:eastAsia="zh-CN"/>
                    </w:rPr>
                    <w:t>五金配件</w:t>
                  </w:r>
                </w:p>
              </w:tc>
              <w:tc>
                <w:tcPr>
                  <w:tcW w:w="865" w:type="dxa"/>
                  <w:tcBorders>
                    <w:tl2br w:val="nil"/>
                    <w:tr2bl w:val="nil"/>
                  </w:tcBorders>
                  <w:noWrap w:val="0"/>
                  <w:vAlign w:val="center"/>
                </w:tcPr>
                <w:p w14:paraId="0DFCD5F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vertAlign w:val="baseline"/>
                      <w:lang w:val="en-US" w:eastAsia="zh-CN"/>
                    </w:rPr>
                  </w:pPr>
                  <w:r>
                    <w:rPr>
                      <w:rFonts w:hint="eastAsia" w:ascii="Times New Roman" w:hAnsi="Times New Roman" w:cs="Times New Roman"/>
                      <w:color w:val="FF0000"/>
                      <w:spacing w:val="0"/>
                      <w:kern w:val="0"/>
                      <w:sz w:val="21"/>
                      <w:szCs w:val="21"/>
                      <w:highlight w:val="none"/>
                      <w:vertAlign w:val="baseline"/>
                      <w:lang w:val="en-US" w:eastAsia="zh-CN"/>
                    </w:rPr>
                    <w:t>--</w:t>
                  </w:r>
                </w:p>
              </w:tc>
              <w:tc>
                <w:tcPr>
                  <w:tcW w:w="1688" w:type="dxa"/>
                  <w:tcBorders>
                    <w:tl2br w:val="nil"/>
                    <w:tr2bl w:val="nil"/>
                  </w:tcBorders>
                  <w:noWrap w:val="0"/>
                  <w:vAlign w:val="center"/>
                </w:tcPr>
                <w:p w14:paraId="0C7DCB5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vertAlign w:val="baseline"/>
                      <w:lang w:val="en-US" w:eastAsia="zh-CN"/>
                    </w:rPr>
                  </w:pPr>
                  <w:r>
                    <w:rPr>
                      <w:rFonts w:hint="eastAsia" w:ascii="Times New Roman" w:hAnsi="Times New Roman" w:cs="Times New Roman"/>
                      <w:color w:val="FF0000"/>
                      <w:spacing w:val="0"/>
                      <w:kern w:val="0"/>
                      <w:sz w:val="21"/>
                      <w:szCs w:val="21"/>
                      <w:highlight w:val="none"/>
                      <w:vertAlign w:val="baseline"/>
                      <w:lang w:val="en-US" w:eastAsia="zh-CN"/>
                    </w:rPr>
                    <w:t>--</w:t>
                  </w:r>
                </w:p>
              </w:tc>
              <w:tc>
                <w:tcPr>
                  <w:tcW w:w="2141" w:type="dxa"/>
                  <w:tcBorders>
                    <w:tl2br w:val="nil"/>
                    <w:tr2bl w:val="nil"/>
                  </w:tcBorders>
                  <w:noWrap w:val="0"/>
                  <w:vAlign w:val="center"/>
                </w:tcPr>
                <w:p w14:paraId="00D754BA">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FF0000"/>
                      <w:spacing w:val="0"/>
                      <w:kern w:val="0"/>
                      <w:sz w:val="21"/>
                      <w:szCs w:val="21"/>
                      <w:highlight w:val="none"/>
                      <w:lang w:val="en-US" w:eastAsia="zh-CN"/>
                    </w:rPr>
                  </w:pPr>
                  <w:r>
                    <w:rPr>
                      <w:rFonts w:hint="default" w:ascii="Times New Roman" w:hAnsi="Times New Roman" w:cs="Times New Roman"/>
                      <w:color w:val="FF0000"/>
                      <w:spacing w:val="0"/>
                      <w:kern w:val="0"/>
                      <w:sz w:val="21"/>
                      <w:szCs w:val="21"/>
                      <w:highlight w:val="none"/>
                      <w:lang w:val="en-US" w:eastAsia="zh-CN"/>
                    </w:rPr>
                    <w:t>/</w:t>
                  </w:r>
                </w:p>
              </w:tc>
            </w:tr>
          </w:tbl>
          <w:p w14:paraId="661C341E">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eastAsia" w:cs="Times New Roman"/>
                <w:b/>
                <w:bCs w:val="0"/>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劳动定员及工作制度</w:t>
            </w:r>
          </w:p>
          <w:p w14:paraId="2C6AA3E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该企业在编职工人数17人，</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本次不新增劳动定员，在企业现有人员中调配</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年工作</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180</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天，</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每天24小时</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p>
          <w:p w14:paraId="243CAEC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eastAsia" w:cs="Times New Roman"/>
                <w:b/>
                <w:bCs w:val="0"/>
                <w:color w:val="000000" w:themeColor="text1"/>
                <w:sz w:val="24"/>
                <w:szCs w:val="24"/>
                <w:highlight w:val="none"/>
                <w:lang w:val="en-US" w:eastAsia="zh-CN"/>
                <w14:textFill>
                  <w14:solidFill>
                    <w14:schemeClr w14:val="tx1"/>
                  </w14:solidFill>
                </w14:textFill>
              </w:rPr>
              <w:t>5.</w:t>
            </w:r>
            <w:r>
              <w:rPr>
                <w:rFonts w:hint="default" w:ascii="Times New Roman" w:hAnsi="Times New Roman" w:cs="Times New Roman"/>
                <w:b/>
                <w:bCs w:val="0"/>
                <w:color w:val="000000" w:themeColor="text1"/>
                <w:sz w:val="24"/>
                <w:szCs w:val="24"/>
                <w:highlight w:val="none"/>
                <w:lang w:val="en-US" w:eastAsia="zh-CN"/>
                <w14:textFill>
                  <w14:solidFill>
                    <w14:schemeClr w14:val="tx1"/>
                  </w14:solidFill>
                </w14:textFill>
              </w:rPr>
              <w:t>公用工程</w:t>
            </w:r>
          </w:p>
          <w:p w14:paraId="17CFEB4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color w:val="FF0000"/>
                <w:sz w:val="24"/>
                <w:szCs w:val="24"/>
                <w:highlight w:val="none"/>
                <w:lang w:val="en-US" w:eastAsia="zh-CN"/>
              </w:rPr>
            </w:pPr>
            <w:r>
              <w:rPr>
                <w:rFonts w:hint="default" w:ascii="Times New Roman" w:hAnsi="Times New Roman" w:cs="Times New Roman"/>
                <w:b w:val="0"/>
                <w:bCs/>
                <w:color w:val="FF0000"/>
                <w:sz w:val="24"/>
                <w:szCs w:val="24"/>
                <w:highlight w:val="none"/>
                <w:lang w:val="en-US" w:eastAsia="zh-CN"/>
              </w:rPr>
              <w:t>（1）</w:t>
            </w:r>
            <w:r>
              <w:rPr>
                <w:rFonts w:hint="default" w:ascii="Times New Roman" w:hAnsi="Times New Roman" w:eastAsia="宋体" w:cs="Times New Roman"/>
                <w:b w:val="0"/>
                <w:bCs/>
                <w:color w:val="FF0000"/>
                <w:sz w:val="24"/>
                <w:szCs w:val="24"/>
                <w:highlight w:val="none"/>
                <w:lang w:val="en-US" w:eastAsia="zh-CN"/>
              </w:rPr>
              <w:t>给排水</w:t>
            </w:r>
          </w:p>
          <w:p w14:paraId="6C3E4DEC">
            <w:pPr>
              <w:tabs>
                <w:tab w:val="left" w:pos="630"/>
              </w:tabs>
              <w:spacing w:line="360" w:lineRule="auto"/>
              <w:ind w:firstLine="484" w:firstLineChars="202"/>
              <w:rPr>
                <w:rFonts w:hint="default" w:ascii="Times New Roman" w:hAnsi="Times New Roman" w:eastAsia="宋体" w:cs="Times New Roman"/>
                <w:color w:val="FF0000"/>
                <w:spacing w:val="0"/>
                <w:sz w:val="24"/>
                <w:szCs w:val="24"/>
                <w:highlight w:val="none"/>
                <w:lang w:val="en-US" w:eastAsia="zh-CN"/>
              </w:rPr>
            </w:pPr>
            <w:r>
              <w:rPr>
                <w:rFonts w:hint="default" w:ascii="Times New Roman" w:hAnsi="Times New Roman" w:eastAsia="宋体" w:cs="Times New Roman"/>
                <w:color w:val="FF0000"/>
                <w:spacing w:val="0"/>
                <w:sz w:val="24"/>
                <w:szCs w:val="24"/>
                <w:highlight w:val="none"/>
              </w:rPr>
              <w:fldChar w:fldCharType="begin"/>
            </w:r>
            <w:r>
              <w:rPr>
                <w:rFonts w:hint="default" w:ascii="Times New Roman" w:hAnsi="Times New Roman" w:eastAsia="宋体" w:cs="Times New Roman"/>
                <w:color w:val="FF0000"/>
                <w:spacing w:val="0"/>
                <w:sz w:val="24"/>
                <w:szCs w:val="24"/>
                <w:highlight w:val="none"/>
              </w:rPr>
              <w:instrText xml:space="preserve"> = 1 \* GB3 </w:instrText>
            </w:r>
            <w:r>
              <w:rPr>
                <w:rFonts w:hint="default" w:ascii="Times New Roman" w:hAnsi="Times New Roman" w:eastAsia="宋体" w:cs="Times New Roman"/>
                <w:color w:val="FF0000"/>
                <w:spacing w:val="0"/>
                <w:sz w:val="24"/>
                <w:szCs w:val="24"/>
                <w:highlight w:val="none"/>
              </w:rPr>
              <w:fldChar w:fldCharType="separate"/>
            </w:r>
            <w:r>
              <w:rPr>
                <w:rFonts w:hint="default" w:ascii="Times New Roman" w:hAnsi="Times New Roman" w:eastAsia="宋体" w:cs="Times New Roman"/>
                <w:color w:val="FF0000"/>
                <w:spacing w:val="0"/>
                <w:sz w:val="24"/>
                <w:szCs w:val="24"/>
                <w:highlight w:val="none"/>
              </w:rPr>
              <w:t>①</w:t>
            </w:r>
            <w:r>
              <w:rPr>
                <w:rFonts w:hint="default" w:ascii="Times New Roman" w:hAnsi="Times New Roman" w:eastAsia="宋体" w:cs="Times New Roman"/>
                <w:color w:val="FF0000"/>
                <w:spacing w:val="0"/>
                <w:sz w:val="24"/>
                <w:szCs w:val="24"/>
                <w:highlight w:val="none"/>
              </w:rPr>
              <w:fldChar w:fldCharType="end"/>
            </w:r>
            <w:r>
              <w:rPr>
                <w:rFonts w:hint="default" w:ascii="Times New Roman" w:hAnsi="Times New Roman" w:eastAsia="宋体" w:cs="Times New Roman"/>
                <w:color w:val="FF0000"/>
                <w:spacing w:val="0"/>
                <w:sz w:val="24"/>
                <w:szCs w:val="24"/>
                <w:highlight w:val="none"/>
              </w:rPr>
              <w:t>给水</w:t>
            </w:r>
          </w:p>
          <w:p w14:paraId="4AB59FA8">
            <w:pPr>
              <w:tabs>
                <w:tab w:val="left" w:pos="630"/>
              </w:tabs>
              <w:spacing w:line="360" w:lineRule="auto"/>
              <w:ind w:firstLine="484" w:firstLineChars="202"/>
              <w:rPr>
                <w:rFonts w:hint="default" w:ascii="Times New Roman" w:hAnsi="Times New Roman" w:cs="Times New Roman"/>
                <w:color w:val="FF0000"/>
                <w:spacing w:val="0"/>
                <w:kern w:val="0"/>
                <w:sz w:val="24"/>
                <w:szCs w:val="24"/>
                <w:highlight w:val="none"/>
                <w:lang w:eastAsia="zh-CN"/>
              </w:rPr>
            </w:pPr>
            <w:r>
              <w:rPr>
                <w:rFonts w:hint="default" w:ascii="Times New Roman" w:hAnsi="Times New Roman" w:cs="Times New Roman"/>
                <w:color w:val="FF0000"/>
                <w:spacing w:val="0"/>
                <w:kern w:val="0"/>
                <w:sz w:val="24"/>
                <w:szCs w:val="24"/>
                <w:highlight w:val="none"/>
                <w:lang w:eastAsia="zh-CN"/>
              </w:rPr>
              <w:t>本项目不新增生活用水，锅炉补水由市政管网提供。</w:t>
            </w:r>
          </w:p>
          <w:p w14:paraId="77EB03E0">
            <w:pPr>
              <w:tabs>
                <w:tab w:val="left" w:pos="630"/>
              </w:tabs>
              <w:spacing w:line="360" w:lineRule="auto"/>
              <w:ind w:firstLine="487" w:firstLineChars="202"/>
              <w:rPr>
                <w:rFonts w:hint="default" w:ascii="Times New Roman" w:hAnsi="Times New Roman" w:cs="Times New Roman"/>
                <w:color w:val="FF0000"/>
                <w:spacing w:val="0"/>
                <w:sz w:val="24"/>
                <w:szCs w:val="24"/>
                <w:highlight w:val="none"/>
                <w:lang w:val="en-US" w:eastAsia="zh-CN"/>
              </w:rPr>
            </w:pPr>
            <w:r>
              <w:rPr>
                <w:rFonts w:hint="default" w:ascii="Times New Roman" w:hAnsi="Times New Roman" w:cs="Times New Roman"/>
                <w:b/>
                <w:bCs/>
                <w:color w:val="FF0000"/>
                <w:spacing w:val="0"/>
                <w:sz w:val="24"/>
                <w:szCs w:val="24"/>
                <w:highlight w:val="none"/>
                <w:lang w:val="en-US" w:eastAsia="zh-CN"/>
              </w:rPr>
              <w:t>锅炉</w:t>
            </w:r>
            <w:r>
              <w:rPr>
                <w:rFonts w:hint="eastAsia" w:cs="Times New Roman"/>
                <w:b/>
                <w:bCs/>
                <w:color w:val="FF0000"/>
                <w:spacing w:val="0"/>
                <w:sz w:val="24"/>
                <w:szCs w:val="24"/>
                <w:highlight w:val="none"/>
                <w:lang w:val="en-US" w:eastAsia="zh-CN"/>
              </w:rPr>
              <w:t>用水</w:t>
            </w:r>
            <w:r>
              <w:rPr>
                <w:rFonts w:hint="default" w:ascii="Times New Roman" w:hAnsi="Times New Roman" w:cs="Times New Roman"/>
                <w:b/>
                <w:bCs/>
                <w:color w:val="FF0000"/>
                <w:spacing w:val="0"/>
                <w:sz w:val="24"/>
                <w:szCs w:val="24"/>
                <w:highlight w:val="none"/>
                <w:lang w:val="en-US" w:eastAsia="zh-CN"/>
              </w:rPr>
              <w:t>：</w:t>
            </w:r>
            <w:r>
              <w:rPr>
                <w:rFonts w:hint="eastAsia" w:cs="Times New Roman"/>
                <w:color w:val="FF0000"/>
                <w:sz w:val="24"/>
                <w:szCs w:val="24"/>
                <w:u w:val="none" w:color="auto"/>
                <w:lang w:val="en-US" w:eastAsia="zh-CN"/>
              </w:rPr>
              <w:t>本</w:t>
            </w:r>
            <w:r>
              <w:rPr>
                <w:rFonts w:hint="eastAsia" w:ascii="Times New Roman" w:hAnsi="Times New Roman" w:cs="Times New Roman"/>
                <w:color w:val="FF0000"/>
                <w:spacing w:val="0"/>
                <w:sz w:val="24"/>
                <w:szCs w:val="24"/>
                <w:highlight w:val="none"/>
                <w:lang w:val="en-US" w:eastAsia="zh-CN"/>
              </w:rPr>
              <w:t>项目主要供热范围为生产车间和办公室，供热面积为</w:t>
            </w:r>
            <w:r>
              <w:rPr>
                <w:rFonts w:hint="eastAsia" w:cs="Times New Roman"/>
                <w:color w:val="FF0000"/>
                <w:spacing w:val="0"/>
                <w:sz w:val="24"/>
                <w:szCs w:val="24"/>
                <w:highlight w:val="none"/>
                <w:lang w:val="en-US" w:eastAsia="zh-CN"/>
              </w:rPr>
              <w:t>7637.2</w:t>
            </w:r>
            <w:r>
              <w:rPr>
                <w:rFonts w:hint="eastAsia" w:ascii="Times New Roman" w:hAnsi="Times New Roman" w:cs="Times New Roman"/>
                <w:color w:val="FF0000"/>
                <w:spacing w:val="0"/>
                <w:sz w:val="24"/>
                <w:szCs w:val="24"/>
                <w:highlight w:val="none"/>
                <w:lang w:val="en-US" w:eastAsia="zh-CN"/>
              </w:rPr>
              <w:t>m</w:t>
            </w:r>
            <w:r>
              <w:rPr>
                <w:rFonts w:hint="eastAsia" w:ascii="Times New Roman" w:hAnsi="Times New Roman" w:cs="Times New Roman"/>
                <w:color w:val="FF0000"/>
                <w:spacing w:val="0"/>
                <w:sz w:val="24"/>
                <w:szCs w:val="24"/>
                <w:highlight w:val="none"/>
                <w:vertAlign w:val="superscript"/>
                <w:lang w:val="en-US" w:eastAsia="zh-CN"/>
              </w:rPr>
              <w:t>2</w:t>
            </w:r>
            <w:r>
              <w:rPr>
                <w:rFonts w:hint="eastAsia" w:ascii="Times New Roman" w:hAnsi="Times New Roman" w:cs="Times New Roman"/>
                <w:color w:val="FF0000"/>
                <w:spacing w:val="0"/>
                <w:sz w:val="24"/>
                <w:szCs w:val="24"/>
                <w:highlight w:val="none"/>
                <w:lang w:val="en-US" w:eastAsia="zh-CN"/>
              </w:rPr>
              <w:t>，</w:t>
            </w:r>
            <w:r>
              <w:rPr>
                <w:rFonts w:hint="default" w:ascii="Times New Roman" w:hAnsi="Times New Roman" w:cs="Times New Roman"/>
                <w:color w:val="FF0000"/>
                <w:spacing w:val="0"/>
                <w:sz w:val="24"/>
                <w:szCs w:val="24"/>
                <w:highlight w:val="none"/>
                <w:lang w:val="en-US" w:eastAsia="zh-CN"/>
              </w:rPr>
              <w:t>供热通用设计值50 W/</w:t>
            </w:r>
            <w:r>
              <w:rPr>
                <w:rFonts w:hint="eastAsia" w:ascii="Times New Roman" w:hAnsi="Times New Roman" w:cs="Times New Roman"/>
                <w:color w:val="FF0000"/>
                <w:spacing w:val="0"/>
                <w:sz w:val="24"/>
                <w:szCs w:val="24"/>
                <w:highlight w:val="none"/>
                <w:lang w:val="en-US" w:eastAsia="zh-CN"/>
              </w:rPr>
              <w:t>m</w:t>
            </w:r>
            <w:r>
              <w:rPr>
                <w:rFonts w:hint="eastAsia" w:ascii="Times New Roman" w:hAnsi="Times New Roman" w:cs="Times New Roman"/>
                <w:color w:val="FF0000"/>
                <w:spacing w:val="0"/>
                <w:sz w:val="24"/>
                <w:szCs w:val="24"/>
                <w:highlight w:val="none"/>
                <w:vertAlign w:val="superscript"/>
                <w:lang w:val="en-US" w:eastAsia="zh-CN"/>
              </w:rPr>
              <w:t>2</w:t>
            </w:r>
            <w:r>
              <w:rPr>
                <w:rFonts w:hint="default" w:ascii="Times New Roman" w:hAnsi="Times New Roman" w:cs="Times New Roman"/>
                <w:color w:val="FF0000"/>
                <w:spacing w:val="0"/>
                <w:sz w:val="24"/>
                <w:szCs w:val="24"/>
                <w:highlight w:val="none"/>
                <w:lang w:val="en-US" w:eastAsia="zh-CN"/>
              </w:rPr>
              <w:t>（符合《城镇供热管网工程施工及验收规范》CJJ 28-2014推荐范围40-60 W/</w:t>
            </w:r>
            <w:r>
              <w:rPr>
                <w:rFonts w:hint="eastAsia" w:ascii="Times New Roman" w:hAnsi="Times New Roman" w:cs="Times New Roman"/>
                <w:color w:val="FF0000"/>
                <w:spacing w:val="0"/>
                <w:sz w:val="24"/>
                <w:szCs w:val="24"/>
                <w:highlight w:val="none"/>
                <w:lang w:val="en-US" w:eastAsia="zh-CN"/>
              </w:rPr>
              <w:t>m</w:t>
            </w:r>
            <w:r>
              <w:rPr>
                <w:rFonts w:hint="eastAsia" w:ascii="Times New Roman" w:hAnsi="Times New Roman" w:cs="Times New Roman"/>
                <w:color w:val="FF0000"/>
                <w:spacing w:val="0"/>
                <w:sz w:val="24"/>
                <w:szCs w:val="24"/>
                <w:highlight w:val="none"/>
                <w:vertAlign w:val="superscript"/>
                <w:lang w:val="en-US" w:eastAsia="zh-CN"/>
              </w:rPr>
              <w:t>2</w:t>
            </w:r>
            <w:r>
              <w:rPr>
                <w:rFonts w:hint="default" w:ascii="Times New Roman" w:hAnsi="Times New Roman" w:cs="Times New Roman"/>
                <w:color w:val="FF0000"/>
                <w:spacing w:val="0"/>
                <w:sz w:val="24"/>
                <w:szCs w:val="24"/>
                <w:highlight w:val="none"/>
                <w:lang w:val="en-US" w:eastAsia="zh-CN"/>
              </w:rPr>
              <w:t>，取中间值）</w:t>
            </w:r>
            <w:r>
              <w:rPr>
                <w:rFonts w:hint="eastAsia" w:cs="Times New Roman"/>
                <w:color w:val="FF0000"/>
                <w:spacing w:val="0"/>
                <w:sz w:val="24"/>
                <w:szCs w:val="24"/>
                <w:highlight w:val="none"/>
                <w:lang w:val="en-US" w:eastAsia="zh-CN"/>
              </w:rPr>
              <w:t>，</w:t>
            </w:r>
          </w:p>
          <w:p w14:paraId="12CDC3F5">
            <w:pPr>
              <w:tabs>
                <w:tab w:val="left" w:pos="630"/>
              </w:tabs>
              <w:spacing w:line="360" w:lineRule="auto"/>
              <w:ind w:firstLine="484" w:firstLineChars="202"/>
              <w:rPr>
                <w:rFonts w:hint="default" w:ascii="Times New Roman" w:hAnsi="Times New Roman" w:cs="Times New Roman"/>
                <w:color w:val="FF0000"/>
                <w:spacing w:val="0"/>
                <w:sz w:val="24"/>
                <w:szCs w:val="24"/>
                <w:highlight w:val="none"/>
                <w:lang w:val="en-US" w:eastAsia="zh-CN"/>
              </w:rPr>
            </w:pPr>
            <w:r>
              <w:rPr>
                <w:rFonts w:hint="default" w:ascii="Times New Roman" w:hAnsi="Times New Roman" w:cs="Times New Roman"/>
                <w:color w:val="FF0000"/>
                <w:spacing w:val="0"/>
                <w:sz w:val="24"/>
                <w:szCs w:val="24"/>
                <w:highlight w:val="none"/>
                <w:lang w:val="en-US" w:eastAsia="zh-CN"/>
              </w:rPr>
              <w:t>总热负荷：</w:t>
            </w:r>
            <w:r>
              <w:rPr>
                <w:rFonts w:hint="eastAsia" w:cs="Times New Roman"/>
                <w:color w:val="FF0000"/>
                <w:spacing w:val="0"/>
                <w:sz w:val="24"/>
                <w:szCs w:val="24"/>
                <w:highlight w:val="none"/>
                <w:lang w:val="en-US" w:eastAsia="zh-CN"/>
              </w:rPr>
              <w:t>7637.2</w:t>
            </w:r>
            <w:r>
              <w:rPr>
                <w:rFonts w:hint="default" w:ascii="Times New Roman" w:hAnsi="Times New Roman" w:cs="Times New Roman"/>
                <w:color w:val="FF0000"/>
                <w:spacing w:val="0"/>
                <w:sz w:val="24"/>
                <w:szCs w:val="24"/>
                <w:highlight w:val="none"/>
                <w:lang w:val="en-US" w:eastAsia="zh-CN"/>
              </w:rPr>
              <w:t xml:space="preserve"> </w:t>
            </w:r>
            <w:r>
              <w:rPr>
                <w:rFonts w:hint="eastAsia" w:ascii="Times New Roman" w:hAnsi="Times New Roman" w:cs="Times New Roman"/>
                <w:color w:val="FF0000"/>
                <w:spacing w:val="0"/>
                <w:sz w:val="24"/>
                <w:szCs w:val="24"/>
                <w:highlight w:val="none"/>
                <w:lang w:val="en-US" w:eastAsia="zh-CN"/>
              </w:rPr>
              <w:t>m</w:t>
            </w:r>
            <w:r>
              <w:rPr>
                <w:rFonts w:hint="eastAsia" w:ascii="Times New Roman" w:hAnsi="Times New Roman" w:cs="Times New Roman"/>
                <w:color w:val="FF0000"/>
                <w:spacing w:val="0"/>
                <w:sz w:val="24"/>
                <w:szCs w:val="24"/>
                <w:highlight w:val="none"/>
                <w:vertAlign w:val="superscript"/>
                <w:lang w:val="en-US" w:eastAsia="zh-CN"/>
              </w:rPr>
              <w:t>2</w:t>
            </w:r>
            <w:r>
              <w:rPr>
                <w:rFonts w:hint="default" w:ascii="Times New Roman" w:hAnsi="Times New Roman" w:cs="Times New Roman"/>
                <w:color w:val="FF0000"/>
                <w:spacing w:val="0"/>
                <w:sz w:val="24"/>
                <w:szCs w:val="24"/>
                <w:highlight w:val="none"/>
                <w:lang w:val="en-US" w:eastAsia="zh-CN"/>
              </w:rPr>
              <w:t xml:space="preserve"> × 50 W/</w:t>
            </w:r>
            <w:r>
              <w:rPr>
                <w:rFonts w:hint="eastAsia" w:ascii="Times New Roman" w:hAnsi="Times New Roman" w:cs="Times New Roman"/>
                <w:color w:val="FF0000"/>
                <w:spacing w:val="0"/>
                <w:sz w:val="24"/>
                <w:szCs w:val="24"/>
                <w:highlight w:val="none"/>
                <w:lang w:val="en-US" w:eastAsia="zh-CN"/>
              </w:rPr>
              <w:t>m</w:t>
            </w:r>
            <w:r>
              <w:rPr>
                <w:rFonts w:hint="eastAsia" w:ascii="Times New Roman" w:hAnsi="Times New Roman" w:cs="Times New Roman"/>
                <w:color w:val="FF0000"/>
                <w:spacing w:val="0"/>
                <w:sz w:val="24"/>
                <w:szCs w:val="24"/>
                <w:highlight w:val="none"/>
                <w:vertAlign w:val="superscript"/>
                <w:lang w:val="en-US" w:eastAsia="zh-CN"/>
              </w:rPr>
              <w:t>2</w:t>
            </w:r>
            <w:r>
              <w:rPr>
                <w:rFonts w:hint="default" w:ascii="Times New Roman" w:hAnsi="Times New Roman" w:cs="Times New Roman"/>
                <w:color w:val="FF0000"/>
                <w:spacing w:val="0"/>
                <w:sz w:val="24"/>
                <w:szCs w:val="24"/>
                <w:highlight w:val="none"/>
                <w:lang w:val="en-US" w:eastAsia="zh-CN"/>
              </w:rPr>
              <w:t xml:space="preserve">= </w:t>
            </w:r>
            <w:r>
              <w:rPr>
                <w:rFonts w:hint="eastAsia" w:cs="Times New Roman"/>
                <w:color w:val="FF0000"/>
                <w:spacing w:val="0"/>
                <w:sz w:val="24"/>
                <w:szCs w:val="24"/>
                <w:highlight w:val="none"/>
                <w:lang w:val="en-US" w:eastAsia="zh-CN"/>
              </w:rPr>
              <w:t>381860</w:t>
            </w:r>
            <w:r>
              <w:rPr>
                <w:rFonts w:hint="default" w:ascii="Times New Roman" w:hAnsi="Times New Roman" w:cs="Times New Roman"/>
                <w:color w:val="FF0000"/>
                <w:spacing w:val="0"/>
                <w:sz w:val="24"/>
                <w:szCs w:val="24"/>
                <w:highlight w:val="none"/>
                <w:lang w:val="en-US" w:eastAsia="zh-CN"/>
              </w:rPr>
              <w:t>W =</w:t>
            </w:r>
            <w:r>
              <w:rPr>
                <w:rFonts w:hint="eastAsia" w:cs="Times New Roman"/>
                <w:color w:val="FF0000"/>
                <w:spacing w:val="0"/>
                <w:sz w:val="24"/>
                <w:szCs w:val="24"/>
                <w:highlight w:val="none"/>
                <w:lang w:val="en-US" w:eastAsia="zh-CN"/>
              </w:rPr>
              <w:t>381.86</w:t>
            </w:r>
            <w:r>
              <w:rPr>
                <w:rFonts w:hint="default" w:ascii="Times New Roman" w:hAnsi="Times New Roman" w:cs="Times New Roman"/>
                <w:color w:val="FF0000"/>
                <w:spacing w:val="0"/>
                <w:sz w:val="24"/>
                <w:szCs w:val="24"/>
                <w:highlight w:val="none"/>
                <w:lang w:val="en-US" w:eastAsia="zh-CN"/>
              </w:rPr>
              <w:t>kW。</w:t>
            </w:r>
          </w:p>
          <w:p w14:paraId="07619EBF">
            <w:pPr>
              <w:tabs>
                <w:tab w:val="left" w:pos="630"/>
              </w:tabs>
              <w:spacing w:line="360" w:lineRule="auto"/>
              <w:ind w:firstLine="484" w:firstLineChars="202"/>
              <w:rPr>
                <w:rFonts w:hint="default" w:ascii="Times New Roman" w:hAnsi="Times New Roman" w:cs="Times New Roman"/>
                <w:color w:val="FF0000"/>
                <w:spacing w:val="0"/>
                <w:sz w:val="24"/>
                <w:szCs w:val="24"/>
                <w:highlight w:val="none"/>
                <w:lang w:val="en-US" w:eastAsia="zh-CN"/>
              </w:rPr>
            </w:pPr>
            <w:r>
              <w:rPr>
                <w:rFonts w:hint="default" w:ascii="Times New Roman" w:hAnsi="Times New Roman" w:cs="Times New Roman"/>
                <w:color w:val="FF0000"/>
                <w:spacing w:val="0"/>
                <w:sz w:val="24"/>
                <w:szCs w:val="24"/>
                <w:highlight w:val="none"/>
                <w:lang w:val="en-US" w:eastAsia="zh-CN"/>
              </w:rPr>
              <w:t>供热时间：180天× 24 h/天= 4320 h。</w:t>
            </w:r>
          </w:p>
          <w:p w14:paraId="4A0A2661">
            <w:pPr>
              <w:tabs>
                <w:tab w:val="left" w:pos="630"/>
              </w:tabs>
              <w:spacing w:line="360" w:lineRule="auto"/>
              <w:ind w:firstLine="484" w:firstLineChars="202"/>
              <w:rPr>
                <w:rFonts w:hint="default" w:ascii="Times New Roman" w:hAnsi="Times New Roman" w:cs="Times New Roman"/>
                <w:color w:val="FF0000"/>
                <w:spacing w:val="0"/>
                <w:sz w:val="24"/>
                <w:szCs w:val="24"/>
                <w:highlight w:val="none"/>
                <w:lang w:val="en-US" w:eastAsia="zh-CN"/>
              </w:rPr>
            </w:pPr>
            <w:r>
              <w:rPr>
                <w:rFonts w:hint="default" w:ascii="Times New Roman" w:hAnsi="Times New Roman" w:cs="Times New Roman"/>
                <w:color w:val="FF0000"/>
                <w:spacing w:val="0"/>
                <w:sz w:val="24"/>
                <w:szCs w:val="24"/>
                <w:highlight w:val="none"/>
                <w:lang w:val="en-US" w:eastAsia="zh-CN"/>
              </w:rPr>
              <w:t xml:space="preserve">供热量换算：1 kWh = 3.6 MJ，年供热量 = </w:t>
            </w:r>
            <w:r>
              <w:rPr>
                <w:rFonts w:hint="eastAsia" w:cs="Times New Roman"/>
                <w:color w:val="FF0000"/>
                <w:spacing w:val="0"/>
                <w:sz w:val="24"/>
                <w:szCs w:val="24"/>
                <w:highlight w:val="none"/>
                <w:lang w:val="en-US" w:eastAsia="zh-CN"/>
              </w:rPr>
              <w:t>381.86</w:t>
            </w:r>
            <w:r>
              <w:rPr>
                <w:rFonts w:hint="default" w:ascii="Times New Roman" w:hAnsi="Times New Roman" w:cs="Times New Roman"/>
                <w:color w:val="FF0000"/>
                <w:spacing w:val="0"/>
                <w:sz w:val="24"/>
                <w:szCs w:val="24"/>
                <w:highlight w:val="none"/>
                <w:lang w:val="en-US" w:eastAsia="zh-CN"/>
              </w:rPr>
              <w:t xml:space="preserve"> kW × 4320 h × 3.6 MJ/kWh = </w:t>
            </w:r>
            <w:r>
              <w:rPr>
                <w:rFonts w:hint="eastAsia" w:cs="Times New Roman"/>
                <w:color w:val="FF0000"/>
                <w:spacing w:val="0"/>
                <w:sz w:val="24"/>
                <w:szCs w:val="24"/>
                <w:highlight w:val="none"/>
                <w:lang w:val="en-US" w:eastAsia="zh-CN"/>
              </w:rPr>
              <w:t>5938686.72</w:t>
            </w:r>
            <w:r>
              <w:rPr>
                <w:rFonts w:hint="default" w:ascii="Times New Roman" w:hAnsi="Times New Roman" w:cs="Times New Roman"/>
                <w:color w:val="FF0000"/>
                <w:spacing w:val="0"/>
                <w:sz w:val="24"/>
                <w:szCs w:val="24"/>
                <w:highlight w:val="none"/>
                <w:lang w:val="en-US" w:eastAsia="zh-CN"/>
              </w:rPr>
              <w:t xml:space="preserve"> MJ。</w:t>
            </w:r>
          </w:p>
          <w:p w14:paraId="2DDD1E8C">
            <w:pPr>
              <w:tabs>
                <w:tab w:val="left" w:pos="630"/>
              </w:tabs>
              <w:spacing w:line="360" w:lineRule="auto"/>
              <w:ind w:firstLine="484" w:firstLineChars="202"/>
              <w:rPr>
                <w:rFonts w:hint="default" w:ascii="Arial" w:hAnsi="Arial" w:eastAsia="宋体" w:cs="Arial"/>
                <w:color w:val="FF0000"/>
                <w:sz w:val="22"/>
                <w:lang w:val="en-US" w:eastAsia="zh-CN"/>
              </w:rPr>
            </w:pPr>
            <w:r>
              <w:rPr>
                <w:rFonts w:hint="default" w:ascii="Times New Roman" w:hAnsi="Times New Roman" w:eastAsia="宋体" w:cs="Times New Roman"/>
                <w:color w:val="FF0000"/>
                <w:sz w:val="24"/>
                <w:szCs w:val="24"/>
                <w:u w:val="none" w:color="auto"/>
              </w:rPr>
              <w:t>根据《生物质锅炉技术规范》（GB/T44906-2024）锅炉热效率为8</w:t>
            </w:r>
            <w:r>
              <w:rPr>
                <w:rFonts w:hint="eastAsia" w:cs="Times New Roman"/>
                <w:color w:val="FF0000"/>
                <w:sz w:val="24"/>
                <w:szCs w:val="24"/>
                <w:u w:val="none" w:color="auto"/>
                <w:lang w:val="en-US" w:eastAsia="zh-CN"/>
              </w:rPr>
              <w:t>5</w:t>
            </w:r>
            <w:r>
              <w:rPr>
                <w:rFonts w:hint="default" w:ascii="Times New Roman" w:hAnsi="Times New Roman" w:eastAsia="宋体" w:cs="Times New Roman"/>
                <w:color w:val="FF0000"/>
                <w:sz w:val="24"/>
                <w:szCs w:val="24"/>
                <w:u w:val="none" w:color="auto"/>
              </w:rPr>
              <w:t>%，</w:t>
            </w:r>
            <w:r>
              <w:rPr>
                <w:rFonts w:hint="eastAsia" w:cs="Times New Roman"/>
                <w:color w:val="FF0000"/>
                <w:sz w:val="24"/>
                <w:szCs w:val="24"/>
                <w:u w:val="none" w:color="auto"/>
                <w:lang w:val="en-US" w:eastAsia="zh-CN"/>
              </w:rPr>
              <w:t>本项目年供热量为6986690.26</w:t>
            </w:r>
            <w:r>
              <w:rPr>
                <w:rFonts w:hint="eastAsia" w:cs="Times New Roman"/>
                <w:color w:val="FF0000"/>
                <w:spacing w:val="0"/>
                <w:sz w:val="24"/>
                <w:szCs w:val="24"/>
                <w:highlight w:val="none"/>
                <w:lang w:val="en-US" w:eastAsia="zh-CN"/>
              </w:rPr>
              <w:t>MJ</w:t>
            </w:r>
            <w:r>
              <w:rPr>
                <w:rFonts w:hint="eastAsia" w:cs="Times New Roman"/>
                <w:color w:val="FF0000"/>
                <w:sz w:val="24"/>
                <w:szCs w:val="24"/>
                <w:u w:val="none" w:color="auto"/>
                <w:lang w:val="en-US" w:eastAsia="zh-CN"/>
              </w:rPr>
              <w:t>。</w:t>
            </w:r>
          </w:p>
          <w:p w14:paraId="4690645D">
            <w:pPr>
              <w:keepNext w:val="0"/>
              <w:keepLines w:val="0"/>
              <w:pageBreakBefore w:val="0"/>
              <w:widowControl w:val="0"/>
              <w:tabs>
                <w:tab w:val="left" w:pos="6280"/>
              </w:tabs>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FF0000"/>
                <w:spacing w:val="0"/>
                <w:sz w:val="24"/>
                <w:szCs w:val="24"/>
                <w:highlight w:val="none"/>
                <w:lang w:val="en-US" w:eastAsia="zh-CN"/>
              </w:rPr>
            </w:pPr>
            <w:r>
              <w:rPr>
                <w:rFonts w:hint="eastAsia" w:cs="Times New Roman"/>
                <w:color w:val="FF0000"/>
                <w:spacing w:val="0"/>
                <w:sz w:val="24"/>
                <w:szCs w:val="24"/>
                <w:highlight w:val="none"/>
                <w:lang w:val="en-US" w:eastAsia="zh-CN"/>
              </w:rPr>
              <w:t>依据</w:t>
            </w:r>
            <w:r>
              <w:rPr>
                <w:rFonts w:hint="default" w:ascii="Times New Roman" w:hAnsi="Times New Roman" w:cs="Times New Roman"/>
                <w:color w:val="FF0000"/>
                <w:spacing w:val="0"/>
                <w:sz w:val="24"/>
                <w:szCs w:val="24"/>
                <w:highlight w:val="none"/>
                <w:lang w:val="en-US" w:eastAsia="zh-CN"/>
              </w:rPr>
              <w:t>《</w:t>
            </w:r>
            <w:r>
              <w:rPr>
                <w:rFonts w:hint="eastAsia" w:cs="Times New Roman"/>
                <w:color w:val="FF0000"/>
                <w:spacing w:val="0"/>
                <w:sz w:val="24"/>
                <w:szCs w:val="24"/>
                <w:highlight w:val="none"/>
                <w:lang w:val="en-US" w:eastAsia="zh-CN"/>
              </w:rPr>
              <w:t>黑龙江省地方标准</w:t>
            </w:r>
            <w:r>
              <w:rPr>
                <w:rFonts w:hint="default" w:ascii="Times New Roman" w:hAnsi="Times New Roman" w:cs="Times New Roman"/>
                <w:color w:val="FF0000"/>
                <w:spacing w:val="0"/>
                <w:sz w:val="24"/>
                <w:szCs w:val="24"/>
                <w:highlight w:val="none"/>
                <w:lang w:val="en-US" w:eastAsia="zh-CN"/>
              </w:rPr>
              <w:t>》（</w:t>
            </w:r>
            <w:r>
              <w:rPr>
                <w:rFonts w:hint="eastAsia" w:cs="Times New Roman"/>
                <w:color w:val="FF0000"/>
                <w:spacing w:val="0"/>
                <w:sz w:val="24"/>
                <w:szCs w:val="24"/>
                <w:highlight w:val="none"/>
                <w:lang w:val="en-US" w:eastAsia="zh-CN"/>
              </w:rPr>
              <w:t>DB23/T727-2021</w:t>
            </w:r>
            <w:r>
              <w:rPr>
                <w:rFonts w:hint="default" w:ascii="Times New Roman" w:hAnsi="Times New Roman" w:cs="Times New Roman"/>
                <w:color w:val="FF0000"/>
                <w:spacing w:val="0"/>
                <w:sz w:val="24"/>
                <w:szCs w:val="24"/>
                <w:highlight w:val="none"/>
                <w:lang w:val="en-US" w:eastAsia="zh-CN"/>
              </w:rPr>
              <w:t>）中</w:t>
            </w:r>
            <w:r>
              <w:rPr>
                <w:rFonts w:hint="eastAsia" w:cs="Times New Roman"/>
                <w:color w:val="FF0000"/>
                <w:spacing w:val="0"/>
                <w:sz w:val="24"/>
                <w:szCs w:val="24"/>
                <w:highlight w:val="none"/>
                <w:lang w:val="en-US" w:eastAsia="zh-CN"/>
              </w:rPr>
              <w:t>表E.26，供热用水定额为0.5m</w:t>
            </w:r>
            <w:r>
              <w:rPr>
                <w:rFonts w:hint="eastAsia" w:cs="Times New Roman"/>
                <w:color w:val="FF0000"/>
                <w:spacing w:val="0"/>
                <w:sz w:val="24"/>
                <w:szCs w:val="24"/>
                <w:highlight w:val="none"/>
                <w:vertAlign w:val="superscript"/>
                <w:lang w:val="en-US" w:eastAsia="zh-CN"/>
              </w:rPr>
              <w:t>3</w:t>
            </w:r>
            <w:r>
              <w:rPr>
                <w:rFonts w:hint="eastAsia" w:cs="Times New Roman"/>
                <w:color w:val="FF0000"/>
                <w:spacing w:val="0"/>
                <w:sz w:val="24"/>
                <w:szCs w:val="24"/>
                <w:highlight w:val="none"/>
                <w:lang w:val="en-US" w:eastAsia="zh-CN"/>
              </w:rPr>
              <w:t>/GJ，计算得知锅炉年用水量为3493.34</w:t>
            </w:r>
            <w:r>
              <w:rPr>
                <w:rFonts w:hint="default" w:ascii="Times New Roman" w:hAnsi="Times New Roman" w:eastAsia="宋体" w:cs="Times New Roman"/>
                <w:color w:val="FF0000"/>
                <w:spacing w:val="0"/>
                <w:kern w:val="0"/>
                <w:sz w:val="24"/>
                <w:szCs w:val="24"/>
                <w:highlight w:val="none"/>
                <w:lang w:val="en-US" w:eastAsia="zh-CN"/>
              </w:rPr>
              <w:t>m</w:t>
            </w:r>
            <w:r>
              <w:rPr>
                <w:rFonts w:hint="default" w:ascii="Times New Roman" w:hAnsi="Times New Roman" w:eastAsia="宋体" w:cs="Times New Roman"/>
                <w:color w:val="FF0000"/>
                <w:spacing w:val="0"/>
                <w:kern w:val="0"/>
                <w:sz w:val="24"/>
                <w:szCs w:val="24"/>
                <w:highlight w:val="none"/>
                <w:vertAlign w:val="superscript"/>
                <w:lang w:val="en-US" w:eastAsia="zh-CN"/>
              </w:rPr>
              <w:t>3</w:t>
            </w:r>
            <w:r>
              <w:rPr>
                <w:rFonts w:hint="default" w:ascii="Times New Roman" w:hAnsi="Times New Roman" w:cs="Times New Roman"/>
                <w:color w:val="FF0000"/>
                <w:spacing w:val="0"/>
                <w:sz w:val="24"/>
                <w:szCs w:val="24"/>
                <w:highlight w:val="none"/>
                <w:lang w:val="en-US" w:eastAsia="zh-CN"/>
              </w:rPr>
              <w:t>/a</w:t>
            </w:r>
            <w:r>
              <w:rPr>
                <w:rFonts w:hint="eastAsia" w:cs="Times New Roman"/>
                <w:color w:val="FF0000"/>
                <w:spacing w:val="0"/>
                <w:sz w:val="24"/>
                <w:szCs w:val="24"/>
                <w:highlight w:val="none"/>
                <w:lang w:val="en-US" w:eastAsia="zh-CN"/>
              </w:rPr>
              <w:t>（19.41</w:t>
            </w:r>
            <w:r>
              <w:rPr>
                <w:rFonts w:hint="default" w:ascii="Times New Roman" w:hAnsi="Times New Roman" w:eastAsia="宋体" w:cs="Times New Roman"/>
                <w:color w:val="FF0000"/>
                <w:spacing w:val="0"/>
                <w:kern w:val="0"/>
                <w:sz w:val="24"/>
                <w:szCs w:val="24"/>
                <w:highlight w:val="none"/>
                <w:lang w:val="en-US" w:eastAsia="zh-CN"/>
              </w:rPr>
              <w:t>m</w:t>
            </w:r>
            <w:r>
              <w:rPr>
                <w:rFonts w:hint="default" w:ascii="Times New Roman" w:hAnsi="Times New Roman" w:eastAsia="宋体" w:cs="Times New Roman"/>
                <w:color w:val="FF0000"/>
                <w:spacing w:val="0"/>
                <w:kern w:val="0"/>
                <w:sz w:val="24"/>
                <w:szCs w:val="24"/>
                <w:highlight w:val="none"/>
                <w:vertAlign w:val="superscript"/>
                <w:lang w:val="en-US" w:eastAsia="zh-CN"/>
              </w:rPr>
              <w:t>3</w:t>
            </w:r>
            <w:r>
              <w:rPr>
                <w:rFonts w:hint="default" w:ascii="Times New Roman" w:hAnsi="Times New Roman" w:eastAsia="宋体" w:cs="Times New Roman"/>
                <w:color w:val="FF0000"/>
                <w:spacing w:val="0"/>
                <w:kern w:val="0"/>
                <w:sz w:val="24"/>
                <w:szCs w:val="24"/>
                <w:highlight w:val="none"/>
                <w:vertAlign w:val="baseline"/>
                <w:lang w:val="en-US" w:eastAsia="zh-CN"/>
              </w:rPr>
              <w:t>/d</w:t>
            </w:r>
            <w:r>
              <w:rPr>
                <w:rFonts w:hint="eastAsia" w:cs="Times New Roman"/>
                <w:color w:val="FF0000"/>
                <w:spacing w:val="0"/>
                <w:sz w:val="24"/>
                <w:szCs w:val="24"/>
                <w:highlight w:val="none"/>
                <w:lang w:val="en-US" w:eastAsia="zh-CN"/>
              </w:rPr>
              <w:t>）。软化水设施制备效率为85%，计算得知锅炉年用水量为4109.81</w:t>
            </w:r>
            <w:r>
              <w:rPr>
                <w:rFonts w:hint="default" w:ascii="Times New Roman" w:hAnsi="Times New Roman" w:eastAsia="宋体" w:cs="Times New Roman"/>
                <w:color w:val="FF0000"/>
                <w:spacing w:val="0"/>
                <w:kern w:val="0"/>
                <w:sz w:val="24"/>
                <w:szCs w:val="24"/>
                <w:highlight w:val="none"/>
                <w:lang w:val="en-US" w:eastAsia="zh-CN"/>
              </w:rPr>
              <w:t>m</w:t>
            </w:r>
            <w:r>
              <w:rPr>
                <w:rFonts w:hint="default" w:ascii="Times New Roman" w:hAnsi="Times New Roman" w:eastAsia="宋体" w:cs="Times New Roman"/>
                <w:color w:val="FF0000"/>
                <w:spacing w:val="0"/>
                <w:kern w:val="0"/>
                <w:sz w:val="24"/>
                <w:szCs w:val="24"/>
                <w:highlight w:val="none"/>
                <w:vertAlign w:val="superscript"/>
                <w:lang w:val="en-US" w:eastAsia="zh-CN"/>
              </w:rPr>
              <w:t>3</w:t>
            </w:r>
            <w:r>
              <w:rPr>
                <w:rFonts w:hint="default" w:ascii="Times New Roman" w:hAnsi="Times New Roman" w:cs="Times New Roman"/>
                <w:color w:val="FF0000"/>
                <w:spacing w:val="0"/>
                <w:sz w:val="24"/>
                <w:szCs w:val="24"/>
                <w:highlight w:val="none"/>
                <w:lang w:val="en-US" w:eastAsia="zh-CN"/>
              </w:rPr>
              <w:t>/a</w:t>
            </w:r>
            <w:r>
              <w:rPr>
                <w:rFonts w:hint="eastAsia" w:cs="Times New Roman"/>
                <w:color w:val="FF0000"/>
                <w:spacing w:val="0"/>
                <w:sz w:val="24"/>
                <w:szCs w:val="24"/>
                <w:highlight w:val="none"/>
                <w:lang w:val="en-US" w:eastAsia="zh-CN"/>
              </w:rPr>
              <w:t>（22.83</w:t>
            </w:r>
            <w:r>
              <w:rPr>
                <w:rFonts w:hint="default" w:ascii="Times New Roman" w:hAnsi="Times New Roman" w:eastAsia="宋体" w:cs="Times New Roman"/>
                <w:color w:val="FF0000"/>
                <w:spacing w:val="0"/>
                <w:kern w:val="0"/>
                <w:sz w:val="24"/>
                <w:szCs w:val="24"/>
                <w:highlight w:val="none"/>
                <w:lang w:val="en-US" w:eastAsia="zh-CN"/>
              </w:rPr>
              <w:t>m</w:t>
            </w:r>
            <w:r>
              <w:rPr>
                <w:rFonts w:hint="default" w:ascii="Times New Roman" w:hAnsi="Times New Roman" w:eastAsia="宋体" w:cs="Times New Roman"/>
                <w:color w:val="FF0000"/>
                <w:spacing w:val="0"/>
                <w:kern w:val="0"/>
                <w:sz w:val="24"/>
                <w:szCs w:val="24"/>
                <w:highlight w:val="none"/>
                <w:vertAlign w:val="superscript"/>
                <w:lang w:val="en-US" w:eastAsia="zh-CN"/>
              </w:rPr>
              <w:t>3</w:t>
            </w:r>
            <w:r>
              <w:rPr>
                <w:rFonts w:hint="default" w:ascii="Times New Roman" w:hAnsi="Times New Roman" w:eastAsia="宋体" w:cs="Times New Roman"/>
                <w:color w:val="FF0000"/>
                <w:spacing w:val="0"/>
                <w:kern w:val="0"/>
                <w:sz w:val="24"/>
                <w:szCs w:val="24"/>
                <w:highlight w:val="none"/>
                <w:vertAlign w:val="baseline"/>
                <w:lang w:val="en-US" w:eastAsia="zh-CN"/>
              </w:rPr>
              <w:t>/d</w:t>
            </w:r>
            <w:r>
              <w:rPr>
                <w:rFonts w:hint="eastAsia" w:cs="Times New Roman"/>
                <w:color w:val="FF0000"/>
                <w:spacing w:val="0"/>
                <w:sz w:val="24"/>
                <w:szCs w:val="24"/>
                <w:highlight w:val="none"/>
                <w:lang w:val="en-US" w:eastAsia="zh-CN"/>
              </w:rPr>
              <w:t>）。</w:t>
            </w:r>
          </w:p>
          <w:p w14:paraId="159A19AE">
            <w:pPr>
              <w:keepNext w:val="0"/>
              <w:keepLines w:val="0"/>
              <w:pageBreakBefore w:val="0"/>
              <w:widowControl w:val="0"/>
              <w:tabs>
                <w:tab w:val="left" w:pos="630"/>
              </w:tabs>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FF0000"/>
                <w:spacing w:val="0"/>
                <w:sz w:val="24"/>
                <w:szCs w:val="24"/>
                <w:highlight w:val="none"/>
              </w:rPr>
            </w:pPr>
            <w:r>
              <w:rPr>
                <w:rFonts w:hint="default" w:ascii="Times New Roman" w:hAnsi="Times New Roman" w:eastAsia="宋体" w:cs="Times New Roman"/>
                <w:color w:val="FF0000"/>
                <w:spacing w:val="0"/>
                <w:sz w:val="24"/>
                <w:szCs w:val="24"/>
                <w:highlight w:val="none"/>
              </w:rPr>
              <w:fldChar w:fldCharType="begin"/>
            </w:r>
            <w:r>
              <w:rPr>
                <w:rFonts w:hint="default" w:ascii="Times New Roman" w:hAnsi="Times New Roman" w:eastAsia="宋体" w:cs="Times New Roman"/>
                <w:color w:val="FF0000"/>
                <w:spacing w:val="0"/>
                <w:sz w:val="24"/>
                <w:szCs w:val="24"/>
                <w:highlight w:val="none"/>
              </w:rPr>
              <w:instrText xml:space="preserve"> = 2 \* GB3 </w:instrText>
            </w:r>
            <w:r>
              <w:rPr>
                <w:rFonts w:hint="default" w:ascii="Times New Roman" w:hAnsi="Times New Roman" w:eastAsia="宋体" w:cs="Times New Roman"/>
                <w:color w:val="FF0000"/>
                <w:spacing w:val="0"/>
                <w:sz w:val="24"/>
                <w:szCs w:val="24"/>
                <w:highlight w:val="none"/>
              </w:rPr>
              <w:fldChar w:fldCharType="separate"/>
            </w:r>
            <w:r>
              <w:rPr>
                <w:rFonts w:hint="default" w:ascii="Times New Roman" w:hAnsi="Times New Roman" w:eastAsia="宋体" w:cs="Times New Roman"/>
                <w:color w:val="FF0000"/>
                <w:spacing w:val="0"/>
                <w:sz w:val="24"/>
                <w:szCs w:val="24"/>
                <w:highlight w:val="none"/>
              </w:rPr>
              <w:t>②</w:t>
            </w:r>
            <w:r>
              <w:rPr>
                <w:rFonts w:hint="default" w:ascii="Times New Roman" w:hAnsi="Times New Roman" w:eastAsia="宋体" w:cs="Times New Roman"/>
                <w:color w:val="FF0000"/>
                <w:spacing w:val="0"/>
                <w:sz w:val="24"/>
                <w:szCs w:val="24"/>
                <w:highlight w:val="none"/>
              </w:rPr>
              <w:fldChar w:fldCharType="end"/>
            </w:r>
            <w:r>
              <w:rPr>
                <w:rFonts w:hint="default" w:ascii="Times New Roman" w:hAnsi="Times New Roman" w:eastAsia="宋体" w:cs="Times New Roman"/>
                <w:color w:val="FF0000"/>
                <w:spacing w:val="0"/>
                <w:sz w:val="24"/>
                <w:szCs w:val="24"/>
                <w:highlight w:val="none"/>
              </w:rPr>
              <w:t>排水</w:t>
            </w:r>
          </w:p>
          <w:p w14:paraId="14823C88">
            <w:pPr>
              <w:keepNext w:val="0"/>
              <w:keepLines w:val="0"/>
              <w:pageBreakBefore w:val="0"/>
              <w:widowControl w:val="0"/>
              <w:tabs>
                <w:tab w:val="left" w:pos="6280"/>
              </w:tabs>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FF0000"/>
                <w:spacing w:val="0"/>
                <w:sz w:val="24"/>
                <w:szCs w:val="24"/>
                <w:highlight w:val="none"/>
                <w:lang w:val="en-US" w:eastAsia="zh-CN"/>
              </w:rPr>
            </w:pPr>
            <w:r>
              <w:rPr>
                <w:rFonts w:hint="default" w:ascii="Times New Roman" w:hAnsi="Times New Roman" w:cs="Times New Roman"/>
                <w:color w:val="FF0000"/>
                <w:spacing w:val="0"/>
                <w:sz w:val="24"/>
                <w:szCs w:val="24"/>
                <w:highlight w:val="none"/>
                <w:lang w:val="en-US" w:eastAsia="zh-CN"/>
              </w:rPr>
              <w:t>本项目排水主要为锅炉排污水、锅炉软化水废水。</w:t>
            </w:r>
          </w:p>
          <w:p w14:paraId="530356BB">
            <w:pPr>
              <w:keepNext w:val="0"/>
              <w:keepLines w:val="0"/>
              <w:pageBreakBefore w:val="0"/>
              <w:widowControl w:val="0"/>
              <w:tabs>
                <w:tab w:val="left" w:pos="6280"/>
              </w:tabs>
              <w:kinsoku/>
              <w:wordWrap/>
              <w:overflowPunct/>
              <w:topLinePunct w:val="0"/>
              <w:autoSpaceDE/>
              <w:autoSpaceDN/>
              <w:bidi w:val="0"/>
              <w:adjustRightInd w:val="0"/>
              <w:snapToGrid/>
              <w:spacing w:line="360" w:lineRule="auto"/>
              <w:ind w:firstLine="480" w:firstLineChars="200"/>
              <w:jc w:val="left"/>
              <w:textAlignment w:val="auto"/>
              <w:rPr>
                <w:rFonts w:hint="eastAsia" w:ascii="Times New Roman" w:hAnsi="Times New Roman" w:eastAsia="宋体" w:cs="Times New Roman"/>
                <w:color w:val="FF0000"/>
                <w:spacing w:val="0"/>
                <w:sz w:val="24"/>
                <w:szCs w:val="24"/>
                <w:highlight w:val="none"/>
                <w:lang w:val="en-US" w:eastAsia="zh-CN"/>
              </w:rPr>
            </w:pPr>
            <w:r>
              <w:rPr>
                <w:rFonts w:hint="default" w:ascii="Times New Roman" w:hAnsi="Times New Roman" w:cs="Times New Roman"/>
                <w:color w:val="FF0000"/>
                <w:spacing w:val="0"/>
                <w:sz w:val="24"/>
                <w:szCs w:val="24"/>
                <w:highlight w:val="none"/>
                <w:lang w:val="en-US" w:eastAsia="zh-CN"/>
              </w:rPr>
              <w:t>由《排放源统计调查产排污核算方法和系数手册》（公告2021年第24号）中“4430工业锅炉（热力生产和供应行业）产排污系数表”的内容，生物质燃料（锅外水处理）废水产生系数为0.</w:t>
            </w:r>
            <w:r>
              <w:rPr>
                <w:rFonts w:hint="eastAsia" w:ascii="Times New Roman" w:hAnsi="Times New Roman" w:cs="Times New Roman"/>
                <w:color w:val="FF0000"/>
                <w:spacing w:val="0"/>
                <w:sz w:val="24"/>
                <w:szCs w:val="24"/>
                <w:highlight w:val="none"/>
                <w:lang w:val="en-US" w:eastAsia="zh-CN"/>
              </w:rPr>
              <w:t>356</w:t>
            </w:r>
            <w:r>
              <w:rPr>
                <w:rFonts w:hint="default" w:ascii="Times New Roman" w:hAnsi="Times New Roman" w:cs="Times New Roman"/>
                <w:color w:val="FF0000"/>
                <w:spacing w:val="0"/>
                <w:sz w:val="24"/>
                <w:szCs w:val="24"/>
                <w:highlight w:val="none"/>
                <w:lang w:val="en-US" w:eastAsia="zh-CN"/>
              </w:rPr>
              <w:t>吨/吨－原料，本项目生物质锅炉年燃烧生物质消耗量</w:t>
            </w:r>
            <w:r>
              <w:rPr>
                <w:rFonts w:hint="eastAsia" w:cs="Times New Roman"/>
                <w:color w:val="FF0000"/>
                <w:spacing w:val="0"/>
                <w:sz w:val="24"/>
                <w:szCs w:val="24"/>
                <w:highlight w:val="none"/>
                <w:lang w:val="en-US" w:eastAsia="zh-CN"/>
              </w:rPr>
              <w:t>1944</w:t>
            </w:r>
            <w:r>
              <w:rPr>
                <w:rFonts w:hint="default" w:ascii="Times New Roman" w:hAnsi="Times New Roman" w:cs="Times New Roman"/>
                <w:color w:val="FF0000"/>
                <w:spacing w:val="0"/>
                <w:sz w:val="24"/>
                <w:szCs w:val="24"/>
                <w:highlight w:val="none"/>
                <w:lang w:val="en-US" w:eastAsia="zh-CN"/>
              </w:rPr>
              <w:t>t/a，锅炉排污水及锅炉软化水废水排水量为</w:t>
            </w:r>
            <w:r>
              <w:rPr>
                <w:rFonts w:hint="eastAsia" w:cs="Times New Roman"/>
                <w:color w:val="FF0000"/>
                <w:spacing w:val="0"/>
                <w:sz w:val="24"/>
                <w:szCs w:val="24"/>
                <w:highlight w:val="none"/>
                <w:lang w:val="en-US" w:eastAsia="zh-CN"/>
              </w:rPr>
              <w:t>3.8448</w:t>
            </w:r>
            <w:r>
              <w:rPr>
                <w:rFonts w:hint="default" w:ascii="Times New Roman" w:hAnsi="Times New Roman" w:eastAsia="宋体" w:cs="Times New Roman"/>
                <w:color w:val="FF0000"/>
                <w:spacing w:val="0"/>
                <w:kern w:val="0"/>
                <w:sz w:val="24"/>
                <w:szCs w:val="24"/>
                <w:highlight w:val="none"/>
                <w:lang w:val="en-US" w:eastAsia="zh-CN"/>
              </w:rPr>
              <w:t>m</w:t>
            </w:r>
            <w:r>
              <w:rPr>
                <w:rFonts w:hint="default" w:ascii="Times New Roman" w:hAnsi="Times New Roman" w:eastAsia="宋体" w:cs="Times New Roman"/>
                <w:color w:val="FF0000"/>
                <w:spacing w:val="0"/>
                <w:kern w:val="0"/>
                <w:sz w:val="24"/>
                <w:szCs w:val="24"/>
                <w:highlight w:val="none"/>
                <w:vertAlign w:val="superscript"/>
                <w:lang w:val="en-US" w:eastAsia="zh-CN"/>
              </w:rPr>
              <w:t>3</w:t>
            </w:r>
            <w:r>
              <w:rPr>
                <w:rFonts w:hint="default" w:ascii="Times New Roman" w:hAnsi="Times New Roman" w:eastAsia="宋体" w:cs="Times New Roman"/>
                <w:color w:val="FF0000"/>
                <w:spacing w:val="0"/>
                <w:kern w:val="0"/>
                <w:sz w:val="24"/>
                <w:szCs w:val="24"/>
                <w:highlight w:val="none"/>
                <w:vertAlign w:val="baseline"/>
                <w:lang w:val="en-US" w:eastAsia="zh-CN"/>
              </w:rPr>
              <w:t>/d，</w:t>
            </w:r>
            <w:r>
              <w:rPr>
                <w:rFonts w:hint="eastAsia" w:cs="Times New Roman"/>
                <w:color w:val="FF0000"/>
                <w:spacing w:val="0"/>
                <w:sz w:val="24"/>
                <w:szCs w:val="24"/>
                <w:highlight w:val="none"/>
                <w:lang w:val="en-US" w:eastAsia="zh-CN"/>
              </w:rPr>
              <w:t>692.064</w:t>
            </w:r>
            <w:r>
              <w:rPr>
                <w:rFonts w:hint="default" w:ascii="Times New Roman" w:hAnsi="Times New Roman" w:eastAsia="宋体" w:cs="Times New Roman"/>
                <w:color w:val="FF0000"/>
                <w:spacing w:val="0"/>
                <w:kern w:val="0"/>
                <w:sz w:val="24"/>
                <w:szCs w:val="24"/>
                <w:highlight w:val="none"/>
                <w:lang w:val="en-US" w:eastAsia="zh-CN"/>
              </w:rPr>
              <w:t>m</w:t>
            </w:r>
            <w:r>
              <w:rPr>
                <w:rFonts w:hint="default" w:ascii="Times New Roman" w:hAnsi="Times New Roman" w:eastAsia="宋体" w:cs="Times New Roman"/>
                <w:color w:val="FF0000"/>
                <w:spacing w:val="0"/>
                <w:kern w:val="0"/>
                <w:sz w:val="24"/>
                <w:szCs w:val="24"/>
                <w:highlight w:val="none"/>
                <w:vertAlign w:val="superscript"/>
                <w:lang w:val="en-US" w:eastAsia="zh-CN"/>
              </w:rPr>
              <w:t>3</w:t>
            </w:r>
            <w:r>
              <w:rPr>
                <w:rFonts w:hint="default" w:ascii="Times New Roman" w:hAnsi="Times New Roman" w:cs="Times New Roman"/>
                <w:color w:val="FF0000"/>
                <w:spacing w:val="0"/>
                <w:sz w:val="24"/>
                <w:szCs w:val="24"/>
                <w:highlight w:val="none"/>
                <w:lang w:val="en-US" w:eastAsia="zh-CN"/>
              </w:rPr>
              <w:t>/a。</w:t>
            </w:r>
            <w:r>
              <w:rPr>
                <w:rFonts w:hint="default" w:ascii="Times New Roman" w:hAnsi="Times New Roman" w:eastAsia="宋体" w:cs="Times New Roman"/>
                <w:color w:val="FF0000"/>
                <w:spacing w:val="0"/>
                <w:sz w:val="24"/>
                <w:szCs w:val="24"/>
                <w:highlight w:val="none"/>
                <w:lang w:val="en-US" w:eastAsia="zh-CN"/>
              </w:rPr>
              <w:t>锅炉排污水及软化排污水用于锅炉炉渣拌湿降尘</w:t>
            </w:r>
            <w:r>
              <w:rPr>
                <w:rFonts w:hint="eastAsia" w:ascii="Times New Roman" w:hAnsi="Times New Roman" w:eastAsia="宋体" w:cs="Times New Roman"/>
                <w:color w:val="FF0000"/>
                <w:spacing w:val="0"/>
                <w:sz w:val="24"/>
                <w:szCs w:val="24"/>
                <w:highlight w:val="none"/>
                <w:lang w:val="en-US" w:eastAsia="zh-CN"/>
              </w:rPr>
              <w:t>，不外排。</w:t>
            </w:r>
          </w:p>
          <w:p w14:paraId="1989EFF2">
            <w:pPr>
              <w:keepNext w:val="0"/>
              <w:keepLines w:val="0"/>
              <w:pageBreakBefore w:val="0"/>
              <w:widowControl w:val="0"/>
              <w:tabs>
                <w:tab w:val="left" w:pos="6280"/>
              </w:tabs>
              <w:kinsoku/>
              <w:wordWrap/>
              <w:overflowPunct/>
              <w:topLinePunct w:val="0"/>
              <w:autoSpaceDE/>
              <w:autoSpaceDN/>
              <w:bidi w:val="0"/>
              <w:adjustRightInd w:val="0"/>
              <w:snapToGrid/>
              <w:spacing w:line="360" w:lineRule="auto"/>
              <w:ind w:firstLine="0" w:firstLineChars="0"/>
              <w:jc w:val="center"/>
              <w:textAlignment w:val="auto"/>
              <w:rPr>
                <w:rFonts w:hint="default" w:ascii="Times New Roman" w:hAnsi="Times New Roman" w:cs="Times New Roman"/>
                <w:color w:val="FF0000"/>
                <w:spacing w:val="0"/>
                <w:highlight w:val="none"/>
                <w:lang w:val="en-US" w:eastAsia="zh-CN"/>
              </w:rPr>
            </w:pPr>
            <w:r>
              <w:rPr>
                <w:color w:val="FF0000"/>
              </w:rPr>
              <w:drawing>
                <wp:inline distT="0" distB="0" distL="114300" distR="114300">
                  <wp:extent cx="5140325" cy="1452880"/>
                  <wp:effectExtent l="0" t="0" r="3175" b="1397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5"/>
                          <a:stretch>
                            <a:fillRect/>
                          </a:stretch>
                        </pic:blipFill>
                        <pic:spPr>
                          <a:xfrm>
                            <a:off x="0" y="0"/>
                            <a:ext cx="5140325" cy="1452880"/>
                          </a:xfrm>
                          <a:prstGeom prst="rect">
                            <a:avLst/>
                          </a:prstGeom>
                          <a:noFill/>
                          <a:ln>
                            <a:noFill/>
                          </a:ln>
                        </pic:spPr>
                      </pic:pic>
                    </a:graphicData>
                  </a:graphic>
                </wp:inline>
              </w:drawing>
            </w:r>
          </w:p>
          <w:p w14:paraId="238109C3">
            <w:pPr>
              <w:keepNext w:val="0"/>
              <w:keepLines w:val="0"/>
              <w:pageBreakBefore w:val="0"/>
              <w:widowControl w:val="0"/>
              <w:tabs>
                <w:tab w:val="left" w:pos="6280"/>
              </w:tabs>
              <w:kinsoku/>
              <w:wordWrap/>
              <w:overflowPunct/>
              <w:topLinePunct w:val="0"/>
              <w:autoSpaceDE/>
              <w:autoSpaceDN/>
              <w:bidi w:val="0"/>
              <w:adjustRightInd w:val="0"/>
              <w:snapToGrid/>
              <w:spacing w:line="360" w:lineRule="auto"/>
              <w:ind w:firstLine="482" w:firstLineChars="200"/>
              <w:jc w:val="center"/>
              <w:textAlignment w:val="auto"/>
              <w:rPr>
                <w:rFonts w:hint="default" w:ascii="Times New Roman" w:hAnsi="Times New Roman" w:cs="Times New Roman"/>
                <w:b/>
                <w:bCs/>
                <w:color w:val="FF0000"/>
                <w:spacing w:val="0"/>
                <w:sz w:val="24"/>
                <w:szCs w:val="24"/>
                <w:highlight w:val="none"/>
                <w:lang w:val="en-US" w:eastAsia="zh-CN"/>
              </w:rPr>
            </w:pPr>
            <w:r>
              <w:rPr>
                <w:rFonts w:hint="default" w:ascii="Times New Roman" w:hAnsi="Times New Roman" w:cs="Times New Roman"/>
                <w:b/>
                <w:bCs/>
                <w:color w:val="FF0000"/>
                <w:spacing w:val="0"/>
                <w:sz w:val="24"/>
                <w:szCs w:val="24"/>
                <w:highlight w:val="none"/>
                <w:lang w:val="en-US" w:eastAsia="zh-CN"/>
              </w:rPr>
              <w:t>图2-1</w:t>
            </w:r>
            <w:r>
              <w:rPr>
                <w:rFonts w:hint="eastAsia" w:cs="Times New Roman"/>
                <w:b/>
                <w:bCs/>
                <w:color w:val="FF0000"/>
                <w:spacing w:val="0"/>
                <w:sz w:val="24"/>
                <w:szCs w:val="24"/>
                <w:highlight w:val="none"/>
                <w:lang w:val="en-US" w:eastAsia="zh-CN"/>
              </w:rPr>
              <w:t>本项目</w:t>
            </w:r>
            <w:r>
              <w:rPr>
                <w:rFonts w:hint="default" w:ascii="Times New Roman" w:hAnsi="Times New Roman" w:cs="Times New Roman"/>
                <w:b/>
                <w:bCs/>
                <w:color w:val="FF0000"/>
                <w:spacing w:val="0"/>
                <w:sz w:val="24"/>
                <w:szCs w:val="24"/>
                <w:highlight w:val="none"/>
                <w:lang w:val="en-US" w:eastAsia="zh-CN"/>
              </w:rPr>
              <w:t>水量平衡图（单位：m</w:t>
            </w:r>
            <w:r>
              <w:rPr>
                <w:rFonts w:hint="default" w:ascii="Times New Roman" w:hAnsi="Times New Roman" w:cs="Times New Roman"/>
                <w:b/>
                <w:bCs/>
                <w:color w:val="FF0000"/>
                <w:spacing w:val="0"/>
                <w:sz w:val="24"/>
                <w:szCs w:val="24"/>
                <w:highlight w:val="none"/>
                <w:vertAlign w:val="superscript"/>
                <w:lang w:val="en-US" w:eastAsia="zh-CN"/>
              </w:rPr>
              <w:t>3</w:t>
            </w:r>
            <w:r>
              <w:rPr>
                <w:rFonts w:hint="default" w:ascii="Times New Roman" w:hAnsi="Times New Roman" w:cs="Times New Roman"/>
                <w:b/>
                <w:bCs/>
                <w:color w:val="FF0000"/>
                <w:spacing w:val="0"/>
                <w:sz w:val="24"/>
                <w:szCs w:val="24"/>
                <w:highlight w:val="none"/>
                <w:lang w:val="en-US" w:eastAsia="zh-CN"/>
              </w:rPr>
              <w:t>/d）</w:t>
            </w:r>
          </w:p>
          <w:p w14:paraId="0BB41F17">
            <w:pPr>
              <w:keepNext w:val="0"/>
              <w:keepLines w:val="0"/>
              <w:pageBreakBefore w:val="0"/>
              <w:widowControl w:val="0"/>
              <w:tabs>
                <w:tab w:val="left" w:pos="6280"/>
              </w:tabs>
              <w:kinsoku/>
              <w:wordWrap/>
              <w:overflowPunct/>
              <w:topLinePunct w:val="0"/>
              <w:autoSpaceDE/>
              <w:autoSpaceDN/>
              <w:bidi w:val="0"/>
              <w:adjustRightInd w:val="0"/>
              <w:snapToGrid/>
              <w:spacing w:line="360" w:lineRule="auto"/>
              <w:ind w:firstLine="420" w:firstLineChars="200"/>
              <w:jc w:val="center"/>
              <w:textAlignment w:val="auto"/>
              <w:rPr>
                <w:rFonts w:hint="default" w:ascii="Times New Roman" w:hAnsi="Times New Roman" w:cs="Times New Roman"/>
                <w:b/>
                <w:bCs/>
                <w:color w:val="FF0000"/>
                <w:spacing w:val="0"/>
                <w:sz w:val="24"/>
                <w:szCs w:val="24"/>
                <w:highlight w:val="none"/>
                <w:lang w:val="en-US" w:eastAsia="zh-CN"/>
              </w:rPr>
            </w:pPr>
            <w:r>
              <w:rPr>
                <w:color w:val="FF0000"/>
              </w:rPr>
              <w:drawing>
                <wp:inline distT="0" distB="0" distL="114300" distR="114300">
                  <wp:extent cx="5143500" cy="3581400"/>
                  <wp:effectExtent l="0" t="0" r="0" b="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16"/>
                          <a:stretch>
                            <a:fillRect/>
                          </a:stretch>
                        </pic:blipFill>
                        <pic:spPr>
                          <a:xfrm>
                            <a:off x="0" y="0"/>
                            <a:ext cx="5143500" cy="3581400"/>
                          </a:xfrm>
                          <a:prstGeom prst="rect">
                            <a:avLst/>
                          </a:prstGeom>
                          <a:noFill/>
                          <a:ln>
                            <a:noFill/>
                          </a:ln>
                        </pic:spPr>
                      </pic:pic>
                    </a:graphicData>
                  </a:graphic>
                </wp:inline>
              </w:drawing>
            </w:r>
          </w:p>
          <w:p w14:paraId="58B6C012">
            <w:pPr>
              <w:keepNext w:val="0"/>
              <w:keepLines w:val="0"/>
              <w:pageBreakBefore w:val="0"/>
              <w:widowControl w:val="0"/>
              <w:tabs>
                <w:tab w:val="left" w:pos="6280"/>
              </w:tabs>
              <w:kinsoku/>
              <w:wordWrap/>
              <w:overflowPunct/>
              <w:topLinePunct w:val="0"/>
              <w:autoSpaceDE/>
              <w:autoSpaceDN/>
              <w:bidi w:val="0"/>
              <w:adjustRightInd w:val="0"/>
              <w:snapToGrid/>
              <w:spacing w:line="360" w:lineRule="auto"/>
              <w:ind w:firstLine="482" w:firstLineChars="200"/>
              <w:jc w:val="center"/>
              <w:textAlignment w:val="auto"/>
              <w:rPr>
                <w:rFonts w:hint="default" w:ascii="Times New Roman" w:hAnsi="Times New Roman" w:cs="Times New Roman"/>
                <w:b/>
                <w:bCs/>
                <w:color w:val="FF0000"/>
                <w:spacing w:val="0"/>
                <w:sz w:val="24"/>
                <w:szCs w:val="24"/>
                <w:highlight w:val="none"/>
                <w:lang w:val="en-US" w:eastAsia="zh-CN"/>
              </w:rPr>
            </w:pPr>
            <w:r>
              <w:rPr>
                <w:rFonts w:hint="default" w:ascii="Times New Roman" w:hAnsi="Times New Roman" w:cs="Times New Roman"/>
                <w:b/>
                <w:bCs/>
                <w:color w:val="FF0000"/>
                <w:spacing w:val="0"/>
                <w:sz w:val="24"/>
                <w:szCs w:val="24"/>
                <w:highlight w:val="none"/>
                <w:lang w:val="en-US" w:eastAsia="zh-CN"/>
              </w:rPr>
              <w:t>图2-1</w:t>
            </w:r>
            <w:r>
              <w:rPr>
                <w:rFonts w:hint="eastAsia" w:cs="Times New Roman"/>
                <w:b/>
                <w:bCs/>
                <w:color w:val="FF0000"/>
                <w:spacing w:val="0"/>
                <w:sz w:val="24"/>
                <w:szCs w:val="24"/>
                <w:highlight w:val="none"/>
                <w:lang w:val="en-US" w:eastAsia="zh-CN"/>
              </w:rPr>
              <w:t>改建后全厂</w:t>
            </w:r>
            <w:r>
              <w:rPr>
                <w:rFonts w:hint="default" w:ascii="Times New Roman" w:hAnsi="Times New Roman" w:cs="Times New Roman"/>
                <w:b/>
                <w:bCs/>
                <w:color w:val="FF0000"/>
                <w:spacing w:val="0"/>
                <w:sz w:val="24"/>
                <w:szCs w:val="24"/>
                <w:highlight w:val="none"/>
                <w:lang w:val="en-US" w:eastAsia="zh-CN"/>
              </w:rPr>
              <w:t>水量平衡图（单位：m</w:t>
            </w:r>
            <w:r>
              <w:rPr>
                <w:rFonts w:hint="default" w:ascii="Times New Roman" w:hAnsi="Times New Roman" w:cs="Times New Roman"/>
                <w:b/>
                <w:bCs/>
                <w:color w:val="FF0000"/>
                <w:spacing w:val="0"/>
                <w:sz w:val="24"/>
                <w:szCs w:val="24"/>
                <w:highlight w:val="none"/>
                <w:vertAlign w:val="superscript"/>
                <w:lang w:val="en-US" w:eastAsia="zh-CN"/>
              </w:rPr>
              <w:t>3</w:t>
            </w:r>
            <w:r>
              <w:rPr>
                <w:rFonts w:hint="default" w:ascii="Times New Roman" w:hAnsi="Times New Roman" w:cs="Times New Roman"/>
                <w:b/>
                <w:bCs/>
                <w:color w:val="FF0000"/>
                <w:spacing w:val="0"/>
                <w:sz w:val="24"/>
                <w:szCs w:val="24"/>
                <w:highlight w:val="none"/>
                <w:lang w:val="en-US" w:eastAsia="zh-CN"/>
              </w:rPr>
              <w:t>/d）</w:t>
            </w:r>
          </w:p>
          <w:p w14:paraId="663565D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（2）供热</w:t>
            </w:r>
          </w:p>
          <w:p w14:paraId="5D6BE4A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本项目供热由本项目锅炉提供。</w:t>
            </w:r>
          </w:p>
          <w:p w14:paraId="31BC564C">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eastAsia" w:cs="Times New Roman"/>
                <w:b/>
                <w:bCs w:val="0"/>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平面布置</w:t>
            </w:r>
          </w:p>
          <w:p w14:paraId="3BFC293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项目主要为锅炉房</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、灰渣库和燃料库</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锅炉房位于厂区东北角，灰渣库和燃料库位于锅炉房南侧，厂区东北角。</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总体布局合理，详见附图2。</w:t>
            </w:r>
          </w:p>
        </w:tc>
      </w:tr>
      <w:tr w14:paraId="77858F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743" w:type="dxa"/>
            <w:noWrap w:val="0"/>
            <w:vAlign w:val="center"/>
          </w:tcPr>
          <w:p w14:paraId="2FC6D867">
            <w:pPr>
              <w:adjustRightInd w:val="0"/>
              <w:snapToGrid w:val="0"/>
              <w:spacing w:before="0" w:beforeAutospacing="0" w:after="0" w:afterAutospacing="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工艺流程和产排污环节</w:t>
            </w:r>
          </w:p>
        </w:tc>
        <w:tc>
          <w:tcPr>
            <w:tcW w:w="8317" w:type="dxa"/>
            <w:noWrap w:val="0"/>
            <w:vAlign w:val="top"/>
          </w:tcPr>
          <w:p w14:paraId="7E0AD618">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eastAsia="宋体" w:cs="Times New Roman"/>
                <w:b/>
                <w:bCs w:val="0"/>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b/>
                <w:bCs w:val="0"/>
                <w:color w:val="000000" w:themeColor="text1"/>
                <w:szCs w:val="21"/>
                <w:highlight w:val="none"/>
                <w:lang w:val="en-US" w:eastAsia="zh-CN"/>
                <w14:textFill>
                  <w14:solidFill>
                    <w14:schemeClr w14:val="tx1"/>
                  </w14:solidFill>
                </w14:textFill>
              </w:rPr>
              <w:t>工艺流程</w:t>
            </w:r>
            <w:r>
              <w:rPr>
                <w:rFonts w:hint="default" w:ascii="Times New Roman" w:hAnsi="Times New Roman" w:eastAsia="宋体" w:cs="Times New Roman"/>
                <w:b/>
                <w:bCs w:val="0"/>
                <w:color w:val="000000" w:themeColor="text1"/>
                <w:szCs w:val="21"/>
                <w:highlight w:val="none"/>
                <w:lang w:eastAsia="zh-CN"/>
                <w14:textFill>
                  <w14:solidFill>
                    <w14:schemeClr w14:val="tx1"/>
                  </w14:solidFill>
                </w14:textFill>
              </w:rPr>
              <w:t>简述：</w:t>
            </w:r>
          </w:p>
          <w:p w14:paraId="28F3BA1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140325" cy="2974340"/>
                  <wp:effectExtent l="0" t="0" r="3175" b="1651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7"/>
                          <a:stretch>
                            <a:fillRect/>
                          </a:stretch>
                        </pic:blipFill>
                        <pic:spPr>
                          <a:xfrm>
                            <a:off x="0" y="0"/>
                            <a:ext cx="5140325" cy="2974340"/>
                          </a:xfrm>
                          <a:prstGeom prst="rect">
                            <a:avLst/>
                          </a:prstGeom>
                          <a:noFill/>
                          <a:ln>
                            <a:noFill/>
                          </a:ln>
                        </pic:spPr>
                      </pic:pic>
                    </a:graphicData>
                  </a:graphic>
                </wp:inline>
              </w:drawing>
            </w:r>
          </w:p>
          <w:p w14:paraId="6AD08093">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bCs/>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pacing w:val="0"/>
                <w:sz w:val="24"/>
                <w:szCs w:val="24"/>
                <w:highlight w:val="none"/>
                <w:lang w:val="en-US" w:eastAsia="zh-CN"/>
                <w14:textFill>
                  <w14:solidFill>
                    <w14:schemeClr w14:val="tx1"/>
                  </w14:solidFill>
                </w14:textFill>
              </w:rPr>
              <w:t>图2-</w:t>
            </w:r>
            <w:r>
              <w:rPr>
                <w:rFonts w:hint="eastAsia" w:cs="Times New Roman"/>
                <w:b/>
                <w:bCs/>
                <w:color w:val="000000" w:themeColor="text1"/>
                <w:spacing w:val="0"/>
                <w:sz w:val="24"/>
                <w:szCs w:val="24"/>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spacing w:val="0"/>
                <w:sz w:val="24"/>
                <w:szCs w:val="24"/>
                <w:highlight w:val="none"/>
                <w:lang w:val="en-US" w:eastAsia="zh-CN"/>
                <w14:textFill>
                  <w14:solidFill>
                    <w14:schemeClr w14:val="tx1"/>
                  </w14:solidFill>
                </w14:textFill>
              </w:rPr>
              <w:t>工艺流程及产污节点图</w:t>
            </w:r>
          </w:p>
          <w:p w14:paraId="36E326F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4"/>
                <w:szCs w:val="24"/>
                <w:highlight w:val="none"/>
                <w:lang w:eastAsia="zh-CN"/>
                <w14:textFill>
                  <w14:solidFill>
                    <w14:schemeClr w14:val="tx1"/>
                  </w14:solidFill>
                </w14:textFill>
              </w:rPr>
              <w:t>锅炉补水经离子交换树脂软化处理，锅炉烟气</w:t>
            </w:r>
            <w:r>
              <w:rPr>
                <w:rFonts w:hint="default" w:ascii="Times New Roman" w:hAnsi="Times New Roman" w:cs="Times New Roman"/>
                <w:color w:val="000000" w:themeColor="text1"/>
                <w:spacing w:val="0"/>
                <w:sz w:val="24"/>
                <w:szCs w:val="24"/>
                <w:highlight w:val="none"/>
                <w:lang w:val="en-US" w:eastAsia="zh-CN"/>
                <w14:textFill>
                  <w14:solidFill>
                    <w14:schemeClr w14:val="tx1"/>
                  </w14:solidFill>
                </w14:textFill>
              </w:rPr>
              <w:t>经</w:t>
            </w:r>
            <w:r>
              <w:rPr>
                <w:rFonts w:hint="eastAsia" w:cs="Times New Roman"/>
                <w:color w:val="000000" w:themeColor="text1"/>
                <w:spacing w:val="0"/>
                <w:sz w:val="24"/>
                <w:szCs w:val="24"/>
                <w:highlight w:val="none"/>
                <w:lang w:val="en-US" w:eastAsia="zh-CN"/>
                <w14:textFill>
                  <w14:solidFill>
                    <w14:schemeClr w14:val="tx1"/>
                  </w14:solidFill>
                </w14:textFill>
              </w:rPr>
              <w:t>旋风除尘器+袋式除尘器</w:t>
            </w:r>
            <w:r>
              <w:rPr>
                <w:rFonts w:hint="default" w:ascii="Times New Roman" w:hAnsi="Times New Roman" w:cs="Times New Roman"/>
                <w:color w:val="000000" w:themeColor="text1"/>
                <w:spacing w:val="0"/>
                <w:sz w:val="24"/>
                <w:szCs w:val="24"/>
                <w:highlight w:val="none"/>
                <w:lang w:eastAsia="zh-CN"/>
                <w14:textFill>
                  <w14:solidFill>
                    <w14:schemeClr w14:val="tx1"/>
                  </w14:solidFill>
                </w14:textFill>
              </w:rPr>
              <w:t>处理后经</w:t>
            </w:r>
            <w:r>
              <w:rPr>
                <w:rFonts w:hint="default" w:ascii="Times New Roman" w:hAnsi="Times New Roman" w:cs="Times New Roman"/>
                <w:color w:val="000000" w:themeColor="text1"/>
                <w:spacing w:val="0"/>
                <w:sz w:val="24"/>
                <w:szCs w:val="24"/>
                <w:highlight w:val="none"/>
                <w:lang w:val="en-US" w:eastAsia="zh-CN"/>
                <w14:textFill>
                  <w14:solidFill>
                    <w14:schemeClr w14:val="tx1"/>
                  </w14:solidFill>
                </w14:textFill>
              </w:rPr>
              <w:t>30m烟囱排放，锅炉排水及软化水排水用于锅炉炉渣拌湿降尘。</w:t>
            </w:r>
          </w:p>
          <w:p w14:paraId="5D8108C3">
            <w:pPr>
              <w:jc w:val="center"/>
              <w:rPr>
                <w:rFonts w:hint="default" w:ascii="Times New Roman" w:hAnsi="Times New Roman" w:eastAsia="宋体" w:cs="Times New Roman"/>
                <w:b/>
                <w:bCs w:val="0"/>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表2-</w:t>
            </w:r>
            <w:r>
              <w:rPr>
                <w:rFonts w:hint="eastAsia" w:cs="Times New Roman"/>
                <w:b/>
                <w:bCs w:val="0"/>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本项目运营期工程主要排污节点一览表</w:t>
            </w:r>
          </w:p>
          <w:tbl>
            <w:tblPr>
              <w:tblStyle w:val="13"/>
              <w:tblW w:w="4997"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7"/>
              <w:gridCol w:w="1532"/>
              <w:gridCol w:w="1572"/>
              <w:gridCol w:w="1041"/>
              <w:gridCol w:w="3265"/>
            </w:tblGrid>
            <w:tr w14:paraId="5C9663E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tcBorders>
                    <w:tl2br w:val="nil"/>
                    <w:tr2bl w:val="nil"/>
                  </w:tcBorders>
                  <w:noWrap w:val="0"/>
                  <w:vAlign w:val="center"/>
                </w:tcPr>
                <w:p w14:paraId="5D2972A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项目</w:t>
                  </w:r>
                </w:p>
              </w:tc>
              <w:tc>
                <w:tcPr>
                  <w:tcW w:w="946" w:type="pct"/>
                  <w:tcBorders>
                    <w:tl2br w:val="nil"/>
                    <w:tr2bl w:val="nil"/>
                  </w:tcBorders>
                  <w:noWrap w:val="0"/>
                  <w:vAlign w:val="center"/>
                </w:tcPr>
                <w:p w14:paraId="66D2C07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污染源</w:t>
                  </w:r>
                </w:p>
              </w:tc>
              <w:tc>
                <w:tcPr>
                  <w:tcW w:w="970" w:type="pct"/>
                  <w:tcBorders>
                    <w:tl2br w:val="nil"/>
                    <w:tr2bl w:val="nil"/>
                  </w:tcBorders>
                  <w:noWrap w:val="0"/>
                  <w:vAlign w:val="center"/>
                </w:tcPr>
                <w:p w14:paraId="6F9F65B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污染物</w:t>
                  </w:r>
                </w:p>
              </w:tc>
              <w:tc>
                <w:tcPr>
                  <w:tcW w:w="642" w:type="pct"/>
                  <w:tcBorders>
                    <w:tl2br w:val="nil"/>
                    <w:tr2bl w:val="nil"/>
                  </w:tcBorders>
                  <w:noWrap w:val="0"/>
                  <w:vAlign w:val="center"/>
                </w:tcPr>
                <w:p w14:paraId="68D704F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排放特点</w:t>
                  </w:r>
                </w:p>
              </w:tc>
              <w:tc>
                <w:tcPr>
                  <w:tcW w:w="2016" w:type="pct"/>
                  <w:tcBorders>
                    <w:tl2br w:val="nil"/>
                    <w:tr2bl w:val="nil"/>
                  </w:tcBorders>
                  <w:noWrap w:val="0"/>
                  <w:vAlign w:val="center"/>
                </w:tcPr>
                <w:p w14:paraId="166DD2A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治理措施</w:t>
                  </w:r>
                </w:p>
              </w:tc>
            </w:tr>
            <w:tr w14:paraId="1676A40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tcBorders>
                    <w:tl2br w:val="nil"/>
                    <w:tr2bl w:val="nil"/>
                  </w:tcBorders>
                  <w:noWrap w:val="0"/>
                  <w:vAlign w:val="center"/>
                </w:tcPr>
                <w:p w14:paraId="5A2E37A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废气</w:t>
                  </w:r>
                </w:p>
              </w:tc>
              <w:tc>
                <w:tcPr>
                  <w:tcW w:w="946" w:type="pct"/>
                  <w:tcBorders>
                    <w:tl2br w:val="nil"/>
                    <w:tr2bl w:val="nil"/>
                  </w:tcBorders>
                  <w:noWrap w:val="0"/>
                  <w:vAlign w:val="center"/>
                </w:tcPr>
                <w:p w14:paraId="1EA8C293">
                  <w:pPr>
                    <w:spacing w:line="240" w:lineRule="auto"/>
                    <w:jc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pacing w:val="0"/>
                      <w:sz w:val="21"/>
                      <w:szCs w:val="21"/>
                      <w:highlight w:val="none"/>
                      <w:lang w:eastAsia="zh-CN"/>
                      <w14:textFill>
                        <w14:solidFill>
                          <w14:schemeClr w14:val="tx1"/>
                        </w14:solidFill>
                      </w14:textFill>
                    </w:rPr>
                    <w:t>锅炉</w:t>
                  </w:r>
                </w:p>
              </w:tc>
              <w:tc>
                <w:tcPr>
                  <w:tcW w:w="970" w:type="pct"/>
                  <w:tcBorders>
                    <w:tl2br w:val="nil"/>
                    <w:tr2bl w:val="nil"/>
                  </w:tcBorders>
                  <w:noWrap w:val="0"/>
                  <w:vAlign w:val="center"/>
                </w:tcPr>
                <w:p w14:paraId="5ABA6414">
                  <w:pPr>
                    <w:spacing w:line="240" w:lineRule="auto"/>
                    <w:jc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SO</w:t>
                  </w:r>
                  <w:r>
                    <w:rPr>
                      <w:rFonts w:hint="default" w:ascii="Times New Roman" w:hAnsi="Times New Roman" w:cs="Times New Roman"/>
                      <w:color w:val="000000" w:themeColor="text1"/>
                      <w:spacing w:val="0"/>
                      <w:sz w:val="21"/>
                      <w:szCs w:val="21"/>
                      <w:highlight w:val="none"/>
                      <w:vertAlign w:val="subscript"/>
                      <w:lang w:val="en-US" w:eastAsia="zh-CN"/>
                      <w14:textFill>
                        <w14:solidFill>
                          <w14:schemeClr w14:val="tx1"/>
                        </w14:solidFill>
                      </w14:textFill>
                    </w:rPr>
                    <w:t>2</w:t>
                  </w: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、NOx、颗粒物、林格曼黑度</w:t>
                  </w:r>
                </w:p>
              </w:tc>
              <w:tc>
                <w:tcPr>
                  <w:tcW w:w="642" w:type="pct"/>
                  <w:tcBorders>
                    <w:tl2br w:val="nil"/>
                    <w:tr2bl w:val="nil"/>
                  </w:tcBorders>
                  <w:noWrap w:val="0"/>
                  <w:vAlign w:val="center"/>
                </w:tcPr>
                <w:p w14:paraId="7BD1227C">
                  <w:pPr>
                    <w:spacing w:line="240" w:lineRule="auto"/>
                    <w:jc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连续</w:t>
                  </w:r>
                </w:p>
              </w:tc>
              <w:tc>
                <w:tcPr>
                  <w:tcW w:w="2016" w:type="pct"/>
                  <w:tcBorders>
                    <w:tl2br w:val="nil"/>
                    <w:tr2bl w:val="nil"/>
                  </w:tcBorders>
                  <w:noWrap w:val="0"/>
                  <w:vAlign w:val="center"/>
                </w:tcPr>
                <w:p w14:paraId="3E752BD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FF0000"/>
                      <w:spacing w:val="0"/>
                      <w:sz w:val="21"/>
                      <w:szCs w:val="21"/>
                      <w:highlight w:val="none"/>
                      <w:lang w:val="en-US" w:eastAsia="zh-CN"/>
                    </w:rPr>
                    <w:t>旋风除尘器+袋式除尘器</w:t>
                  </w:r>
                  <w:r>
                    <w:rPr>
                      <w:rFonts w:hint="default" w:ascii="Times New Roman" w:hAnsi="Times New Roman" w:eastAsia="宋体" w:cs="Times New Roman"/>
                      <w:color w:val="FF0000"/>
                      <w:spacing w:val="0"/>
                      <w:sz w:val="21"/>
                      <w:szCs w:val="21"/>
                      <w:highlight w:val="none"/>
                      <w:lang w:val="en-US" w:eastAsia="zh-CN"/>
                    </w:rPr>
                    <w:t>处理后经30m烟囱排放</w:t>
                  </w:r>
                </w:p>
              </w:tc>
            </w:tr>
            <w:tr w14:paraId="5ED4AD7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tcBorders>
                    <w:tl2br w:val="nil"/>
                    <w:tr2bl w:val="nil"/>
                  </w:tcBorders>
                  <w:noWrap w:val="0"/>
                  <w:vAlign w:val="center"/>
                </w:tcPr>
                <w:p w14:paraId="3F2AF68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废水</w:t>
                  </w:r>
                </w:p>
              </w:tc>
              <w:tc>
                <w:tcPr>
                  <w:tcW w:w="946" w:type="pct"/>
                  <w:tcBorders>
                    <w:tl2br w:val="nil"/>
                    <w:tr2bl w:val="nil"/>
                  </w:tcBorders>
                  <w:noWrap w:val="0"/>
                  <w:vAlign w:val="center"/>
                </w:tcPr>
                <w:p w14:paraId="38070729">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锅炉</w:t>
                  </w:r>
                  <w:r>
                    <w:rPr>
                      <w:rFonts w:hint="default" w:ascii="Times New Roman" w:hAnsi="Times New Roman" w:cs="Times New Roman"/>
                      <w:color w:val="000000" w:themeColor="text1"/>
                      <w:spacing w:val="0"/>
                      <w:kern w:val="2"/>
                      <w:sz w:val="21"/>
                      <w:szCs w:val="21"/>
                      <w:highlight w:val="none"/>
                      <w:lang w:val="en-US" w:eastAsia="zh-CN" w:bidi="ar-SA"/>
                      <w14:textFill>
                        <w14:solidFill>
                          <w14:schemeClr w14:val="tx1"/>
                        </w14:solidFill>
                      </w14:textFill>
                    </w:rPr>
                    <w:t>排污水及软化水排水</w:t>
                  </w:r>
                </w:p>
              </w:tc>
              <w:tc>
                <w:tcPr>
                  <w:tcW w:w="970" w:type="pct"/>
                  <w:tcBorders>
                    <w:tl2br w:val="nil"/>
                    <w:tr2bl w:val="nil"/>
                  </w:tcBorders>
                  <w:noWrap w:val="0"/>
                  <w:vAlign w:val="center"/>
                </w:tcPr>
                <w:p w14:paraId="663AD37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eastAsia" w:cs="Times New Roman"/>
                      <w:color w:val="0000FF"/>
                      <w:spacing w:val="0"/>
                      <w:sz w:val="21"/>
                      <w:szCs w:val="21"/>
                      <w:highlight w:val="none"/>
                      <w:lang w:val="en-US" w:eastAsia="zh-CN"/>
                    </w:rPr>
                    <w:t>pH、</w:t>
                  </w:r>
                  <w:r>
                    <w:rPr>
                      <w:rFonts w:hint="default" w:ascii="Times New Roman" w:hAnsi="Times New Roman" w:eastAsia="宋体" w:cs="Times New Roman"/>
                      <w:color w:val="0000FF"/>
                      <w:spacing w:val="0"/>
                      <w:sz w:val="21"/>
                      <w:szCs w:val="21"/>
                      <w:highlight w:val="none"/>
                      <w:lang w:val="en-US" w:eastAsia="zh-CN"/>
                    </w:rPr>
                    <w:t>化学需氧量、氨氮、悬浮物</w:t>
                  </w:r>
                </w:p>
              </w:tc>
              <w:tc>
                <w:tcPr>
                  <w:tcW w:w="642" w:type="pct"/>
                  <w:tcBorders>
                    <w:tl2br w:val="nil"/>
                    <w:tr2bl w:val="nil"/>
                  </w:tcBorders>
                  <w:noWrap w:val="0"/>
                  <w:vAlign w:val="center"/>
                </w:tcPr>
                <w:p w14:paraId="5F45AF6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pacing w:val="0"/>
                      <w:sz w:val="21"/>
                      <w:szCs w:val="21"/>
                      <w:highlight w:val="none"/>
                      <w14:textFill>
                        <w14:solidFill>
                          <w14:schemeClr w14:val="tx1"/>
                        </w14:solidFill>
                      </w14:textFill>
                    </w:rPr>
                  </w:pPr>
                  <w:r>
                    <w:rPr>
                      <w:rFonts w:hint="default" w:ascii="Times New Roman" w:hAnsi="Times New Roman" w:cs="Times New Roman"/>
                      <w:color w:val="000000" w:themeColor="text1"/>
                      <w:spacing w:val="0"/>
                      <w:sz w:val="21"/>
                      <w:szCs w:val="21"/>
                      <w:highlight w:val="none"/>
                      <w14:textFill>
                        <w14:solidFill>
                          <w14:schemeClr w14:val="tx1"/>
                        </w14:solidFill>
                      </w14:textFill>
                    </w:rPr>
                    <w:t>间断</w:t>
                  </w:r>
                </w:p>
              </w:tc>
              <w:tc>
                <w:tcPr>
                  <w:tcW w:w="2016" w:type="pct"/>
                  <w:tcBorders>
                    <w:tl2br w:val="nil"/>
                    <w:tr2bl w:val="nil"/>
                  </w:tcBorders>
                  <w:noWrap w:val="0"/>
                  <w:vAlign w:val="center"/>
                </w:tcPr>
                <w:p w14:paraId="0099123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炉渣拌湿降尘</w:t>
                  </w:r>
                </w:p>
              </w:tc>
            </w:tr>
            <w:tr w14:paraId="6B34DF7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tcBorders>
                    <w:tl2br w:val="nil"/>
                    <w:tr2bl w:val="nil"/>
                  </w:tcBorders>
                  <w:noWrap w:val="0"/>
                  <w:vAlign w:val="center"/>
                </w:tcPr>
                <w:p w14:paraId="08A75F3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噪声</w:t>
                  </w:r>
                </w:p>
              </w:tc>
              <w:tc>
                <w:tcPr>
                  <w:tcW w:w="946" w:type="pct"/>
                  <w:tcBorders>
                    <w:tl2br w:val="nil"/>
                    <w:tr2bl w:val="nil"/>
                  </w:tcBorders>
                  <w:noWrap w:val="0"/>
                  <w:vAlign w:val="center"/>
                </w:tcPr>
                <w:p w14:paraId="41AC888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风机、水泵</w:t>
                  </w:r>
                </w:p>
              </w:tc>
              <w:tc>
                <w:tcPr>
                  <w:tcW w:w="970" w:type="pct"/>
                  <w:tcBorders>
                    <w:tl2br w:val="nil"/>
                    <w:tr2bl w:val="nil"/>
                  </w:tcBorders>
                  <w:noWrap w:val="0"/>
                  <w:vAlign w:val="center"/>
                </w:tcPr>
                <w:p w14:paraId="77111C3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噪声</w:t>
                  </w:r>
                </w:p>
              </w:tc>
              <w:tc>
                <w:tcPr>
                  <w:tcW w:w="642" w:type="pct"/>
                  <w:tcBorders>
                    <w:tl2br w:val="nil"/>
                    <w:tr2bl w:val="nil"/>
                  </w:tcBorders>
                  <w:noWrap w:val="0"/>
                  <w:vAlign w:val="center"/>
                </w:tcPr>
                <w:p w14:paraId="5BA54E5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连续</w:t>
                  </w:r>
                </w:p>
              </w:tc>
              <w:tc>
                <w:tcPr>
                  <w:tcW w:w="2016" w:type="pct"/>
                  <w:tcBorders>
                    <w:tl2br w:val="nil"/>
                    <w:tr2bl w:val="nil"/>
                  </w:tcBorders>
                  <w:noWrap w:val="0"/>
                  <w:vAlign w:val="center"/>
                </w:tcPr>
                <w:p w14:paraId="0631879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低噪设备、减振、隔声处理</w:t>
                  </w:r>
                </w:p>
              </w:tc>
            </w:tr>
            <w:tr w14:paraId="5F888B6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4" w:type="pct"/>
                  <w:vMerge w:val="restart"/>
                  <w:tcBorders>
                    <w:tl2br w:val="nil"/>
                    <w:tr2bl w:val="nil"/>
                  </w:tcBorders>
                  <w:noWrap w:val="0"/>
                  <w:vAlign w:val="center"/>
                </w:tcPr>
                <w:p w14:paraId="1F75E8F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固体废物</w:t>
                  </w:r>
                </w:p>
              </w:tc>
              <w:tc>
                <w:tcPr>
                  <w:tcW w:w="946" w:type="pct"/>
                  <w:vMerge w:val="restart"/>
                  <w:tcBorders>
                    <w:tl2br w:val="nil"/>
                    <w:tr2bl w:val="nil"/>
                  </w:tcBorders>
                  <w:noWrap w:val="0"/>
                  <w:vAlign w:val="center"/>
                </w:tcPr>
                <w:p w14:paraId="157213F4">
                  <w:pPr>
                    <w:keepNext w:val="0"/>
                    <w:keepLines w:val="0"/>
                    <w:pageBreakBefore w:val="0"/>
                    <w:kinsoku/>
                    <w:wordWrap/>
                    <w:overflowPunct/>
                    <w:topLinePunct w:val="0"/>
                    <w:bidi w:val="0"/>
                    <w:spacing w:line="280" w:lineRule="exact"/>
                    <w:jc w:val="center"/>
                    <w:textAlignment w:val="auto"/>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pacing w:val="0"/>
                      <w:kern w:val="2"/>
                      <w:sz w:val="21"/>
                      <w:szCs w:val="21"/>
                      <w:highlight w:val="none"/>
                      <w:lang w:val="en-US" w:eastAsia="zh-CN" w:bidi="ar-SA"/>
                      <w14:textFill>
                        <w14:solidFill>
                          <w14:schemeClr w14:val="tx1"/>
                        </w14:solidFill>
                      </w14:textFill>
                    </w:rPr>
                    <w:t>锅炉</w:t>
                  </w:r>
                </w:p>
              </w:tc>
              <w:tc>
                <w:tcPr>
                  <w:tcW w:w="970" w:type="pct"/>
                  <w:tcBorders>
                    <w:tl2br w:val="nil"/>
                    <w:tr2bl w:val="nil"/>
                  </w:tcBorders>
                  <w:noWrap w:val="0"/>
                  <w:vAlign w:val="center"/>
                </w:tcPr>
                <w:p w14:paraId="18DB4FD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pacing w:val="0"/>
                      <w:kern w:val="2"/>
                      <w:sz w:val="21"/>
                      <w:szCs w:val="21"/>
                      <w:highlight w:val="none"/>
                      <w:lang w:val="en-US" w:eastAsia="zh-CN" w:bidi="ar-SA"/>
                      <w14:textFill>
                        <w14:solidFill>
                          <w14:schemeClr w14:val="tx1"/>
                        </w14:solidFill>
                      </w14:textFill>
                    </w:rPr>
                    <w:t>废离子交换树脂</w:t>
                  </w:r>
                </w:p>
              </w:tc>
              <w:tc>
                <w:tcPr>
                  <w:tcW w:w="642" w:type="pct"/>
                  <w:tcBorders>
                    <w:tl2br w:val="nil"/>
                    <w:tr2bl w:val="nil"/>
                  </w:tcBorders>
                  <w:noWrap w:val="0"/>
                  <w:vAlign w:val="center"/>
                </w:tcPr>
                <w:p w14:paraId="4612C3F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间断</w:t>
                  </w:r>
                </w:p>
              </w:tc>
              <w:tc>
                <w:tcPr>
                  <w:tcW w:w="2016" w:type="pct"/>
                  <w:tcBorders>
                    <w:tl2br w:val="nil"/>
                    <w:tr2bl w:val="nil"/>
                  </w:tcBorders>
                  <w:noWrap w:val="0"/>
                  <w:vAlign w:val="center"/>
                </w:tcPr>
                <w:p w14:paraId="1ACD099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pacing w:val="0"/>
                      <w:kern w:val="2"/>
                      <w:sz w:val="21"/>
                      <w:szCs w:val="21"/>
                      <w:highlight w:val="none"/>
                      <w:lang w:val="en-US" w:eastAsia="zh-CN" w:bidi="ar-SA"/>
                      <w14:textFill>
                        <w14:solidFill>
                          <w14:schemeClr w14:val="tx1"/>
                        </w14:solidFill>
                      </w14:textFill>
                    </w:rPr>
                    <w:t>厂家回收</w:t>
                  </w:r>
                </w:p>
              </w:tc>
            </w:tr>
            <w:tr w14:paraId="03BABCA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Merge w:val="continue"/>
                  <w:tcBorders>
                    <w:tl2br w:val="nil"/>
                    <w:tr2bl w:val="nil"/>
                  </w:tcBorders>
                  <w:noWrap w:val="0"/>
                  <w:vAlign w:val="center"/>
                </w:tcPr>
                <w:p w14:paraId="6CA3B73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pPr>
                </w:p>
              </w:tc>
              <w:tc>
                <w:tcPr>
                  <w:tcW w:w="946" w:type="pct"/>
                  <w:vMerge w:val="continue"/>
                  <w:tcBorders>
                    <w:tl2br w:val="nil"/>
                    <w:tr2bl w:val="nil"/>
                  </w:tcBorders>
                  <w:noWrap w:val="0"/>
                  <w:vAlign w:val="center"/>
                </w:tcPr>
                <w:p w14:paraId="15587913">
                  <w:pPr>
                    <w:keepNext w:val="0"/>
                    <w:keepLines w:val="0"/>
                    <w:pageBreakBefore w:val="0"/>
                    <w:kinsoku/>
                    <w:wordWrap/>
                    <w:overflowPunct/>
                    <w:topLinePunct w:val="0"/>
                    <w:bidi w:val="0"/>
                    <w:spacing w:line="280" w:lineRule="exact"/>
                    <w:jc w:val="center"/>
                    <w:textAlignment w:val="auto"/>
                    <w:rPr>
                      <w:rFonts w:hint="default" w:ascii="Times New Roman" w:hAnsi="Times New Roman" w:cs="Times New Roman"/>
                      <w:color w:val="000000" w:themeColor="text1"/>
                      <w:spacing w:val="0"/>
                      <w:kern w:val="2"/>
                      <w:sz w:val="21"/>
                      <w:szCs w:val="21"/>
                      <w:highlight w:val="none"/>
                      <w:lang w:val="en-US" w:eastAsia="zh-CN" w:bidi="ar-SA"/>
                      <w14:textFill>
                        <w14:solidFill>
                          <w14:schemeClr w14:val="tx1"/>
                        </w14:solidFill>
                      </w14:textFill>
                    </w:rPr>
                  </w:pPr>
                </w:p>
              </w:tc>
              <w:tc>
                <w:tcPr>
                  <w:tcW w:w="970" w:type="pct"/>
                  <w:tcBorders>
                    <w:tl2br w:val="nil"/>
                    <w:tr2bl w:val="nil"/>
                  </w:tcBorders>
                  <w:noWrap w:val="0"/>
                  <w:vAlign w:val="center"/>
                </w:tcPr>
                <w:p w14:paraId="12522F4E">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pacing w:val="0"/>
                      <w:kern w:val="2"/>
                      <w:sz w:val="21"/>
                      <w:szCs w:val="21"/>
                      <w:highlight w:val="none"/>
                      <w:lang w:val="en-US" w:eastAsia="zh-CN" w:bidi="ar-SA"/>
                      <w14:textFill>
                        <w14:solidFill>
                          <w14:schemeClr w14:val="tx1"/>
                        </w14:solidFill>
                      </w14:textFill>
                    </w:rPr>
                    <w:t>灰渣</w:t>
                  </w:r>
                </w:p>
              </w:tc>
              <w:tc>
                <w:tcPr>
                  <w:tcW w:w="642" w:type="pct"/>
                  <w:tcBorders>
                    <w:tl2br w:val="nil"/>
                    <w:tr2bl w:val="nil"/>
                  </w:tcBorders>
                  <w:noWrap w:val="0"/>
                  <w:vAlign w:val="center"/>
                </w:tcPr>
                <w:p w14:paraId="39B3FC8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间断</w:t>
                  </w:r>
                </w:p>
              </w:tc>
              <w:tc>
                <w:tcPr>
                  <w:tcW w:w="2016" w:type="pct"/>
                  <w:tcBorders>
                    <w:tl2br w:val="nil"/>
                    <w:tr2bl w:val="nil"/>
                  </w:tcBorders>
                  <w:noWrap w:val="0"/>
                  <w:vAlign w:val="center"/>
                </w:tcPr>
                <w:p w14:paraId="5014F9A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pacing w:val="0"/>
                      <w:kern w:val="2"/>
                      <w:sz w:val="21"/>
                      <w:szCs w:val="21"/>
                      <w:highlight w:val="none"/>
                      <w:lang w:val="en-US" w:eastAsia="zh-CN" w:bidi="ar-SA"/>
                      <w14:textFill>
                        <w14:solidFill>
                          <w14:schemeClr w14:val="tx1"/>
                        </w14:solidFill>
                      </w14:textFill>
                    </w:rPr>
                    <w:t>外售给有能力的有机肥厂综合利用</w:t>
                  </w:r>
                </w:p>
              </w:tc>
            </w:tr>
            <w:tr w14:paraId="0A9BEFD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Merge w:val="continue"/>
                  <w:tcBorders>
                    <w:tl2br w:val="nil"/>
                    <w:tr2bl w:val="nil"/>
                  </w:tcBorders>
                  <w:noWrap w:val="0"/>
                  <w:vAlign w:val="center"/>
                </w:tcPr>
                <w:p w14:paraId="1FD1A06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pPr>
                </w:p>
              </w:tc>
              <w:tc>
                <w:tcPr>
                  <w:tcW w:w="946" w:type="pct"/>
                  <w:vMerge w:val="continue"/>
                  <w:tcBorders>
                    <w:tl2br w:val="nil"/>
                    <w:tr2bl w:val="nil"/>
                  </w:tcBorders>
                  <w:noWrap w:val="0"/>
                  <w:vAlign w:val="center"/>
                </w:tcPr>
                <w:p w14:paraId="3AC50827">
                  <w:pPr>
                    <w:keepNext w:val="0"/>
                    <w:keepLines w:val="0"/>
                    <w:pageBreakBefore w:val="0"/>
                    <w:kinsoku/>
                    <w:wordWrap/>
                    <w:overflowPunct/>
                    <w:topLinePunct w:val="0"/>
                    <w:bidi w:val="0"/>
                    <w:spacing w:line="280" w:lineRule="exact"/>
                    <w:jc w:val="center"/>
                    <w:textAlignment w:val="auto"/>
                    <w:rPr>
                      <w:rFonts w:hint="default" w:ascii="Times New Roman" w:hAnsi="Times New Roman" w:cs="Times New Roman"/>
                      <w:color w:val="000000" w:themeColor="text1"/>
                      <w:spacing w:val="0"/>
                      <w:kern w:val="2"/>
                      <w:sz w:val="21"/>
                      <w:szCs w:val="21"/>
                      <w:highlight w:val="none"/>
                      <w:lang w:val="en-US" w:eastAsia="zh-CN" w:bidi="ar-SA"/>
                      <w14:textFill>
                        <w14:solidFill>
                          <w14:schemeClr w14:val="tx1"/>
                        </w14:solidFill>
                      </w14:textFill>
                    </w:rPr>
                  </w:pPr>
                </w:p>
              </w:tc>
              <w:tc>
                <w:tcPr>
                  <w:tcW w:w="970" w:type="pct"/>
                  <w:tcBorders>
                    <w:tl2br w:val="nil"/>
                    <w:tr2bl w:val="nil"/>
                  </w:tcBorders>
                  <w:noWrap w:val="0"/>
                  <w:vAlign w:val="center"/>
                </w:tcPr>
                <w:p w14:paraId="210FA3F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pacing w:val="0"/>
                      <w:kern w:val="2"/>
                      <w:sz w:val="21"/>
                      <w:szCs w:val="21"/>
                      <w:highlight w:val="none"/>
                      <w:lang w:val="en-US" w:eastAsia="zh-CN" w:bidi="ar-SA"/>
                      <w14:textFill>
                        <w14:solidFill>
                          <w14:schemeClr w14:val="tx1"/>
                        </w14:solidFill>
                      </w14:textFill>
                    </w:rPr>
                    <w:t>废旧布袋</w:t>
                  </w:r>
                </w:p>
              </w:tc>
              <w:tc>
                <w:tcPr>
                  <w:tcW w:w="642" w:type="pct"/>
                  <w:tcBorders>
                    <w:tl2br w:val="nil"/>
                    <w:tr2bl w:val="nil"/>
                  </w:tcBorders>
                  <w:noWrap w:val="0"/>
                  <w:vAlign w:val="center"/>
                </w:tcPr>
                <w:p w14:paraId="7335FC3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间断</w:t>
                  </w:r>
                </w:p>
              </w:tc>
              <w:tc>
                <w:tcPr>
                  <w:tcW w:w="2016" w:type="pct"/>
                  <w:tcBorders>
                    <w:tl2br w:val="nil"/>
                    <w:tr2bl w:val="nil"/>
                  </w:tcBorders>
                  <w:noWrap w:val="0"/>
                  <w:vAlign w:val="center"/>
                </w:tcPr>
                <w:p w14:paraId="510515B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pacing w:val="0"/>
                      <w:kern w:val="2"/>
                      <w:sz w:val="21"/>
                      <w:szCs w:val="21"/>
                      <w:highlight w:val="none"/>
                      <w:lang w:val="en-US" w:eastAsia="zh-CN" w:bidi="ar-SA"/>
                      <w14:textFill>
                        <w14:solidFill>
                          <w14:schemeClr w14:val="tx1"/>
                        </w14:solidFill>
                      </w14:textFill>
                    </w:rPr>
                    <w:t>厂家回收</w:t>
                  </w:r>
                </w:p>
              </w:tc>
            </w:tr>
          </w:tbl>
          <w:p w14:paraId="08DB4060">
            <w:pPr>
              <w:adjustRightInd w:val="0"/>
              <w:snapToGrid w:val="0"/>
              <w:jc w:val="both"/>
              <w:rPr>
                <w:rFonts w:hint="default" w:ascii="Times New Roman" w:hAnsi="Times New Roman" w:eastAsia="宋体" w:cs="Times New Roman"/>
                <w:bCs/>
                <w:color w:val="000000" w:themeColor="text1"/>
                <w:szCs w:val="21"/>
                <w:highlight w:val="none"/>
                <w14:textFill>
                  <w14:solidFill>
                    <w14:schemeClr w14:val="tx1"/>
                  </w14:solidFill>
                </w14:textFill>
              </w:rPr>
            </w:pPr>
          </w:p>
        </w:tc>
      </w:tr>
      <w:tr w14:paraId="4E7D94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743" w:type="dxa"/>
            <w:noWrap w:val="0"/>
            <w:vAlign w:val="center"/>
          </w:tcPr>
          <w:p w14:paraId="47E065E0">
            <w:pPr>
              <w:adjustRightInd w:val="0"/>
              <w:snapToGrid w:val="0"/>
              <w:spacing w:before="0" w:beforeAutospacing="0" w:after="0" w:afterAutospacing="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kern w:val="2"/>
                <w:sz w:val="21"/>
                <w:szCs w:val="21"/>
                <w:highlight w:val="none"/>
                <w14:textFill>
                  <w14:solidFill>
                    <w14:schemeClr w14:val="tx1"/>
                  </w14:solidFill>
                </w14:textFill>
              </w:rPr>
              <w:t>与项目有关的原有环境污染问题</w:t>
            </w:r>
          </w:p>
        </w:tc>
        <w:tc>
          <w:tcPr>
            <w:tcW w:w="8317" w:type="dxa"/>
            <w:noWrap w:val="0"/>
            <w:vAlign w:val="center"/>
          </w:tcPr>
          <w:p w14:paraId="139A3E27">
            <w:pPr>
              <w:pStyle w:val="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FF0000"/>
                <w:kern w:val="2"/>
                <w:sz w:val="24"/>
                <w:szCs w:val="24"/>
                <w:highlight w:val="none"/>
                <w:lang w:val="en-US" w:eastAsia="zh-CN" w:bidi="ar-SA"/>
              </w:rPr>
            </w:pPr>
            <w:r>
              <w:rPr>
                <w:rFonts w:hint="eastAsia" w:cs="Times New Roman"/>
                <w:color w:val="FF0000"/>
                <w:kern w:val="2"/>
                <w:sz w:val="24"/>
                <w:szCs w:val="24"/>
                <w:highlight w:val="none"/>
                <w:lang w:val="en-US" w:eastAsia="zh-CN" w:bidi="ar-SA"/>
              </w:rPr>
              <w:t>1原有项目情况</w:t>
            </w:r>
          </w:p>
          <w:p w14:paraId="5903C0FF">
            <w:pPr>
              <w:pStyle w:val="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kern w:val="2"/>
                <w:sz w:val="24"/>
                <w:szCs w:val="24"/>
                <w:highlight w:val="none"/>
                <w:lang w:val="en-US" w:eastAsia="zh-CN" w:bidi="ar-SA"/>
              </w:rPr>
            </w:pPr>
            <w:r>
              <w:rPr>
                <w:rFonts w:hint="default" w:ascii="Times New Roman" w:hAnsi="Times New Roman" w:eastAsia="宋体" w:cs="Times New Roman"/>
                <w:color w:val="FF0000"/>
                <w:kern w:val="2"/>
                <w:sz w:val="24"/>
                <w:szCs w:val="24"/>
                <w:highlight w:val="none"/>
                <w:lang w:val="en-US" w:eastAsia="zh-CN" w:bidi="ar-SA"/>
              </w:rPr>
              <w:t>本项目为扩建项目，双鸭山森远木业有限公司成立于2014年，于2019年6月完成《双鸭山森远木业有限公司禾香板生产及定制家具加工建设项目环境影响评价报告表》。双鸭山市生态环境局于2019年7月24日出具《关于双鸭山森远木业有限公司禾香板生产及定制家具加工建设项目环境影响评价报告表的批复》（双环函</w:t>
            </w:r>
            <w:r>
              <w:rPr>
                <w:rFonts w:hint="eastAsia" w:eastAsia="宋体" w:cs="Times New Roman"/>
                <w:color w:val="FF0000"/>
                <w:kern w:val="2"/>
                <w:sz w:val="24"/>
                <w:szCs w:val="24"/>
                <w:highlight w:val="none"/>
                <w:lang w:val="en-US" w:eastAsia="zh-CN" w:bidi="ar-SA"/>
              </w:rPr>
              <w:t>〔2019〕60号</w:t>
            </w:r>
            <w:r>
              <w:rPr>
                <w:rFonts w:hint="default" w:ascii="Times New Roman" w:hAnsi="Times New Roman" w:eastAsia="宋体" w:cs="Times New Roman"/>
                <w:color w:val="FF0000"/>
                <w:kern w:val="2"/>
                <w:sz w:val="24"/>
                <w:szCs w:val="24"/>
                <w:highlight w:val="none"/>
                <w:lang w:val="en-US" w:eastAsia="zh-CN" w:bidi="ar-SA"/>
              </w:rPr>
              <w:t>）。并于2019年12月建成，由于新冠病毒疫情原因及市场原因，至今，企业尚未开工生产。</w:t>
            </w:r>
          </w:p>
          <w:p w14:paraId="1CE90BA9">
            <w:pPr>
              <w:pStyle w:val="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kern w:val="2"/>
                <w:sz w:val="24"/>
                <w:szCs w:val="24"/>
                <w:highlight w:val="none"/>
                <w:lang w:val="en-US" w:eastAsia="zh-CN" w:bidi="ar-SA"/>
              </w:rPr>
            </w:pPr>
            <w:r>
              <w:rPr>
                <w:rFonts w:hint="default" w:ascii="Times New Roman" w:hAnsi="Times New Roman" w:eastAsia="宋体" w:cs="Times New Roman"/>
                <w:color w:val="FF0000"/>
                <w:kern w:val="2"/>
                <w:sz w:val="24"/>
                <w:szCs w:val="24"/>
                <w:highlight w:val="none"/>
                <w:lang w:val="en-US" w:eastAsia="zh-CN" w:bidi="ar-SA"/>
              </w:rPr>
              <w:t>该企业目前</w:t>
            </w:r>
            <w:r>
              <w:rPr>
                <w:rFonts w:hint="eastAsia" w:eastAsia="宋体" w:cs="Times New Roman"/>
                <w:color w:val="FF0000"/>
                <w:kern w:val="2"/>
                <w:sz w:val="24"/>
                <w:szCs w:val="24"/>
                <w:highlight w:val="none"/>
                <w:lang w:val="en-US" w:eastAsia="zh-CN" w:bidi="ar-SA"/>
              </w:rPr>
              <w:t>尚未</w:t>
            </w:r>
            <w:r>
              <w:rPr>
                <w:rFonts w:hint="default" w:ascii="Times New Roman" w:hAnsi="Times New Roman" w:eastAsia="宋体" w:cs="Times New Roman"/>
                <w:color w:val="FF0000"/>
                <w:kern w:val="2"/>
                <w:sz w:val="24"/>
                <w:szCs w:val="24"/>
                <w:highlight w:val="none"/>
                <w:lang w:val="en-US" w:eastAsia="zh-CN" w:bidi="ar-SA"/>
              </w:rPr>
              <w:t>进行生产，无运营期实际污染物产生及排放，企业已批复项目应按原环评报告及其批复要求落实污染防治措施要求，执行“三同时”管理制度，试生产前应申领排污许可证并开展建设项目环境保护竣工验收，该企业现状不存在环境问题。</w:t>
            </w:r>
          </w:p>
          <w:p w14:paraId="2361DECE">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0"/>
              <w:rPr>
                <w:rFonts w:hint="default" w:ascii="Times New Roman" w:hAnsi="Times New Roman" w:eastAsia="宋体" w:cs="Times New Roman"/>
                <w:color w:val="FF0000"/>
                <w:sz w:val="24"/>
                <w:szCs w:val="24"/>
              </w:rPr>
            </w:pPr>
            <w:bookmarkStart w:id="9" w:name="_Toc32747"/>
            <w:r>
              <w:rPr>
                <w:rFonts w:hint="default" w:ascii="Times New Roman" w:hAnsi="Times New Roman" w:eastAsia="宋体" w:cs="Times New Roman"/>
                <w:b/>
                <w:bCs/>
                <w:color w:val="FF0000"/>
                <w:spacing w:val="4"/>
                <w:sz w:val="24"/>
                <w:szCs w:val="24"/>
              </w:rPr>
              <w:t>表</w:t>
            </w:r>
            <w:r>
              <w:rPr>
                <w:rFonts w:hint="default" w:ascii="Times New Roman" w:hAnsi="Times New Roman" w:eastAsia="宋体" w:cs="Times New Roman"/>
                <w:b/>
                <w:bCs/>
                <w:color w:val="FF0000"/>
                <w:spacing w:val="4"/>
                <w:sz w:val="24"/>
                <w:szCs w:val="24"/>
                <w:lang w:val="en-US" w:eastAsia="zh-CN"/>
              </w:rPr>
              <w:t>2-</w:t>
            </w:r>
            <w:r>
              <w:rPr>
                <w:rFonts w:hint="eastAsia" w:cs="Times New Roman"/>
                <w:b/>
                <w:bCs/>
                <w:color w:val="FF0000"/>
                <w:spacing w:val="4"/>
                <w:sz w:val="24"/>
                <w:szCs w:val="24"/>
                <w:lang w:val="en-US" w:eastAsia="zh-CN"/>
              </w:rPr>
              <w:t>6</w:t>
            </w:r>
            <w:r>
              <w:rPr>
                <w:rFonts w:hint="default" w:ascii="Times New Roman" w:hAnsi="Times New Roman" w:eastAsia="宋体" w:cs="Times New Roman"/>
                <w:b/>
                <w:bCs/>
                <w:color w:val="FF0000"/>
                <w:spacing w:val="4"/>
                <w:sz w:val="24"/>
                <w:szCs w:val="24"/>
              </w:rPr>
              <w:t>主要建设内容一览表</w:t>
            </w:r>
            <w:bookmarkEnd w:id="9"/>
          </w:p>
          <w:p w14:paraId="17EAB15C">
            <w:pPr>
              <w:spacing w:line="34" w:lineRule="exact"/>
              <w:rPr>
                <w:color w:val="FF0000"/>
              </w:rPr>
            </w:pPr>
          </w:p>
          <w:tbl>
            <w:tblPr>
              <w:tblStyle w:val="25"/>
              <w:tblW w:w="5016" w:type="pct"/>
              <w:tblInd w:w="0" w:type="dxa"/>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860"/>
              <w:gridCol w:w="335"/>
              <w:gridCol w:w="1098"/>
              <w:gridCol w:w="896"/>
              <w:gridCol w:w="4091"/>
              <w:gridCol w:w="847"/>
            </w:tblGrid>
            <w:tr w14:paraId="6C49F64E">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29" w:type="pct"/>
                  <w:vAlign w:val="center"/>
                </w:tcPr>
                <w:p w14:paraId="491439D4">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工程类型</w:t>
                  </w:r>
                </w:p>
              </w:tc>
              <w:tc>
                <w:tcPr>
                  <w:tcW w:w="881" w:type="pct"/>
                  <w:gridSpan w:val="2"/>
                  <w:vAlign w:val="center"/>
                </w:tcPr>
                <w:p w14:paraId="0E9215FC">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工程名称</w:t>
                  </w:r>
                </w:p>
              </w:tc>
              <w:tc>
                <w:tcPr>
                  <w:tcW w:w="551" w:type="pct"/>
                  <w:vAlign w:val="center"/>
                </w:tcPr>
                <w:p w14:paraId="5A2039DB">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建筑面积(m²)</w:t>
                  </w:r>
                </w:p>
              </w:tc>
              <w:tc>
                <w:tcPr>
                  <w:tcW w:w="2516" w:type="pct"/>
                  <w:vAlign w:val="center"/>
                </w:tcPr>
                <w:p w14:paraId="268F8C45">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建设内容</w:t>
                  </w:r>
                </w:p>
              </w:tc>
              <w:tc>
                <w:tcPr>
                  <w:tcW w:w="520" w:type="pct"/>
                  <w:vAlign w:val="center"/>
                </w:tcPr>
                <w:p w14:paraId="3C8E387B">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备注</w:t>
                  </w:r>
                </w:p>
              </w:tc>
            </w:tr>
            <w:tr w14:paraId="60DCD9A3">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29" w:type="pct"/>
                  <w:vMerge w:val="restart"/>
                  <w:tcBorders>
                    <w:bottom w:val="nil"/>
                  </w:tcBorders>
                  <w:vAlign w:val="center"/>
                </w:tcPr>
                <w:p w14:paraId="1A44828A">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主体工程</w:t>
                  </w:r>
                </w:p>
              </w:tc>
              <w:tc>
                <w:tcPr>
                  <w:tcW w:w="881" w:type="pct"/>
                  <w:gridSpan w:val="2"/>
                  <w:vAlign w:val="center"/>
                </w:tcPr>
                <w:p w14:paraId="6B03E1E4">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生产车间</w:t>
                  </w:r>
                </w:p>
              </w:tc>
              <w:tc>
                <w:tcPr>
                  <w:tcW w:w="551" w:type="pct"/>
                  <w:vAlign w:val="center"/>
                </w:tcPr>
                <w:p w14:paraId="2E64BAE4">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3840</w:t>
                  </w:r>
                </w:p>
              </w:tc>
              <w:tc>
                <w:tcPr>
                  <w:tcW w:w="3036" w:type="pct"/>
                  <w:gridSpan w:val="2"/>
                  <w:vAlign w:val="center"/>
                </w:tcPr>
                <w:p w14:paraId="57EEC09C">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both"/>
                    <w:textAlignment w:val="baseline"/>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sz w:val="21"/>
                      <w:szCs w:val="21"/>
                    </w:rPr>
                    <w:t>双层建筑，一层框架结构，二层为钢结构，建有禾香板材生产线1条，设备1(套);家具加工生产线1条，设备10台(套)</w:t>
                  </w:r>
                  <w:r>
                    <w:rPr>
                      <w:rFonts w:hint="eastAsia"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一层墙角处设危废暂存间</w:t>
                  </w:r>
                  <w:r>
                    <w:rPr>
                      <w:rFonts w:hint="eastAsia" w:ascii="Times New Roman" w:hAnsi="Times New Roman" w:cs="Times New Roman"/>
                      <w:color w:val="FF0000"/>
                      <w:sz w:val="21"/>
                      <w:szCs w:val="21"/>
                      <w:lang w:eastAsia="zh-CN"/>
                    </w:rPr>
                    <w:t>。</w:t>
                  </w:r>
                </w:p>
              </w:tc>
            </w:tr>
            <w:tr w14:paraId="4B2C6B0D">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29" w:type="pct"/>
                  <w:vMerge w:val="continue"/>
                  <w:tcBorders>
                    <w:top w:val="nil"/>
                  </w:tcBorders>
                  <w:vAlign w:val="center"/>
                </w:tcPr>
                <w:p w14:paraId="28B6792E">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881" w:type="pct"/>
                  <w:gridSpan w:val="2"/>
                  <w:vAlign w:val="center"/>
                </w:tcPr>
                <w:p w14:paraId="74D4F378">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综合楼</w:t>
                  </w:r>
                </w:p>
              </w:tc>
              <w:tc>
                <w:tcPr>
                  <w:tcW w:w="551" w:type="pct"/>
                  <w:vAlign w:val="center"/>
                </w:tcPr>
                <w:p w14:paraId="5A0F77BF">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3818</w:t>
                  </w:r>
                </w:p>
              </w:tc>
              <w:tc>
                <w:tcPr>
                  <w:tcW w:w="3036" w:type="pct"/>
                  <w:gridSpan w:val="2"/>
                  <w:vAlign w:val="center"/>
                </w:tcPr>
                <w:p w14:paraId="5B095D02">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both"/>
                    <w:textAlignment w:val="baseline"/>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sz w:val="21"/>
                      <w:szCs w:val="21"/>
                    </w:rPr>
                    <w:t>3层建筑，框架结构，含食堂、办公室、消防泵房、变配电室等，一层预留消防通道</w:t>
                  </w:r>
                  <w:r>
                    <w:rPr>
                      <w:rFonts w:hint="eastAsia" w:ascii="Times New Roman" w:hAnsi="Times New Roman" w:cs="Times New Roman"/>
                      <w:color w:val="FF0000"/>
                      <w:sz w:val="21"/>
                      <w:szCs w:val="21"/>
                      <w:lang w:eastAsia="zh-CN"/>
                    </w:rPr>
                    <w:t>。</w:t>
                  </w:r>
                </w:p>
              </w:tc>
            </w:tr>
            <w:tr w14:paraId="2D73F873">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29" w:type="pct"/>
                  <w:vAlign w:val="center"/>
                </w:tcPr>
                <w:p w14:paraId="7FF17197">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储运工程</w:t>
                  </w:r>
                </w:p>
              </w:tc>
              <w:tc>
                <w:tcPr>
                  <w:tcW w:w="881" w:type="pct"/>
                  <w:gridSpan w:val="2"/>
                  <w:vAlign w:val="center"/>
                </w:tcPr>
                <w:p w14:paraId="6DF63048">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仓库</w:t>
                  </w:r>
                </w:p>
              </w:tc>
              <w:tc>
                <w:tcPr>
                  <w:tcW w:w="551" w:type="pct"/>
                  <w:vAlign w:val="center"/>
                </w:tcPr>
                <w:p w14:paraId="1579F051">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480</w:t>
                  </w:r>
                </w:p>
              </w:tc>
              <w:tc>
                <w:tcPr>
                  <w:tcW w:w="3036" w:type="pct"/>
                  <w:gridSpan w:val="2"/>
                  <w:vAlign w:val="center"/>
                </w:tcPr>
                <w:p w14:paraId="64436835">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both"/>
                    <w:textAlignment w:val="baseline"/>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sz w:val="21"/>
                      <w:szCs w:val="21"/>
                    </w:rPr>
                    <w:t>钢结构、单层建筑，分为原材料区及成品区</w:t>
                  </w:r>
                  <w:r>
                    <w:rPr>
                      <w:rFonts w:hint="eastAsia" w:ascii="Times New Roman" w:hAnsi="Times New Roman" w:cs="Times New Roman"/>
                      <w:color w:val="FF0000"/>
                      <w:sz w:val="21"/>
                      <w:szCs w:val="21"/>
                      <w:lang w:eastAsia="zh-CN"/>
                    </w:rPr>
                    <w:t>。</w:t>
                  </w:r>
                </w:p>
              </w:tc>
            </w:tr>
            <w:tr w14:paraId="60EC2D07">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29" w:type="pct"/>
                  <w:vMerge w:val="restart"/>
                  <w:tcBorders>
                    <w:bottom w:val="nil"/>
                  </w:tcBorders>
                  <w:vAlign w:val="center"/>
                </w:tcPr>
                <w:p w14:paraId="185360D8">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公用工程</w:t>
                  </w:r>
                </w:p>
              </w:tc>
              <w:tc>
                <w:tcPr>
                  <w:tcW w:w="881" w:type="pct"/>
                  <w:gridSpan w:val="2"/>
                  <w:vAlign w:val="center"/>
                </w:tcPr>
                <w:p w14:paraId="77A69982">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给水工程</w:t>
                  </w:r>
                </w:p>
              </w:tc>
              <w:tc>
                <w:tcPr>
                  <w:tcW w:w="3588" w:type="pct"/>
                  <w:gridSpan w:val="3"/>
                  <w:vAlign w:val="center"/>
                </w:tcPr>
                <w:p w14:paraId="496489F4">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both"/>
                    <w:textAlignment w:val="baseline"/>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sz w:val="21"/>
                      <w:szCs w:val="21"/>
                    </w:rPr>
                    <w:t>生活用水由市政管网提供</w:t>
                  </w:r>
                  <w:r>
                    <w:rPr>
                      <w:rFonts w:hint="eastAsia" w:ascii="Times New Roman" w:hAnsi="Times New Roman" w:cs="Times New Roman"/>
                      <w:color w:val="FF0000"/>
                      <w:sz w:val="21"/>
                      <w:szCs w:val="21"/>
                      <w:lang w:eastAsia="zh-CN"/>
                    </w:rPr>
                    <w:t>。</w:t>
                  </w:r>
                </w:p>
              </w:tc>
            </w:tr>
            <w:tr w14:paraId="3DEC1CC2">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PrEx>
              <w:trPr>
                <w:trHeight w:val="397" w:hRule="atLeast"/>
              </w:trPr>
              <w:tc>
                <w:tcPr>
                  <w:tcW w:w="529" w:type="pct"/>
                  <w:vMerge w:val="continue"/>
                  <w:tcBorders>
                    <w:top w:val="nil"/>
                    <w:bottom w:val="nil"/>
                  </w:tcBorders>
                  <w:vAlign w:val="center"/>
                </w:tcPr>
                <w:p w14:paraId="796C2C15">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881" w:type="pct"/>
                  <w:gridSpan w:val="2"/>
                  <w:vAlign w:val="center"/>
                </w:tcPr>
                <w:p w14:paraId="22520CC0">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排水工程</w:t>
                  </w:r>
                </w:p>
              </w:tc>
              <w:tc>
                <w:tcPr>
                  <w:tcW w:w="3588" w:type="pct"/>
                  <w:gridSpan w:val="3"/>
                  <w:vAlign w:val="center"/>
                </w:tcPr>
                <w:p w14:paraId="1B618B81">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both"/>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排入化粪池，由市政环卫部门统一清运，待尖山区窑地路在建的污水管网工程完工后接入市政污水管网。</w:t>
                  </w:r>
                </w:p>
              </w:tc>
            </w:tr>
            <w:tr w14:paraId="643DCC5B">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29" w:type="pct"/>
                  <w:vMerge w:val="continue"/>
                  <w:tcBorders>
                    <w:top w:val="nil"/>
                    <w:bottom w:val="nil"/>
                  </w:tcBorders>
                  <w:vAlign w:val="center"/>
                </w:tcPr>
                <w:p w14:paraId="6E832C51">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881" w:type="pct"/>
                  <w:gridSpan w:val="2"/>
                  <w:vAlign w:val="center"/>
                </w:tcPr>
                <w:p w14:paraId="07D4A1D3">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供电工程</w:t>
                  </w:r>
                </w:p>
              </w:tc>
              <w:tc>
                <w:tcPr>
                  <w:tcW w:w="3588" w:type="pct"/>
                  <w:gridSpan w:val="3"/>
                  <w:vAlign w:val="center"/>
                </w:tcPr>
                <w:p w14:paraId="0A5E2BD6">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both"/>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由市政供电局供给</w:t>
                  </w:r>
                </w:p>
              </w:tc>
            </w:tr>
            <w:tr w14:paraId="2F46F35B">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29" w:type="pct"/>
                  <w:vMerge w:val="continue"/>
                  <w:tcBorders>
                    <w:top w:val="nil"/>
                  </w:tcBorders>
                  <w:vAlign w:val="center"/>
                </w:tcPr>
                <w:p w14:paraId="691B1DD0">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881" w:type="pct"/>
                  <w:gridSpan w:val="2"/>
                  <w:vAlign w:val="center"/>
                </w:tcPr>
                <w:p w14:paraId="2F7D884F">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供热工程</w:t>
                  </w:r>
                </w:p>
              </w:tc>
              <w:tc>
                <w:tcPr>
                  <w:tcW w:w="3588" w:type="pct"/>
                  <w:gridSpan w:val="3"/>
                  <w:vAlign w:val="center"/>
                </w:tcPr>
                <w:p w14:paraId="366DBCCC">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both"/>
                    <w:textAlignment w:val="baseline"/>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sz w:val="21"/>
                      <w:szCs w:val="21"/>
                    </w:rPr>
                    <w:t>厂区供暖期综合楼、生产车间供暖由双鸭山市双达供热有限公司供热，供热面积</w:t>
                  </w:r>
                  <w:r>
                    <w:rPr>
                      <w:rFonts w:hint="eastAsia" w:ascii="Times New Roman" w:hAnsi="Times New Roman" w:cs="Times New Roman"/>
                      <w:color w:val="FF0000"/>
                      <w:sz w:val="21"/>
                      <w:szCs w:val="21"/>
                      <w:lang w:eastAsia="zh-CN"/>
                    </w:rPr>
                    <w:t>7637.2</w:t>
                  </w:r>
                  <w:r>
                    <w:rPr>
                      <w:rFonts w:hint="default" w:ascii="Times New Roman" w:hAnsi="Times New Roman" w:cs="Times New Roman"/>
                      <w:color w:val="FF0000"/>
                      <w:sz w:val="21"/>
                      <w:szCs w:val="21"/>
                    </w:rPr>
                    <w:t>m²</w:t>
                  </w:r>
                  <w:r>
                    <w:rPr>
                      <w:rFonts w:hint="eastAsia"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拟建一台0.5t/h电加热蒸汽锅炉用于生产供热</w:t>
                  </w:r>
                  <w:r>
                    <w:rPr>
                      <w:rFonts w:hint="eastAsia" w:ascii="Times New Roman" w:hAnsi="Times New Roman" w:cs="Times New Roman"/>
                      <w:color w:val="FF0000"/>
                      <w:sz w:val="21"/>
                      <w:szCs w:val="21"/>
                      <w:lang w:eastAsia="zh-CN"/>
                    </w:rPr>
                    <w:t>。</w:t>
                  </w:r>
                </w:p>
              </w:tc>
            </w:tr>
            <w:tr w14:paraId="0035A2FA">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29" w:type="pct"/>
                  <w:vMerge w:val="restart"/>
                  <w:tcBorders>
                    <w:bottom w:val="nil"/>
                  </w:tcBorders>
                  <w:vAlign w:val="center"/>
                </w:tcPr>
                <w:p w14:paraId="78A6C331">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环保</w:t>
                  </w:r>
                </w:p>
                <w:p w14:paraId="3D4AA747">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工程</w:t>
                  </w:r>
                </w:p>
              </w:tc>
              <w:tc>
                <w:tcPr>
                  <w:tcW w:w="881" w:type="pct"/>
                  <w:gridSpan w:val="2"/>
                  <w:vAlign w:val="center"/>
                </w:tcPr>
                <w:p w14:paraId="34315895">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废水处理</w:t>
                  </w:r>
                </w:p>
              </w:tc>
              <w:tc>
                <w:tcPr>
                  <w:tcW w:w="3588" w:type="pct"/>
                  <w:gridSpan w:val="3"/>
                  <w:vAlign w:val="center"/>
                </w:tcPr>
                <w:p w14:paraId="67D2436E">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both"/>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排入化粪池，由市政环卫部门统一清运，待尖山区窑地路在建的污水管网工程完工后接入市政污水管网。</w:t>
                  </w:r>
                </w:p>
              </w:tc>
            </w:tr>
            <w:tr w14:paraId="5771B5AD">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29" w:type="pct"/>
                  <w:vMerge w:val="continue"/>
                  <w:tcBorders>
                    <w:top w:val="nil"/>
                    <w:bottom w:val="nil"/>
                  </w:tcBorders>
                  <w:vAlign w:val="center"/>
                </w:tcPr>
                <w:p w14:paraId="424C2DAB">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881" w:type="pct"/>
                  <w:gridSpan w:val="2"/>
                  <w:vAlign w:val="center"/>
                </w:tcPr>
                <w:p w14:paraId="3DC596E7">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噪声处理装置</w:t>
                  </w:r>
                </w:p>
              </w:tc>
              <w:tc>
                <w:tcPr>
                  <w:tcW w:w="3588" w:type="pct"/>
                  <w:gridSpan w:val="3"/>
                  <w:vAlign w:val="center"/>
                </w:tcPr>
                <w:p w14:paraId="6837D1E2">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both"/>
                    <w:textAlignment w:val="baseline"/>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sz w:val="21"/>
                      <w:szCs w:val="21"/>
                    </w:rPr>
                    <w:t>产生噪声的设备选用低噪声设备、采用隔声和减振等措施</w:t>
                  </w:r>
                  <w:r>
                    <w:rPr>
                      <w:rFonts w:hint="eastAsia" w:ascii="Times New Roman" w:hAnsi="Times New Roman" w:cs="Times New Roman"/>
                      <w:color w:val="FF0000"/>
                      <w:sz w:val="21"/>
                      <w:szCs w:val="21"/>
                      <w:lang w:eastAsia="zh-CN"/>
                    </w:rPr>
                    <w:t>。</w:t>
                  </w:r>
                </w:p>
              </w:tc>
            </w:tr>
            <w:tr w14:paraId="58D63FE1">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29" w:type="pct"/>
                  <w:vMerge w:val="continue"/>
                  <w:tcBorders>
                    <w:top w:val="nil"/>
                    <w:bottom w:val="nil"/>
                  </w:tcBorders>
                  <w:vAlign w:val="center"/>
                </w:tcPr>
                <w:p w14:paraId="1C0C143B">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881" w:type="pct"/>
                  <w:gridSpan w:val="2"/>
                  <w:vMerge w:val="restart"/>
                  <w:tcBorders>
                    <w:bottom w:val="nil"/>
                  </w:tcBorders>
                  <w:vAlign w:val="center"/>
                </w:tcPr>
                <w:p w14:paraId="2F8B0D2A">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固体废物处置</w:t>
                  </w:r>
                </w:p>
              </w:tc>
              <w:tc>
                <w:tcPr>
                  <w:tcW w:w="3588" w:type="pct"/>
                  <w:gridSpan w:val="3"/>
                  <w:vAlign w:val="center"/>
                </w:tcPr>
                <w:p w14:paraId="79B39043">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both"/>
                    <w:textAlignment w:val="baseline"/>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sz w:val="21"/>
                      <w:szCs w:val="21"/>
                    </w:rPr>
                    <w:t>车间产生的边角废料、不合格产品集中收集，外卖综合利用</w:t>
                  </w:r>
                  <w:r>
                    <w:rPr>
                      <w:rFonts w:hint="eastAsia" w:ascii="Times New Roman" w:hAnsi="Times New Roman" w:cs="Times New Roman"/>
                      <w:color w:val="FF0000"/>
                      <w:sz w:val="21"/>
                      <w:szCs w:val="21"/>
                      <w:lang w:eastAsia="zh-CN"/>
                    </w:rPr>
                    <w:t>。</w:t>
                  </w:r>
                </w:p>
              </w:tc>
            </w:tr>
            <w:tr w14:paraId="47DD3F4B">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29" w:type="pct"/>
                  <w:vMerge w:val="continue"/>
                  <w:tcBorders>
                    <w:top w:val="nil"/>
                    <w:bottom w:val="nil"/>
                  </w:tcBorders>
                  <w:vAlign w:val="center"/>
                </w:tcPr>
                <w:p w14:paraId="24356B78">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881" w:type="pct"/>
                  <w:gridSpan w:val="2"/>
                  <w:vMerge w:val="continue"/>
                  <w:tcBorders>
                    <w:top w:val="nil"/>
                    <w:bottom w:val="nil"/>
                  </w:tcBorders>
                  <w:vAlign w:val="center"/>
                </w:tcPr>
                <w:p w14:paraId="22C23AEC">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3588" w:type="pct"/>
                  <w:gridSpan w:val="3"/>
                  <w:vAlign w:val="center"/>
                </w:tcPr>
                <w:p w14:paraId="60C936F1">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both"/>
                    <w:textAlignment w:val="baseline"/>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sz w:val="21"/>
                      <w:szCs w:val="21"/>
                    </w:rPr>
                    <w:t>生活垃圾由市政环卫部门统一清运</w:t>
                  </w:r>
                  <w:r>
                    <w:rPr>
                      <w:rFonts w:hint="eastAsia" w:ascii="Times New Roman" w:hAnsi="Times New Roman" w:cs="Times New Roman"/>
                      <w:color w:val="FF0000"/>
                      <w:sz w:val="21"/>
                      <w:szCs w:val="21"/>
                      <w:lang w:eastAsia="zh-CN"/>
                    </w:rPr>
                    <w:t>。</w:t>
                  </w:r>
                </w:p>
              </w:tc>
            </w:tr>
            <w:tr w14:paraId="7BC933CE">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29" w:type="pct"/>
                  <w:vMerge w:val="continue"/>
                  <w:tcBorders>
                    <w:top w:val="nil"/>
                    <w:bottom w:val="nil"/>
                  </w:tcBorders>
                  <w:vAlign w:val="center"/>
                </w:tcPr>
                <w:p w14:paraId="058F7E65">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881" w:type="pct"/>
                  <w:gridSpan w:val="2"/>
                  <w:vMerge w:val="continue"/>
                  <w:tcBorders>
                    <w:top w:val="nil"/>
                  </w:tcBorders>
                  <w:vAlign w:val="center"/>
                </w:tcPr>
                <w:p w14:paraId="05B0214E">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3588" w:type="pct"/>
                  <w:gridSpan w:val="3"/>
                  <w:vAlign w:val="center"/>
                </w:tcPr>
                <w:p w14:paraId="1681BC89">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both"/>
                    <w:textAlignment w:val="baseline"/>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sz w:val="21"/>
                      <w:szCs w:val="21"/>
                    </w:rPr>
                    <w:t>项目车间设危险废物暂存间，砖混结构，废胶、漆渣、废过滤棉、废活性炭集中收集，分别存放于单独容器中，暂存于危险废物暂存间，统一交由有资质单位处置；废油漆桶、废胶桶暂存于危险废物暂存间，送回厂家回收利用，暂存间基础做防渗，采用2mm厚的高密度聚乙烯，渗透系数≤1.0×10</w:t>
                  </w:r>
                  <w:r>
                    <w:rPr>
                      <w:rFonts w:hint="default" w:ascii="Times New Roman" w:hAnsi="Times New Roman" w:cs="Times New Roman"/>
                      <w:color w:val="FF0000"/>
                      <w:sz w:val="21"/>
                      <w:szCs w:val="21"/>
                      <w:vertAlign w:val="superscript"/>
                    </w:rPr>
                    <w:t>-10</w:t>
                  </w:r>
                  <w:r>
                    <w:rPr>
                      <w:rFonts w:hint="default" w:ascii="Times New Roman" w:hAnsi="Times New Roman" w:cs="Times New Roman"/>
                      <w:color w:val="FF0000"/>
                      <w:sz w:val="21"/>
                      <w:szCs w:val="21"/>
                    </w:rPr>
                    <w:t>cm/s</w:t>
                  </w:r>
                  <w:r>
                    <w:rPr>
                      <w:rFonts w:hint="eastAsia" w:ascii="Times New Roman" w:hAnsi="Times New Roman" w:cs="Times New Roman"/>
                      <w:color w:val="FF0000"/>
                      <w:sz w:val="21"/>
                      <w:szCs w:val="21"/>
                      <w:lang w:eastAsia="zh-CN"/>
                    </w:rPr>
                    <w:t>。</w:t>
                  </w:r>
                </w:p>
              </w:tc>
            </w:tr>
            <w:tr w14:paraId="088BC9C9">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29" w:type="pct"/>
                  <w:vMerge w:val="continue"/>
                  <w:tcBorders>
                    <w:top w:val="nil"/>
                    <w:bottom w:val="nil"/>
                  </w:tcBorders>
                  <w:vAlign w:val="center"/>
                </w:tcPr>
                <w:p w14:paraId="023DBBF1">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206" w:type="pct"/>
                  <w:vMerge w:val="restart"/>
                  <w:tcBorders>
                    <w:bottom w:val="nil"/>
                  </w:tcBorders>
                  <w:textDirection w:val="tbRlV"/>
                  <w:vAlign w:val="center"/>
                </w:tcPr>
                <w:p w14:paraId="686DA0A5">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废气处理</w:t>
                  </w:r>
                </w:p>
              </w:tc>
              <w:tc>
                <w:tcPr>
                  <w:tcW w:w="674" w:type="pct"/>
                  <w:vAlign w:val="center"/>
                </w:tcPr>
                <w:p w14:paraId="223FD25B">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切割粉尘</w:t>
                  </w:r>
                </w:p>
              </w:tc>
              <w:tc>
                <w:tcPr>
                  <w:tcW w:w="3588" w:type="pct"/>
                  <w:gridSpan w:val="3"/>
                  <w:vAlign w:val="center"/>
                </w:tcPr>
                <w:p w14:paraId="19C4C6D4">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both"/>
                    <w:textAlignment w:val="baseline"/>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sz w:val="21"/>
                      <w:szCs w:val="21"/>
                    </w:rPr>
                    <w:t>推台锯配布袋除尘器处理(处理效率99%)</w:t>
                  </w:r>
                  <w:r>
                    <w:rPr>
                      <w:rFonts w:hint="eastAsia" w:ascii="Times New Roman" w:hAnsi="Times New Roman" w:cs="Times New Roman"/>
                      <w:color w:val="FF0000"/>
                      <w:sz w:val="21"/>
                      <w:szCs w:val="21"/>
                      <w:lang w:eastAsia="zh-CN"/>
                    </w:rPr>
                    <w:t>。</w:t>
                  </w:r>
                </w:p>
              </w:tc>
            </w:tr>
            <w:tr w14:paraId="6F6A898B">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29" w:type="pct"/>
                  <w:vMerge w:val="continue"/>
                  <w:tcBorders>
                    <w:top w:val="nil"/>
                    <w:bottom w:val="nil"/>
                  </w:tcBorders>
                  <w:vAlign w:val="center"/>
                </w:tcPr>
                <w:p w14:paraId="13265CD7">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206" w:type="pct"/>
                  <w:vMerge w:val="continue"/>
                  <w:tcBorders>
                    <w:top w:val="nil"/>
                    <w:bottom w:val="nil"/>
                  </w:tcBorders>
                  <w:textDirection w:val="tbRlV"/>
                  <w:vAlign w:val="center"/>
                </w:tcPr>
                <w:p w14:paraId="66860E25">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674" w:type="pct"/>
                  <w:vAlign w:val="center"/>
                </w:tcPr>
                <w:p w14:paraId="27E36D4A">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热压废气</w:t>
                  </w:r>
                </w:p>
              </w:tc>
              <w:tc>
                <w:tcPr>
                  <w:tcW w:w="3588" w:type="pct"/>
                  <w:gridSpan w:val="3"/>
                  <w:vAlign w:val="center"/>
                </w:tcPr>
                <w:p w14:paraId="04FEC3EB">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both"/>
                    <w:textAlignment w:val="baseline"/>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sz w:val="21"/>
                      <w:szCs w:val="21"/>
                    </w:rPr>
                    <w:t>密闭工序，设置处理效率为80%以上的活性炭吸附装置处理后的废气经</w:t>
                  </w:r>
                  <w:r>
                    <w:rPr>
                      <w:rFonts w:hint="eastAsia" w:ascii="Times New Roman" w:hAnsi="Times New Roman" w:cs="Times New Roman"/>
                      <w:color w:val="FF0000"/>
                      <w:sz w:val="21"/>
                      <w:szCs w:val="21"/>
                      <w:lang w:val="en-US" w:eastAsia="zh-CN"/>
                    </w:rPr>
                    <w:t>15</w:t>
                  </w:r>
                  <w:r>
                    <w:rPr>
                      <w:rFonts w:hint="default" w:ascii="Times New Roman" w:hAnsi="Times New Roman" w:cs="Times New Roman"/>
                      <w:color w:val="FF0000"/>
                      <w:sz w:val="21"/>
                      <w:szCs w:val="21"/>
                    </w:rPr>
                    <w:t>m高排气筒排放</w:t>
                  </w:r>
                  <w:r>
                    <w:rPr>
                      <w:rFonts w:hint="eastAsia" w:ascii="Times New Roman" w:hAnsi="Times New Roman" w:cs="Times New Roman"/>
                      <w:color w:val="FF0000"/>
                      <w:sz w:val="21"/>
                      <w:szCs w:val="21"/>
                      <w:lang w:eastAsia="zh-CN"/>
                    </w:rPr>
                    <w:t>。</w:t>
                  </w:r>
                </w:p>
              </w:tc>
            </w:tr>
            <w:tr w14:paraId="5625D6E2">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29" w:type="pct"/>
                  <w:vMerge w:val="continue"/>
                  <w:tcBorders>
                    <w:top w:val="nil"/>
                    <w:bottom w:val="nil"/>
                  </w:tcBorders>
                  <w:vAlign w:val="center"/>
                </w:tcPr>
                <w:p w14:paraId="30BF1FF8">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206" w:type="pct"/>
                  <w:vMerge w:val="continue"/>
                  <w:tcBorders>
                    <w:top w:val="nil"/>
                    <w:bottom w:val="nil"/>
                  </w:tcBorders>
                  <w:textDirection w:val="tbRlV"/>
                  <w:vAlign w:val="center"/>
                </w:tcPr>
                <w:p w14:paraId="43F62416">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674" w:type="pct"/>
                  <w:vAlign w:val="center"/>
                </w:tcPr>
                <w:p w14:paraId="5CCCC806">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喷漆废气</w:t>
                  </w:r>
                </w:p>
              </w:tc>
              <w:tc>
                <w:tcPr>
                  <w:tcW w:w="3588" w:type="pct"/>
                  <w:gridSpan w:val="3"/>
                  <w:vAlign w:val="center"/>
                </w:tcPr>
                <w:p w14:paraId="558017C6">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both"/>
                    <w:textAlignment w:val="baseline"/>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sz w:val="21"/>
                      <w:szCs w:val="21"/>
                    </w:rPr>
                    <w:t>漆雾经过滤棉过滤(吸附效率按90%计)</w:t>
                  </w:r>
                  <w:r>
                    <w:rPr>
                      <w:rFonts w:hint="eastAsia"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有机废气设置处理效率为80%以上的活性炭吸附装置，处理后的废气经15m高排气筒排放</w:t>
                  </w:r>
                  <w:r>
                    <w:rPr>
                      <w:rFonts w:hint="eastAsia" w:ascii="Times New Roman" w:hAnsi="Times New Roman" w:cs="Times New Roman"/>
                      <w:color w:val="FF0000"/>
                      <w:sz w:val="21"/>
                      <w:szCs w:val="21"/>
                      <w:lang w:eastAsia="zh-CN"/>
                    </w:rPr>
                    <w:t>。</w:t>
                  </w:r>
                </w:p>
              </w:tc>
            </w:tr>
            <w:tr w14:paraId="49C521FA">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29" w:type="pct"/>
                  <w:vMerge w:val="continue"/>
                  <w:tcBorders>
                    <w:top w:val="nil"/>
                  </w:tcBorders>
                  <w:vAlign w:val="center"/>
                </w:tcPr>
                <w:p w14:paraId="2E2CC6BD">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206" w:type="pct"/>
                  <w:vMerge w:val="continue"/>
                  <w:tcBorders>
                    <w:top w:val="nil"/>
                  </w:tcBorders>
                  <w:textDirection w:val="tbRlV"/>
                  <w:vAlign w:val="center"/>
                </w:tcPr>
                <w:p w14:paraId="5C300C5A">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p>
              </w:tc>
              <w:tc>
                <w:tcPr>
                  <w:tcW w:w="674" w:type="pct"/>
                  <w:vAlign w:val="center"/>
                </w:tcPr>
                <w:p w14:paraId="7DA01969">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center"/>
                    <w:textAlignment w:val="baseline"/>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餐饮油烟</w:t>
                  </w:r>
                </w:p>
              </w:tc>
              <w:tc>
                <w:tcPr>
                  <w:tcW w:w="3588" w:type="pct"/>
                  <w:gridSpan w:val="3"/>
                  <w:vAlign w:val="center"/>
                </w:tcPr>
                <w:p w14:paraId="1B442539">
                  <w:pPr>
                    <w:pStyle w:val="43"/>
                    <w:keepNext w:val="0"/>
                    <w:keepLines w:val="0"/>
                    <w:pageBreakBefore w:val="0"/>
                    <w:widowControl/>
                    <w:kinsoku w:val="0"/>
                    <w:wordWrap/>
                    <w:overflowPunct/>
                    <w:topLinePunct w:val="0"/>
                    <w:autoSpaceDE w:val="0"/>
                    <w:autoSpaceDN w:val="0"/>
                    <w:bidi w:val="0"/>
                    <w:adjustRightInd w:val="0"/>
                    <w:snapToGrid w:val="0"/>
                    <w:spacing w:line="226" w:lineRule="auto"/>
                    <w:jc w:val="both"/>
                    <w:textAlignment w:val="baseline"/>
                    <w:rPr>
                      <w:rFonts w:hint="eastAsia" w:ascii="Times New Roman" w:hAnsi="Times New Roman" w:eastAsia="宋体" w:cs="Times New Roman"/>
                      <w:color w:val="FF0000"/>
                      <w:sz w:val="21"/>
                      <w:szCs w:val="21"/>
                      <w:lang w:eastAsia="zh-CN"/>
                    </w:rPr>
                  </w:pPr>
                  <w:r>
                    <w:rPr>
                      <w:rFonts w:hint="default" w:ascii="Times New Roman" w:hAnsi="Times New Roman" w:cs="Times New Roman"/>
                      <w:color w:val="FF0000"/>
                      <w:sz w:val="21"/>
                      <w:szCs w:val="21"/>
                    </w:rPr>
                    <w:t>使用油烟去除率不低于60%的油烟净化器处理</w:t>
                  </w:r>
                  <w:r>
                    <w:rPr>
                      <w:rFonts w:hint="eastAsia" w:ascii="Times New Roman" w:hAnsi="Times New Roman" w:cs="Times New Roman"/>
                      <w:color w:val="FF0000"/>
                      <w:sz w:val="21"/>
                      <w:szCs w:val="21"/>
                      <w:lang w:eastAsia="zh-CN"/>
                    </w:rPr>
                    <w:t>。</w:t>
                  </w:r>
                </w:p>
              </w:tc>
            </w:tr>
          </w:tbl>
          <w:p w14:paraId="66BA270C">
            <w:pPr>
              <w:pStyle w:val="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kern w:val="2"/>
                <w:sz w:val="24"/>
                <w:szCs w:val="24"/>
                <w:highlight w:val="none"/>
                <w:lang w:val="en-US" w:eastAsia="zh-CN" w:bidi="ar-SA"/>
              </w:rPr>
            </w:pPr>
            <w:r>
              <w:rPr>
                <w:rFonts w:hint="eastAsia" w:cs="Times New Roman"/>
                <w:color w:val="FF0000"/>
                <w:kern w:val="2"/>
                <w:sz w:val="24"/>
                <w:szCs w:val="24"/>
                <w:highlight w:val="none"/>
                <w:lang w:val="en-US" w:eastAsia="zh-CN" w:bidi="ar-SA"/>
              </w:rPr>
              <w:t>生产运营期间</w:t>
            </w:r>
            <w:r>
              <w:rPr>
                <w:rFonts w:hint="default" w:ascii="Times New Roman" w:hAnsi="Times New Roman" w:eastAsia="宋体" w:cs="Times New Roman"/>
                <w:color w:val="FF0000"/>
                <w:kern w:val="2"/>
                <w:sz w:val="24"/>
                <w:szCs w:val="24"/>
                <w:highlight w:val="none"/>
                <w:lang w:val="en-US" w:eastAsia="zh-CN" w:bidi="ar-SA"/>
              </w:rPr>
              <w:t>，加工粉尘、热压废气、喷漆废气通过15m高的排气筒排出，并在排气筒</w:t>
            </w:r>
            <w:r>
              <w:rPr>
                <w:rFonts w:hint="eastAsia" w:eastAsia="宋体" w:cs="Times New Roman"/>
                <w:color w:val="FF0000"/>
                <w:kern w:val="2"/>
                <w:sz w:val="24"/>
                <w:szCs w:val="24"/>
                <w:highlight w:val="none"/>
                <w:lang w:val="en-US" w:eastAsia="zh-CN" w:bidi="ar-SA"/>
              </w:rPr>
              <w:t>前端</w:t>
            </w:r>
            <w:r>
              <w:rPr>
                <w:rFonts w:hint="default" w:ascii="Times New Roman" w:hAnsi="Times New Roman" w:eastAsia="宋体" w:cs="Times New Roman"/>
                <w:color w:val="FF0000"/>
                <w:kern w:val="2"/>
                <w:sz w:val="24"/>
                <w:szCs w:val="24"/>
                <w:highlight w:val="none"/>
                <w:lang w:val="en-US" w:eastAsia="zh-CN" w:bidi="ar-SA"/>
              </w:rPr>
              <w:t>设置活性炭吸附装置</w:t>
            </w:r>
            <w:r>
              <w:rPr>
                <w:rFonts w:hint="eastAsia" w:eastAsia="宋体" w:cs="Times New Roman"/>
                <w:color w:val="FF0000"/>
                <w:kern w:val="2"/>
                <w:sz w:val="24"/>
                <w:szCs w:val="24"/>
                <w:highlight w:val="none"/>
                <w:lang w:val="en-US" w:eastAsia="zh-CN" w:bidi="ar-SA"/>
              </w:rPr>
              <w:t>；</w:t>
            </w:r>
            <w:r>
              <w:rPr>
                <w:rFonts w:hint="default" w:ascii="Times New Roman" w:hAnsi="Times New Roman" w:eastAsia="宋体" w:cs="Times New Roman"/>
                <w:color w:val="FF0000"/>
                <w:kern w:val="2"/>
                <w:sz w:val="24"/>
                <w:szCs w:val="24"/>
                <w:highlight w:val="none"/>
                <w:lang w:val="en-US" w:eastAsia="zh-CN" w:bidi="ar-SA"/>
              </w:rPr>
              <w:t>食堂油烟净化设备净化后要满足《饮食业油烟排放标准</w:t>
            </w:r>
            <w:r>
              <w:rPr>
                <w:rFonts w:hint="eastAsia" w:eastAsia="宋体" w:cs="Times New Roman"/>
                <w:color w:val="FF0000"/>
                <w:kern w:val="2"/>
                <w:sz w:val="24"/>
                <w:szCs w:val="24"/>
                <w:highlight w:val="none"/>
                <w:lang w:val="en-US" w:eastAsia="zh-CN" w:bidi="ar-SA"/>
              </w:rPr>
              <w:t>（</w:t>
            </w:r>
            <w:r>
              <w:rPr>
                <w:rFonts w:hint="default" w:ascii="Times New Roman" w:hAnsi="Times New Roman" w:eastAsia="宋体" w:cs="Times New Roman"/>
                <w:color w:val="FF0000"/>
                <w:kern w:val="2"/>
                <w:sz w:val="24"/>
                <w:szCs w:val="24"/>
                <w:highlight w:val="none"/>
                <w:lang w:val="en-US" w:eastAsia="zh-CN" w:bidi="ar-SA"/>
              </w:rPr>
              <w:t>试行</w:t>
            </w:r>
            <w:r>
              <w:rPr>
                <w:rFonts w:hint="eastAsia" w:eastAsia="宋体" w:cs="Times New Roman"/>
                <w:color w:val="FF0000"/>
                <w:kern w:val="2"/>
                <w:sz w:val="24"/>
                <w:szCs w:val="24"/>
                <w:highlight w:val="none"/>
                <w:lang w:val="en-US" w:eastAsia="zh-CN" w:bidi="ar-SA"/>
              </w:rPr>
              <w:t>）</w:t>
            </w:r>
            <w:r>
              <w:rPr>
                <w:rFonts w:hint="default" w:ascii="Times New Roman" w:hAnsi="Times New Roman" w:eastAsia="宋体" w:cs="Times New Roman"/>
                <w:color w:val="FF0000"/>
                <w:kern w:val="2"/>
                <w:sz w:val="24"/>
                <w:szCs w:val="24"/>
                <w:highlight w:val="none"/>
                <w:lang w:val="en-US" w:eastAsia="zh-CN" w:bidi="ar-SA"/>
              </w:rPr>
              <w:t>》</w:t>
            </w:r>
            <w:r>
              <w:rPr>
                <w:rFonts w:hint="eastAsia" w:eastAsia="宋体" w:cs="Times New Roman"/>
                <w:color w:val="FF0000"/>
                <w:kern w:val="2"/>
                <w:sz w:val="24"/>
                <w:szCs w:val="24"/>
                <w:highlight w:val="none"/>
                <w:lang w:val="en-US" w:eastAsia="zh-CN" w:bidi="ar-SA"/>
              </w:rPr>
              <w:t>（</w:t>
            </w:r>
            <w:r>
              <w:rPr>
                <w:rFonts w:hint="default" w:ascii="Times New Roman" w:hAnsi="Times New Roman" w:eastAsia="宋体" w:cs="Times New Roman"/>
                <w:color w:val="FF0000"/>
                <w:kern w:val="2"/>
                <w:sz w:val="24"/>
                <w:szCs w:val="24"/>
                <w:highlight w:val="none"/>
                <w:lang w:val="en-US" w:eastAsia="zh-CN" w:bidi="ar-SA"/>
              </w:rPr>
              <w:t>GB18483-2001</w:t>
            </w:r>
            <w:r>
              <w:rPr>
                <w:rFonts w:hint="eastAsia" w:eastAsia="宋体" w:cs="Times New Roman"/>
                <w:color w:val="FF0000"/>
                <w:kern w:val="2"/>
                <w:sz w:val="24"/>
                <w:szCs w:val="24"/>
                <w:highlight w:val="none"/>
                <w:lang w:val="en-US" w:eastAsia="zh-CN" w:bidi="ar-SA"/>
              </w:rPr>
              <w:t>）</w:t>
            </w:r>
            <w:r>
              <w:rPr>
                <w:rFonts w:hint="default" w:ascii="Times New Roman" w:hAnsi="Times New Roman" w:eastAsia="宋体" w:cs="Times New Roman"/>
                <w:color w:val="FF0000"/>
                <w:kern w:val="2"/>
                <w:sz w:val="24"/>
                <w:szCs w:val="24"/>
                <w:highlight w:val="none"/>
                <w:lang w:val="en-US" w:eastAsia="zh-CN" w:bidi="ar-SA"/>
              </w:rPr>
              <w:t>的要求。运营</w:t>
            </w:r>
            <w:r>
              <w:rPr>
                <w:rFonts w:hint="eastAsia" w:eastAsia="宋体" w:cs="Times New Roman"/>
                <w:color w:val="FF0000"/>
                <w:kern w:val="2"/>
                <w:sz w:val="24"/>
                <w:szCs w:val="24"/>
                <w:highlight w:val="none"/>
                <w:lang w:val="en-US" w:eastAsia="zh-CN" w:bidi="ar-SA"/>
              </w:rPr>
              <w:t>期间</w:t>
            </w:r>
            <w:r>
              <w:rPr>
                <w:rFonts w:hint="default" w:ascii="Times New Roman" w:hAnsi="Times New Roman" w:eastAsia="宋体" w:cs="Times New Roman"/>
                <w:color w:val="FF0000"/>
                <w:kern w:val="2"/>
                <w:sz w:val="24"/>
                <w:szCs w:val="24"/>
                <w:highlight w:val="none"/>
                <w:lang w:val="en-US" w:eastAsia="zh-CN" w:bidi="ar-SA"/>
              </w:rPr>
              <w:t>该项目喷漆设备均不需清洗，无生产废水</w:t>
            </w:r>
            <w:r>
              <w:rPr>
                <w:rFonts w:hint="eastAsia" w:eastAsia="宋体" w:cs="Times New Roman"/>
                <w:color w:val="FF0000"/>
                <w:kern w:val="2"/>
                <w:sz w:val="24"/>
                <w:szCs w:val="24"/>
                <w:highlight w:val="none"/>
                <w:lang w:val="en-US" w:eastAsia="zh-CN" w:bidi="ar-SA"/>
              </w:rPr>
              <w:t>；</w:t>
            </w:r>
            <w:r>
              <w:rPr>
                <w:rFonts w:hint="default" w:ascii="Times New Roman" w:hAnsi="Times New Roman" w:eastAsia="宋体" w:cs="Times New Roman"/>
                <w:color w:val="FF0000"/>
                <w:kern w:val="2"/>
                <w:sz w:val="24"/>
                <w:szCs w:val="24"/>
                <w:highlight w:val="none"/>
                <w:lang w:val="en-US" w:eastAsia="zh-CN" w:bidi="ar-SA"/>
              </w:rPr>
              <w:t>食堂废水经隔油池处理后与</w:t>
            </w:r>
            <w:r>
              <w:rPr>
                <w:rFonts w:hint="eastAsia" w:eastAsia="宋体" w:cs="Times New Roman"/>
                <w:color w:val="FF0000"/>
                <w:kern w:val="2"/>
                <w:sz w:val="24"/>
                <w:szCs w:val="24"/>
                <w:highlight w:val="none"/>
                <w:lang w:val="en-US" w:eastAsia="zh-CN" w:bidi="ar-SA"/>
              </w:rPr>
              <w:t>生活污水</w:t>
            </w:r>
            <w:r>
              <w:rPr>
                <w:rFonts w:hint="default" w:ascii="Times New Roman" w:hAnsi="Times New Roman" w:eastAsia="宋体" w:cs="Times New Roman"/>
                <w:color w:val="FF0000"/>
                <w:kern w:val="2"/>
                <w:sz w:val="24"/>
                <w:szCs w:val="24"/>
                <w:highlight w:val="none"/>
                <w:lang w:val="en-US" w:eastAsia="zh-CN" w:bidi="ar-SA"/>
              </w:rPr>
              <w:t>一同排入化粪池，由市政环卫部门统一清运，待尖山区窑地路在建的污水管网工程完工后接入市政污水管网。运营期要选用低噪声设备，做好生产设备的减震基础</w:t>
            </w:r>
            <w:r>
              <w:rPr>
                <w:rFonts w:hint="eastAsia" w:eastAsia="宋体" w:cs="Times New Roman"/>
                <w:color w:val="FF0000"/>
                <w:kern w:val="2"/>
                <w:sz w:val="24"/>
                <w:szCs w:val="24"/>
                <w:highlight w:val="none"/>
                <w:lang w:val="en-US" w:eastAsia="zh-CN" w:bidi="ar-SA"/>
              </w:rPr>
              <w:t>；</w:t>
            </w:r>
            <w:r>
              <w:rPr>
                <w:rFonts w:hint="default" w:ascii="Times New Roman" w:hAnsi="Times New Roman" w:eastAsia="宋体" w:cs="Times New Roman"/>
                <w:color w:val="FF0000"/>
                <w:kern w:val="2"/>
                <w:sz w:val="24"/>
                <w:szCs w:val="24"/>
                <w:highlight w:val="none"/>
                <w:lang w:val="en-US" w:eastAsia="zh-CN" w:bidi="ar-SA"/>
              </w:rPr>
              <w:t>平时注意维护设备，防止因设备故障形成的非正常生产噪声等，厂界噪声要满足《工业企业厂界环境噪声排放标准》</w:t>
            </w:r>
            <w:r>
              <w:rPr>
                <w:rFonts w:hint="eastAsia" w:eastAsia="宋体" w:cs="Times New Roman"/>
                <w:color w:val="FF0000"/>
                <w:kern w:val="2"/>
                <w:sz w:val="24"/>
                <w:szCs w:val="24"/>
                <w:highlight w:val="none"/>
                <w:lang w:val="en-US" w:eastAsia="zh-CN" w:bidi="ar-SA"/>
              </w:rPr>
              <w:t>（</w:t>
            </w:r>
            <w:r>
              <w:rPr>
                <w:rFonts w:hint="default" w:ascii="Times New Roman" w:hAnsi="Times New Roman" w:eastAsia="宋体" w:cs="Times New Roman"/>
                <w:color w:val="FF0000"/>
                <w:kern w:val="2"/>
                <w:sz w:val="24"/>
                <w:szCs w:val="24"/>
                <w:highlight w:val="none"/>
                <w:lang w:val="en-US" w:eastAsia="zh-CN" w:bidi="ar-SA"/>
              </w:rPr>
              <w:t>GB12348-2008</w:t>
            </w:r>
            <w:r>
              <w:rPr>
                <w:rFonts w:hint="eastAsia" w:eastAsia="宋体" w:cs="Times New Roman"/>
                <w:color w:val="FF0000"/>
                <w:kern w:val="2"/>
                <w:sz w:val="24"/>
                <w:szCs w:val="24"/>
                <w:highlight w:val="none"/>
                <w:lang w:val="en-US" w:eastAsia="zh-CN" w:bidi="ar-SA"/>
              </w:rPr>
              <w:t>）</w:t>
            </w:r>
            <w:r>
              <w:rPr>
                <w:rFonts w:hint="default" w:ascii="Times New Roman" w:hAnsi="Times New Roman" w:eastAsia="宋体" w:cs="Times New Roman"/>
                <w:color w:val="FF0000"/>
                <w:kern w:val="2"/>
                <w:sz w:val="24"/>
                <w:szCs w:val="24"/>
                <w:highlight w:val="none"/>
                <w:lang w:val="en-US" w:eastAsia="zh-CN" w:bidi="ar-SA"/>
              </w:rPr>
              <w:t>的要求。车间产生的边角废料、不合格产品集中收集，外卖综合利用。生活垃圾由市政环卫部门统一清运。项目车间设危险废物暂存间，砖混结构，废胶、漆渣、废过滤棉、废活性炭集中收集，分别存放于单独容器中，暂存于危险废物暂存间，统一交由有资质单位处置；废油漆桶、废胶桶暂存于危险废物暂存间，送回厂家回收利用</w:t>
            </w:r>
            <w:r>
              <w:rPr>
                <w:rFonts w:hint="eastAsia" w:cs="Times New Roman"/>
                <w:color w:val="FF0000"/>
                <w:kern w:val="2"/>
                <w:sz w:val="24"/>
                <w:szCs w:val="24"/>
                <w:highlight w:val="none"/>
                <w:lang w:val="en-US" w:eastAsia="zh-CN" w:bidi="ar-SA"/>
              </w:rPr>
              <w:t>。</w:t>
            </w:r>
          </w:p>
          <w:p w14:paraId="5043E4FE">
            <w:pPr>
              <w:pStyle w:val="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kern w:val="2"/>
                <w:sz w:val="24"/>
                <w:szCs w:val="24"/>
                <w:highlight w:val="none"/>
                <w:lang w:val="en-US" w:eastAsia="zh-CN" w:bidi="ar-SA"/>
              </w:rPr>
            </w:pPr>
            <w:r>
              <w:rPr>
                <w:rFonts w:hint="default" w:ascii="Times New Roman" w:hAnsi="Times New Roman" w:eastAsia="宋体" w:cs="Times New Roman"/>
                <w:color w:val="FF0000"/>
                <w:kern w:val="2"/>
                <w:sz w:val="24"/>
                <w:szCs w:val="24"/>
                <w:highlight w:val="none"/>
                <w:lang w:val="en-US" w:eastAsia="zh-CN" w:bidi="ar-SA"/>
              </w:rPr>
              <w:t>依据《双鸭山森远木业有限公司禾香板生产及定制家具加工建设项目环境影响评价报告表》，该企业已批复污染物总量指标为颗粒物0.5t/a、挥发性有机物0.0474t/a。</w:t>
            </w:r>
          </w:p>
          <w:p w14:paraId="1F62D614">
            <w:pPr>
              <w:pStyle w:val="4"/>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cs="Times New Roman"/>
                <w:color w:val="FF0000"/>
                <w:kern w:val="2"/>
                <w:sz w:val="24"/>
                <w:szCs w:val="24"/>
                <w:highlight w:val="none"/>
                <w:lang w:val="en-US" w:eastAsia="zh-CN" w:bidi="ar-SA"/>
              </w:rPr>
            </w:pPr>
            <w:r>
              <w:rPr>
                <w:rFonts w:hint="eastAsia" w:cs="Times New Roman"/>
                <w:color w:val="FF0000"/>
                <w:kern w:val="2"/>
                <w:sz w:val="24"/>
                <w:szCs w:val="24"/>
                <w:highlight w:val="none"/>
                <w:lang w:val="en-US" w:eastAsia="zh-CN" w:bidi="ar-SA"/>
              </w:rPr>
              <w:t>2、原有项目存在问题</w:t>
            </w:r>
          </w:p>
          <w:p w14:paraId="1368790E">
            <w:pPr>
              <w:pStyle w:val="4"/>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kern w:val="2"/>
                <w:sz w:val="24"/>
                <w:szCs w:val="24"/>
                <w:highlight w:val="none"/>
                <w:lang w:val="en-US" w:eastAsia="zh-CN" w:bidi="ar-SA"/>
              </w:rPr>
            </w:pPr>
            <w:r>
              <w:rPr>
                <w:rFonts w:hint="eastAsia" w:cs="Times New Roman"/>
                <w:color w:val="FF0000"/>
                <w:kern w:val="2"/>
                <w:sz w:val="24"/>
                <w:szCs w:val="24"/>
                <w:highlight w:val="none"/>
                <w:lang w:val="en-US" w:eastAsia="zh-CN" w:bidi="ar-SA"/>
              </w:rPr>
              <w:t>（1）原有项目</w:t>
            </w:r>
            <w:r>
              <w:rPr>
                <w:rFonts w:hint="default" w:ascii="Times New Roman" w:hAnsi="Times New Roman" w:eastAsia="宋体" w:cs="Times New Roman"/>
                <w:color w:val="FF0000"/>
                <w:kern w:val="2"/>
                <w:sz w:val="24"/>
                <w:szCs w:val="24"/>
                <w:highlight w:val="none"/>
                <w:lang w:val="en-US" w:eastAsia="zh-CN" w:bidi="ar-SA"/>
              </w:rPr>
              <w:t>于2019年12月建成，由于新冠病毒疫情原因及市场原因，至今，企业尚未</w:t>
            </w:r>
            <w:r>
              <w:rPr>
                <w:rFonts w:hint="eastAsia" w:cs="Times New Roman"/>
                <w:color w:val="FF0000"/>
                <w:kern w:val="2"/>
                <w:sz w:val="24"/>
                <w:szCs w:val="24"/>
                <w:highlight w:val="none"/>
                <w:lang w:val="en-US" w:eastAsia="zh-CN" w:bidi="ar-SA"/>
              </w:rPr>
              <w:t>正式</w:t>
            </w:r>
            <w:r>
              <w:rPr>
                <w:rFonts w:hint="default" w:ascii="Times New Roman" w:hAnsi="Times New Roman" w:eastAsia="宋体" w:cs="Times New Roman"/>
                <w:color w:val="FF0000"/>
                <w:kern w:val="2"/>
                <w:sz w:val="24"/>
                <w:szCs w:val="24"/>
                <w:highlight w:val="none"/>
                <w:lang w:val="en-US" w:eastAsia="zh-CN" w:bidi="ar-SA"/>
              </w:rPr>
              <w:t>开工生产</w:t>
            </w:r>
            <w:r>
              <w:rPr>
                <w:rFonts w:hint="eastAsia" w:cs="Times New Roman"/>
                <w:color w:val="FF0000"/>
                <w:kern w:val="2"/>
                <w:sz w:val="24"/>
                <w:szCs w:val="24"/>
                <w:highlight w:val="none"/>
                <w:lang w:val="en-US" w:eastAsia="zh-CN" w:bidi="ar-SA"/>
              </w:rPr>
              <w:t>，尚未进行建设项目竣工环境保护验收工作</w:t>
            </w:r>
            <w:r>
              <w:rPr>
                <w:rFonts w:hint="default" w:ascii="Times New Roman" w:hAnsi="Times New Roman" w:eastAsia="宋体" w:cs="Times New Roman"/>
                <w:color w:val="FF0000"/>
                <w:kern w:val="2"/>
                <w:sz w:val="24"/>
                <w:szCs w:val="24"/>
                <w:highlight w:val="none"/>
                <w:lang w:val="en-US" w:eastAsia="zh-CN" w:bidi="ar-SA"/>
              </w:rPr>
              <w:t>。</w:t>
            </w:r>
          </w:p>
          <w:p w14:paraId="0F611B9A">
            <w:pPr>
              <w:pStyle w:val="4"/>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s="Times New Roman"/>
                <w:color w:val="FF0000"/>
                <w:kern w:val="2"/>
                <w:sz w:val="24"/>
                <w:szCs w:val="24"/>
                <w:highlight w:val="none"/>
                <w:lang w:val="en-US" w:eastAsia="zh-CN" w:bidi="ar-SA"/>
              </w:rPr>
            </w:pPr>
            <w:r>
              <w:rPr>
                <w:rFonts w:hint="eastAsia" w:cs="Times New Roman"/>
                <w:color w:val="FF0000"/>
                <w:kern w:val="2"/>
                <w:sz w:val="24"/>
                <w:szCs w:val="24"/>
                <w:highlight w:val="none"/>
                <w:lang w:val="en-US" w:eastAsia="zh-CN" w:bidi="ar-SA"/>
              </w:rPr>
              <w:t>（2）原有0.5t/h供热锅炉已拆除。</w:t>
            </w:r>
          </w:p>
          <w:p w14:paraId="13DE6E20">
            <w:pPr>
              <w:pStyle w:val="4"/>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cs="Times New Roman"/>
                <w:color w:val="FF0000"/>
                <w:kern w:val="2"/>
                <w:sz w:val="24"/>
                <w:szCs w:val="24"/>
                <w:highlight w:val="none"/>
                <w:lang w:val="en-US" w:eastAsia="zh-CN" w:bidi="ar-SA"/>
              </w:rPr>
            </w:pPr>
            <w:r>
              <w:rPr>
                <w:rFonts w:hint="eastAsia" w:cs="Times New Roman"/>
                <w:color w:val="FF0000"/>
                <w:kern w:val="2"/>
                <w:sz w:val="24"/>
                <w:szCs w:val="24"/>
                <w:highlight w:val="none"/>
                <w:lang w:val="en-US" w:eastAsia="zh-CN" w:bidi="ar-SA"/>
              </w:rPr>
              <w:t>（3）环保设施长期为使用，生产前确保环保设施的处理效率。</w:t>
            </w:r>
          </w:p>
          <w:p w14:paraId="2AE7BF4D">
            <w:pPr>
              <w:pStyle w:val="4"/>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cs="Times New Roman"/>
                <w:color w:val="FF0000"/>
                <w:kern w:val="2"/>
                <w:sz w:val="24"/>
                <w:szCs w:val="24"/>
                <w:highlight w:val="none"/>
                <w:lang w:val="en-US" w:eastAsia="zh-CN" w:bidi="ar-SA"/>
              </w:rPr>
            </w:pPr>
            <w:r>
              <w:rPr>
                <w:rFonts w:hint="eastAsia" w:cs="Times New Roman"/>
                <w:color w:val="FF0000"/>
                <w:kern w:val="2"/>
                <w:sz w:val="24"/>
                <w:szCs w:val="24"/>
                <w:highlight w:val="none"/>
                <w:lang w:val="en-US" w:eastAsia="zh-CN" w:bidi="ar-SA"/>
              </w:rPr>
              <w:t>3、整改措施</w:t>
            </w:r>
          </w:p>
          <w:p w14:paraId="0A3A0690">
            <w:pPr>
              <w:pStyle w:val="4"/>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FF0000"/>
                <w:kern w:val="2"/>
                <w:sz w:val="24"/>
                <w:szCs w:val="24"/>
                <w:highlight w:val="none"/>
                <w:lang w:val="en-US" w:eastAsia="zh-CN" w:bidi="ar-SA"/>
              </w:rPr>
            </w:pPr>
            <w:r>
              <w:rPr>
                <w:rFonts w:hint="eastAsia" w:cs="Times New Roman"/>
                <w:color w:val="FF0000"/>
                <w:kern w:val="2"/>
                <w:sz w:val="24"/>
                <w:szCs w:val="24"/>
                <w:highlight w:val="none"/>
                <w:lang w:val="en-US" w:eastAsia="zh-CN" w:bidi="ar-SA"/>
              </w:rPr>
              <w:t>（1）尽快完成建设项目竣工环境保护验收工作</w:t>
            </w:r>
            <w:r>
              <w:rPr>
                <w:rFonts w:hint="default" w:ascii="Times New Roman" w:hAnsi="Times New Roman" w:eastAsia="宋体" w:cs="Times New Roman"/>
                <w:color w:val="FF0000"/>
                <w:kern w:val="2"/>
                <w:sz w:val="24"/>
                <w:szCs w:val="24"/>
                <w:highlight w:val="none"/>
                <w:lang w:val="en-US" w:eastAsia="zh-CN" w:bidi="ar-SA"/>
              </w:rPr>
              <w:t>。</w:t>
            </w:r>
          </w:p>
          <w:p w14:paraId="6DE6775F">
            <w:pPr>
              <w:pStyle w:val="4"/>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FF0000"/>
                <w:kern w:val="2"/>
                <w:sz w:val="24"/>
                <w:szCs w:val="24"/>
                <w:highlight w:val="none"/>
                <w:lang w:val="en-US" w:eastAsia="zh-CN" w:bidi="ar-SA"/>
              </w:rPr>
            </w:pPr>
            <w:r>
              <w:rPr>
                <w:rFonts w:hint="eastAsia" w:cs="Times New Roman"/>
                <w:color w:val="FF0000"/>
                <w:kern w:val="2"/>
                <w:sz w:val="24"/>
                <w:szCs w:val="24"/>
                <w:highlight w:val="none"/>
                <w:lang w:val="en-US" w:eastAsia="zh-CN" w:bidi="ar-SA"/>
              </w:rPr>
              <w:t>（2）供热由本项目1.75MW燃生物质锅炉提供。</w:t>
            </w:r>
          </w:p>
          <w:p w14:paraId="54550271">
            <w:pPr>
              <w:pStyle w:val="4"/>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color w:val="FF0000"/>
                <w:kern w:val="2"/>
                <w:sz w:val="24"/>
                <w:szCs w:val="24"/>
                <w:highlight w:val="none"/>
                <w:lang w:val="en-US" w:eastAsia="zh-CN" w:bidi="ar-SA"/>
              </w:rPr>
              <w:t>（3）对环保设施进行检修维护，确保处理效率。</w:t>
            </w:r>
          </w:p>
        </w:tc>
      </w:tr>
    </w:tbl>
    <w:p w14:paraId="36442042">
      <w:pPr>
        <w:jc w:val="center"/>
        <w:rPr>
          <w:rFonts w:hint="default" w:ascii="Times New Roman" w:hAnsi="Times New Roman" w:eastAsia="黑体" w:cs="Times New Roman"/>
          <w:snapToGrid w:val="0"/>
          <w:color w:val="000000" w:themeColor="text1"/>
          <w:sz w:val="36"/>
          <w:szCs w:val="36"/>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54444CC">
      <w:pPr>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bookmarkStart w:id="10" w:name="_Toc24143"/>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三、区域环境质量现状、环境保护目标及评价标准</w:t>
      </w:r>
      <w:bookmarkEnd w:id="10"/>
    </w:p>
    <w:tbl>
      <w:tblPr>
        <w:tblStyle w:val="13"/>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2"/>
        <w:gridCol w:w="8254"/>
      </w:tblGrid>
      <w:tr w14:paraId="30FFE1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76" w:hRule="atLeast"/>
          <w:jc w:val="center"/>
        </w:trPr>
        <w:tc>
          <w:tcPr>
            <w:tcW w:w="802" w:type="dxa"/>
            <w:noWrap w:val="0"/>
            <w:vAlign w:val="center"/>
          </w:tcPr>
          <w:p w14:paraId="578FD7AA">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区域</w:t>
            </w:r>
          </w:p>
          <w:p w14:paraId="1CAA2312">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环境</w:t>
            </w:r>
          </w:p>
          <w:p w14:paraId="3B2EF731">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质量</w:t>
            </w:r>
          </w:p>
          <w:p w14:paraId="3198B867">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现状</w:t>
            </w:r>
          </w:p>
        </w:tc>
        <w:tc>
          <w:tcPr>
            <w:tcW w:w="8254" w:type="dxa"/>
            <w:noWrap w:val="0"/>
            <w:vAlign w:val="center"/>
          </w:tcPr>
          <w:p w14:paraId="42BB222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000000" w:themeColor="text1"/>
                <w:sz w:val="24"/>
                <w:szCs w:val="24"/>
                <w:highlight w:val="none"/>
                <w14:textFill>
                  <w14:solidFill>
                    <w14:schemeClr w14:val="tx1"/>
                  </w14:solidFill>
                </w14:textFill>
              </w:rPr>
            </w:pPr>
            <w:r>
              <w:rPr>
                <w:rFonts w:hint="eastAsia" w:cs="Times New Roman"/>
                <w:b/>
                <w:bCs/>
                <w:color w:val="000000" w:themeColor="text1"/>
                <w:sz w:val="24"/>
                <w:szCs w:val="24"/>
                <w:highlight w:val="none"/>
                <w:lang w:eastAsia="zh-CN"/>
                <w14:textFill>
                  <w14:solidFill>
                    <w14:schemeClr w14:val="tx1"/>
                  </w14:solidFill>
                </w14:textFill>
              </w:rPr>
              <w:t>1.</w:t>
            </w:r>
            <w:r>
              <w:rPr>
                <w:rFonts w:hint="default" w:ascii="Times New Roman" w:hAnsi="Times New Roman" w:cs="Times New Roman"/>
                <w:b/>
                <w:bCs/>
                <w:color w:val="000000" w:themeColor="text1"/>
                <w:sz w:val="24"/>
                <w:szCs w:val="24"/>
                <w:highlight w:val="none"/>
                <w14:textFill>
                  <w14:solidFill>
                    <w14:schemeClr w14:val="tx1"/>
                  </w14:solidFill>
                </w14:textFill>
              </w:rPr>
              <w:t>项目区域环境空气质量现状</w:t>
            </w:r>
          </w:p>
          <w:p w14:paraId="39D45CB7">
            <w:pPr>
              <w:adjustRightInd w:val="0"/>
              <w:snapToGrid w:val="0"/>
              <w:spacing w:line="360" w:lineRule="auto"/>
              <w:ind w:firstLine="480" w:firstLineChars="200"/>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pP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1</w:t>
            </w: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）基本污染物</w:t>
            </w:r>
          </w:p>
          <w:p w14:paraId="78A00443">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本项目位于</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黑龙江省双鸭山市</w:t>
            </w:r>
            <w:r>
              <w:rPr>
                <w:rFonts w:hint="eastAsia" w:cs="Times New Roman" w:eastAsiaTheme="minorEastAsia"/>
                <w:color w:val="000000" w:themeColor="text1"/>
                <w:sz w:val="24"/>
                <w:szCs w:val="24"/>
                <w:highlight w:val="none"/>
                <w:lang w:val="en-US" w:eastAsia="zh-CN"/>
                <w14:textFill>
                  <w14:solidFill>
                    <w14:schemeClr w14:val="tx1"/>
                  </w14:solidFill>
                </w14:textFill>
              </w:rPr>
              <w:t>尖山</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区</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。根据《2024年双鸭山市环境空气质量状况》，双鸭山市202</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年PM</w:t>
            </w:r>
            <w:r>
              <w:rPr>
                <w:rFonts w:hint="default" w:ascii="Times New Roman" w:hAnsi="Times New Roman" w:eastAsia="宋体" w:cs="Times New Roman"/>
                <w:bCs/>
                <w:color w:val="000000" w:themeColor="text1"/>
                <w:sz w:val="24"/>
                <w:szCs w:val="24"/>
                <w:highlight w:val="none"/>
                <w:vertAlign w:val="subscript"/>
                <w:lang w:val="en-US" w:eastAsia="zh-CN"/>
                <w14:textFill>
                  <w14:solidFill>
                    <w14:schemeClr w14:val="tx1"/>
                  </w14:solidFill>
                </w14:textFill>
              </w:rPr>
              <w:t>2.5</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、PM</w:t>
            </w:r>
            <w:r>
              <w:rPr>
                <w:rFonts w:hint="default" w:ascii="Times New Roman" w:hAnsi="Times New Roman" w:eastAsia="宋体" w:cs="Times New Roman"/>
                <w:bCs/>
                <w:color w:val="000000" w:themeColor="text1"/>
                <w:sz w:val="24"/>
                <w:szCs w:val="24"/>
                <w:highlight w:val="none"/>
                <w:vertAlign w:val="subscript"/>
                <w:lang w:val="en-US" w:eastAsia="zh-CN"/>
                <w14:textFill>
                  <w14:solidFill>
                    <w14:schemeClr w14:val="tx1"/>
                  </w14:solidFill>
                </w14:textFill>
              </w:rPr>
              <w:t>10</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、SO</w:t>
            </w:r>
            <w:r>
              <w:rPr>
                <w:rFonts w:hint="default" w:ascii="Times New Roman" w:hAnsi="Times New Roman" w:eastAsia="宋体" w:cs="Times New Roman"/>
                <w:bCs/>
                <w:color w:val="000000" w:themeColor="text1"/>
                <w:sz w:val="24"/>
                <w:szCs w:val="24"/>
                <w:highlight w:val="none"/>
                <w:vertAlign w:val="subscript"/>
                <w:lang w:val="en-US" w:eastAsia="zh-CN"/>
                <w14:textFill>
                  <w14:solidFill>
                    <w14:schemeClr w14:val="tx1"/>
                  </w14:solidFill>
                </w14:textFill>
              </w:rPr>
              <w:t>2</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、NO</w:t>
            </w:r>
            <w:r>
              <w:rPr>
                <w:rFonts w:hint="default" w:ascii="Times New Roman" w:hAnsi="Times New Roman" w:eastAsia="宋体" w:cs="Times New Roman"/>
                <w:bCs/>
                <w:color w:val="000000" w:themeColor="text1"/>
                <w:sz w:val="24"/>
                <w:szCs w:val="24"/>
                <w:highlight w:val="none"/>
                <w:vertAlign w:val="subscript"/>
                <w:lang w:val="en-US" w:eastAsia="zh-CN"/>
                <w14:textFill>
                  <w14:solidFill>
                    <w14:schemeClr w14:val="tx1"/>
                  </w14:solidFill>
                </w14:textFill>
              </w:rPr>
              <w:t>2</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年均浓度分别为2</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7</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μg/m</w:t>
            </w:r>
            <w:r>
              <w:rPr>
                <w:rFonts w:hint="default" w:ascii="Times New Roman" w:hAnsi="Times New Roman" w:eastAsia="宋体" w:cs="Times New Roman"/>
                <w:bCs/>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、4</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μg/m</w:t>
            </w:r>
            <w:r>
              <w:rPr>
                <w:rFonts w:hint="default" w:ascii="Times New Roman" w:hAnsi="Times New Roman" w:eastAsia="宋体" w:cs="Times New Roman"/>
                <w:bCs/>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11</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μg/m</w:t>
            </w:r>
            <w:r>
              <w:rPr>
                <w:rFonts w:hint="default" w:ascii="Times New Roman" w:hAnsi="Times New Roman" w:eastAsia="宋体" w:cs="Times New Roman"/>
                <w:bCs/>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、1</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μg/m</w:t>
            </w:r>
            <w:r>
              <w:rPr>
                <w:rFonts w:hint="default" w:ascii="Times New Roman" w:hAnsi="Times New Roman" w:eastAsia="宋体" w:cs="Times New Roman"/>
                <w:bCs/>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；CO24小时平均第95百分位数为0.</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9</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mg/m</w:t>
            </w:r>
            <w:r>
              <w:rPr>
                <w:rFonts w:hint="default" w:ascii="Times New Roman" w:hAnsi="Times New Roman" w:eastAsia="宋体" w:cs="Times New Roman"/>
                <w:bCs/>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，O3日最大8小时平均第90百分位数为</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105</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μg/m</w:t>
            </w:r>
            <w:r>
              <w:rPr>
                <w:rFonts w:hint="default" w:ascii="Times New Roman" w:hAnsi="Times New Roman" w:eastAsia="宋体" w:cs="Times New Roman"/>
                <w:bCs/>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；各污染物平均浓度均优于《环境空气质量标准》（GB3095-2012）中二级标准及修改单中的二级标准限值。因此项目所在区域为达标区。基本污染物现状监测结果经统计列于表3-1中。</w:t>
            </w:r>
          </w:p>
          <w:p w14:paraId="2237BAB0">
            <w:pPr>
              <w:pStyle w:val="40"/>
              <w:jc w:val="center"/>
              <w:rPr>
                <w:rFonts w:hint="default" w:ascii="Times New Roman" w:hAnsi="Times New Roman" w:eastAsia="宋体" w:cs="Times New Roman"/>
                <w:b/>
                <w:color w:val="000000" w:themeColor="text1"/>
                <w:kern w:val="0"/>
                <w:sz w:val="24"/>
                <w:szCs w:val="20"/>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0"/>
                <w:highlight w:val="none"/>
                <w:lang w:val="en-US" w:eastAsia="zh-CN" w:bidi="ar-SA"/>
                <w14:textFill>
                  <w14:solidFill>
                    <w14:schemeClr w14:val="tx1"/>
                  </w14:solidFill>
                </w14:textFill>
              </w:rPr>
              <w:t>表3-1  区域空气质量现状评价表 单位：</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μ</w:t>
            </w:r>
            <w:r>
              <w:rPr>
                <w:rFonts w:hint="default" w:ascii="Times New Roman" w:hAnsi="Times New Roman" w:eastAsia="宋体" w:cs="Times New Roman"/>
                <w:b/>
                <w:color w:val="000000" w:themeColor="text1"/>
                <w:kern w:val="0"/>
                <w:sz w:val="24"/>
                <w:szCs w:val="20"/>
                <w:highlight w:val="none"/>
                <w:lang w:val="en-US" w:eastAsia="zh-CN" w:bidi="ar-SA"/>
                <w14:textFill>
                  <w14:solidFill>
                    <w14:schemeClr w14:val="tx1"/>
                  </w14:solidFill>
                </w14:textFill>
              </w:rPr>
              <w:t>g/m</w:t>
            </w:r>
            <w:r>
              <w:rPr>
                <w:rFonts w:hint="default" w:ascii="Times New Roman" w:hAnsi="Times New Roman" w:eastAsia="宋体" w:cs="Times New Roman"/>
                <w:b/>
                <w:color w:val="000000" w:themeColor="text1"/>
                <w:kern w:val="0"/>
                <w:sz w:val="24"/>
                <w:szCs w:val="20"/>
                <w:highlight w:val="none"/>
                <w:vertAlign w:val="superscript"/>
                <w:lang w:val="en-US" w:eastAsia="zh-CN" w:bidi="ar-SA"/>
                <w14:textFill>
                  <w14:solidFill>
                    <w14:schemeClr w14:val="tx1"/>
                  </w14:solidFill>
                </w14:textFill>
              </w:rPr>
              <w:t>3</w:t>
            </w:r>
          </w:p>
          <w:tbl>
            <w:tblPr>
              <w:tblStyle w:val="13"/>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18"/>
              <w:gridCol w:w="2506"/>
              <w:gridCol w:w="1159"/>
              <w:gridCol w:w="1208"/>
              <w:gridCol w:w="1018"/>
              <w:gridCol w:w="1129"/>
            </w:tblGrid>
            <w:tr w14:paraId="4EA24A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633" w:type="pct"/>
                  <w:tcBorders>
                    <w:top w:val="single" w:color="auto" w:sz="12" w:space="0"/>
                    <w:left w:val="nil"/>
                    <w:bottom w:val="single" w:color="auto" w:sz="6" w:space="0"/>
                    <w:right w:val="single" w:color="auto" w:sz="6" w:space="0"/>
                  </w:tcBorders>
                  <w:noWrap/>
                  <w:vAlign w:val="center"/>
                </w:tcPr>
                <w:p w14:paraId="096152B7">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污染物</w:t>
                  </w:r>
                </w:p>
              </w:tc>
              <w:tc>
                <w:tcPr>
                  <w:tcW w:w="1558" w:type="pct"/>
                  <w:tcBorders>
                    <w:top w:val="single" w:color="auto" w:sz="12" w:space="0"/>
                    <w:left w:val="single" w:color="auto" w:sz="6" w:space="0"/>
                    <w:bottom w:val="single" w:color="auto" w:sz="6" w:space="0"/>
                    <w:right w:val="single" w:color="auto" w:sz="6" w:space="0"/>
                  </w:tcBorders>
                  <w:noWrap/>
                  <w:vAlign w:val="center"/>
                </w:tcPr>
                <w:p w14:paraId="14A18D2E">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年评价指标</w:t>
                  </w:r>
                </w:p>
              </w:tc>
              <w:tc>
                <w:tcPr>
                  <w:tcW w:w="720" w:type="pct"/>
                  <w:tcBorders>
                    <w:top w:val="single" w:color="auto" w:sz="12" w:space="0"/>
                    <w:left w:val="single" w:color="auto" w:sz="6" w:space="0"/>
                    <w:bottom w:val="single" w:color="auto" w:sz="6" w:space="0"/>
                    <w:right w:val="single" w:color="auto" w:sz="6" w:space="0"/>
                  </w:tcBorders>
                  <w:noWrap/>
                  <w:vAlign w:val="center"/>
                </w:tcPr>
                <w:p w14:paraId="0314072A">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现状浓度</w:t>
                  </w:r>
                </w:p>
                <w:p w14:paraId="197F918A">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μg/m</w:t>
                  </w:r>
                  <w:r>
                    <w:rPr>
                      <w:rFonts w:hint="default" w:ascii="Times New Roman" w:hAnsi="Times New Roman" w:eastAsia="宋体" w:cs="Times New Roman"/>
                      <w:color w:val="000000" w:themeColor="text1"/>
                      <w:szCs w:val="21"/>
                      <w:highlight w:val="none"/>
                      <w:vertAlign w:val="superscript"/>
                      <w:lang w:eastAsia="zh-CN"/>
                      <w14:textFill>
                        <w14:solidFill>
                          <w14:schemeClr w14:val="tx1"/>
                        </w14:solidFill>
                      </w14:textFill>
                    </w:rPr>
                    <w:t>3</w:t>
                  </w:r>
                  <w:r>
                    <w:rPr>
                      <w:rFonts w:hint="eastAsia" w:cs="Times New Roman"/>
                      <w:color w:val="000000" w:themeColor="text1"/>
                      <w:szCs w:val="21"/>
                      <w:highlight w:val="none"/>
                      <w:vertAlign w:val="superscript"/>
                      <w:lang w:eastAsia="zh-CN"/>
                      <w14:textFill>
                        <w14:solidFill>
                          <w14:schemeClr w14:val="tx1"/>
                        </w14:solidFill>
                      </w14:textFill>
                    </w:rPr>
                    <w:t>)</w:t>
                  </w:r>
                </w:p>
              </w:tc>
              <w:tc>
                <w:tcPr>
                  <w:tcW w:w="751" w:type="pct"/>
                  <w:tcBorders>
                    <w:top w:val="single" w:color="auto" w:sz="12" w:space="0"/>
                    <w:left w:val="single" w:color="auto" w:sz="6" w:space="0"/>
                    <w:bottom w:val="single" w:color="auto" w:sz="6" w:space="0"/>
                    <w:right w:val="single" w:color="auto" w:sz="6" w:space="0"/>
                  </w:tcBorders>
                  <w:noWrap/>
                  <w:vAlign w:val="center"/>
                </w:tcPr>
                <w:p w14:paraId="0210E08A">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标准值</w:t>
                  </w:r>
                </w:p>
                <w:p w14:paraId="2D361896">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μg/m</w:t>
                  </w:r>
                  <w:r>
                    <w:rPr>
                      <w:rFonts w:hint="default" w:ascii="Times New Roman" w:hAnsi="Times New Roman" w:eastAsia="宋体" w:cs="Times New Roman"/>
                      <w:color w:val="000000" w:themeColor="text1"/>
                      <w:szCs w:val="21"/>
                      <w:highlight w:val="none"/>
                      <w:vertAlign w:val="superscript"/>
                      <w:lang w:eastAsia="zh-CN"/>
                      <w14:textFill>
                        <w14:solidFill>
                          <w14:schemeClr w14:val="tx1"/>
                        </w14:solidFill>
                      </w14:textFill>
                    </w:rPr>
                    <w:t>3</w:t>
                  </w:r>
                  <w:r>
                    <w:rPr>
                      <w:rFonts w:hint="eastAsia" w:cs="Times New Roman"/>
                      <w:color w:val="000000" w:themeColor="text1"/>
                      <w:szCs w:val="21"/>
                      <w:highlight w:val="none"/>
                      <w:vertAlign w:val="superscript"/>
                      <w:lang w:eastAsia="zh-CN"/>
                      <w14:textFill>
                        <w14:solidFill>
                          <w14:schemeClr w14:val="tx1"/>
                        </w14:solidFill>
                      </w14:textFill>
                    </w:rPr>
                    <w:t>)</w:t>
                  </w:r>
                </w:p>
              </w:tc>
              <w:tc>
                <w:tcPr>
                  <w:tcW w:w="633" w:type="pct"/>
                  <w:tcBorders>
                    <w:top w:val="single" w:color="auto" w:sz="12" w:space="0"/>
                    <w:left w:val="single" w:color="auto" w:sz="6" w:space="0"/>
                    <w:bottom w:val="single" w:color="auto" w:sz="6" w:space="0"/>
                    <w:right w:val="single" w:color="auto" w:sz="6" w:space="0"/>
                  </w:tcBorders>
                  <w:noWrap/>
                  <w:vAlign w:val="center"/>
                </w:tcPr>
                <w:p w14:paraId="73AFAB8C">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占标率</w:t>
                  </w:r>
                </w:p>
                <w:p w14:paraId="5444347E">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p>
              </w:tc>
              <w:tc>
                <w:tcPr>
                  <w:tcW w:w="702" w:type="pct"/>
                  <w:tcBorders>
                    <w:top w:val="single" w:color="auto" w:sz="12" w:space="0"/>
                    <w:left w:val="single" w:color="auto" w:sz="6" w:space="0"/>
                    <w:bottom w:val="single" w:color="auto" w:sz="6" w:space="0"/>
                    <w:right w:val="nil"/>
                  </w:tcBorders>
                  <w:noWrap/>
                  <w:vAlign w:val="center"/>
                </w:tcPr>
                <w:p w14:paraId="7D7D758D">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达标情况</w:t>
                  </w:r>
                </w:p>
              </w:tc>
            </w:tr>
            <w:tr w14:paraId="26054E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633" w:type="pct"/>
                  <w:tcBorders>
                    <w:top w:val="single" w:color="auto" w:sz="6" w:space="0"/>
                    <w:left w:val="nil"/>
                    <w:bottom w:val="single" w:color="auto" w:sz="6" w:space="0"/>
                    <w:right w:val="single" w:color="auto" w:sz="6" w:space="0"/>
                  </w:tcBorders>
                  <w:noWrap/>
                  <w:vAlign w:val="center"/>
                </w:tcPr>
                <w:p w14:paraId="62DCF211">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PM</w:t>
                  </w:r>
                  <w:r>
                    <w:rPr>
                      <w:rFonts w:hint="default" w:ascii="Times New Roman" w:hAnsi="Times New Roman" w:eastAsia="宋体" w:cs="Times New Roman"/>
                      <w:color w:val="000000" w:themeColor="text1"/>
                      <w:szCs w:val="21"/>
                      <w:highlight w:val="none"/>
                      <w:vertAlign w:val="subscript"/>
                      <w:lang w:eastAsia="zh-CN"/>
                      <w14:textFill>
                        <w14:solidFill>
                          <w14:schemeClr w14:val="tx1"/>
                        </w14:solidFill>
                      </w14:textFill>
                    </w:rPr>
                    <w:t>2.5</w:t>
                  </w:r>
                </w:p>
              </w:tc>
              <w:tc>
                <w:tcPr>
                  <w:tcW w:w="1558" w:type="pct"/>
                  <w:tcBorders>
                    <w:top w:val="single" w:color="auto" w:sz="6" w:space="0"/>
                    <w:left w:val="single" w:color="auto" w:sz="6" w:space="0"/>
                    <w:bottom w:val="single" w:color="auto" w:sz="6" w:space="0"/>
                    <w:right w:val="single" w:color="auto" w:sz="6" w:space="0"/>
                  </w:tcBorders>
                  <w:noWrap/>
                  <w:vAlign w:val="center"/>
                </w:tcPr>
                <w:p w14:paraId="32680B15">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年平均质量浓度</w:t>
                  </w:r>
                </w:p>
              </w:tc>
              <w:tc>
                <w:tcPr>
                  <w:tcW w:w="1159" w:type="dxa"/>
                  <w:tcBorders>
                    <w:top w:val="single" w:color="auto" w:sz="6" w:space="0"/>
                    <w:left w:val="single" w:color="auto" w:sz="6" w:space="0"/>
                    <w:bottom w:val="single" w:color="auto" w:sz="6" w:space="0"/>
                    <w:right w:val="single" w:color="auto" w:sz="6" w:space="0"/>
                  </w:tcBorders>
                  <w:noWrap/>
                  <w:vAlign w:val="center"/>
                </w:tcPr>
                <w:p w14:paraId="368E54C2">
                  <w:pPr>
                    <w:widowControl/>
                    <w:jc w:val="center"/>
                    <w:textAlignment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2</w:t>
                  </w: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7</w:t>
                  </w:r>
                </w:p>
              </w:tc>
              <w:tc>
                <w:tcPr>
                  <w:tcW w:w="1208" w:type="dxa"/>
                  <w:tcBorders>
                    <w:top w:val="single" w:color="auto" w:sz="6" w:space="0"/>
                    <w:left w:val="single" w:color="auto" w:sz="6" w:space="0"/>
                    <w:bottom w:val="single" w:color="auto" w:sz="6" w:space="0"/>
                    <w:right w:val="single" w:color="auto" w:sz="6" w:space="0"/>
                  </w:tcBorders>
                  <w:noWrap/>
                  <w:vAlign w:val="center"/>
                </w:tcPr>
                <w:p w14:paraId="2B4A0EFA">
                  <w:pPr>
                    <w:snapToGrid w:val="0"/>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35</w:t>
                  </w:r>
                </w:p>
              </w:tc>
              <w:tc>
                <w:tcPr>
                  <w:tcW w:w="1018" w:type="dxa"/>
                  <w:tcBorders>
                    <w:top w:val="single" w:color="auto" w:sz="6" w:space="0"/>
                    <w:left w:val="single" w:color="auto" w:sz="6" w:space="0"/>
                    <w:bottom w:val="single" w:color="auto" w:sz="6" w:space="0"/>
                    <w:right w:val="single" w:color="auto" w:sz="6" w:space="0"/>
                  </w:tcBorders>
                  <w:noWrap/>
                  <w:vAlign w:val="center"/>
                </w:tcPr>
                <w:p w14:paraId="314297E6">
                  <w:pPr>
                    <w:widowControl/>
                    <w:jc w:val="center"/>
                    <w:textAlignment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77.14</w:t>
                  </w:r>
                </w:p>
              </w:tc>
              <w:tc>
                <w:tcPr>
                  <w:tcW w:w="702" w:type="pct"/>
                  <w:tcBorders>
                    <w:top w:val="single" w:color="auto" w:sz="6" w:space="0"/>
                    <w:left w:val="single" w:color="auto" w:sz="6" w:space="0"/>
                    <w:bottom w:val="single" w:color="auto" w:sz="6" w:space="0"/>
                    <w:right w:val="nil"/>
                  </w:tcBorders>
                  <w:noWrap/>
                  <w:vAlign w:val="center"/>
                </w:tcPr>
                <w:p w14:paraId="5279830E">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达</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标</w:t>
                  </w:r>
                </w:p>
              </w:tc>
            </w:tr>
            <w:tr w14:paraId="51AD14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633" w:type="pct"/>
                  <w:tcBorders>
                    <w:top w:val="single" w:color="auto" w:sz="6" w:space="0"/>
                    <w:left w:val="nil"/>
                    <w:bottom w:val="single" w:color="auto" w:sz="6" w:space="0"/>
                    <w:right w:val="single" w:color="auto" w:sz="6" w:space="0"/>
                  </w:tcBorders>
                  <w:noWrap/>
                  <w:vAlign w:val="center"/>
                </w:tcPr>
                <w:p w14:paraId="43FA3904">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PM</w:t>
                  </w:r>
                  <w:r>
                    <w:rPr>
                      <w:rFonts w:hint="default" w:ascii="Times New Roman" w:hAnsi="Times New Roman" w:eastAsia="宋体" w:cs="Times New Roman"/>
                      <w:color w:val="000000" w:themeColor="text1"/>
                      <w:szCs w:val="21"/>
                      <w:highlight w:val="none"/>
                      <w:vertAlign w:val="subscript"/>
                      <w:lang w:eastAsia="zh-CN"/>
                      <w14:textFill>
                        <w14:solidFill>
                          <w14:schemeClr w14:val="tx1"/>
                        </w14:solidFill>
                      </w14:textFill>
                    </w:rPr>
                    <w:t>10</w:t>
                  </w:r>
                </w:p>
              </w:tc>
              <w:tc>
                <w:tcPr>
                  <w:tcW w:w="1558" w:type="pct"/>
                  <w:tcBorders>
                    <w:top w:val="single" w:color="auto" w:sz="6" w:space="0"/>
                    <w:left w:val="single" w:color="auto" w:sz="6" w:space="0"/>
                    <w:bottom w:val="single" w:color="auto" w:sz="6" w:space="0"/>
                    <w:right w:val="single" w:color="auto" w:sz="6" w:space="0"/>
                  </w:tcBorders>
                  <w:noWrap/>
                  <w:vAlign w:val="center"/>
                </w:tcPr>
                <w:p w14:paraId="1723A555">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年平均质量浓度</w:t>
                  </w:r>
                </w:p>
              </w:tc>
              <w:tc>
                <w:tcPr>
                  <w:tcW w:w="1159" w:type="dxa"/>
                  <w:tcBorders>
                    <w:top w:val="single" w:color="auto" w:sz="6" w:space="0"/>
                    <w:left w:val="single" w:color="auto" w:sz="6" w:space="0"/>
                    <w:bottom w:val="single" w:color="auto" w:sz="6" w:space="0"/>
                    <w:right w:val="single" w:color="auto" w:sz="6" w:space="0"/>
                  </w:tcBorders>
                  <w:noWrap/>
                  <w:vAlign w:val="center"/>
                </w:tcPr>
                <w:p w14:paraId="7AD8E4E7">
                  <w:pPr>
                    <w:widowControl/>
                    <w:jc w:val="center"/>
                    <w:textAlignment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4</w:t>
                  </w: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3</w:t>
                  </w:r>
                </w:p>
              </w:tc>
              <w:tc>
                <w:tcPr>
                  <w:tcW w:w="1208" w:type="dxa"/>
                  <w:tcBorders>
                    <w:top w:val="single" w:color="auto" w:sz="6" w:space="0"/>
                    <w:left w:val="single" w:color="auto" w:sz="6" w:space="0"/>
                    <w:bottom w:val="single" w:color="auto" w:sz="6" w:space="0"/>
                    <w:right w:val="single" w:color="auto" w:sz="6" w:space="0"/>
                  </w:tcBorders>
                  <w:noWrap/>
                  <w:vAlign w:val="center"/>
                </w:tcPr>
                <w:p w14:paraId="3718E061">
                  <w:pPr>
                    <w:snapToGrid w:val="0"/>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70</w:t>
                  </w:r>
                </w:p>
              </w:tc>
              <w:tc>
                <w:tcPr>
                  <w:tcW w:w="1018" w:type="dxa"/>
                  <w:tcBorders>
                    <w:top w:val="single" w:color="auto" w:sz="6" w:space="0"/>
                    <w:left w:val="single" w:color="auto" w:sz="6" w:space="0"/>
                    <w:bottom w:val="single" w:color="auto" w:sz="6" w:space="0"/>
                    <w:right w:val="single" w:color="auto" w:sz="6" w:space="0"/>
                  </w:tcBorders>
                  <w:noWrap/>
                  <w:vAlign w:val="center"/>
                </w:tcPr>
                <w:p w14:paraId="3F741A9A">
                  <w:pPr>
                    <w:widowControl/>
                    <w:jc w:val="center"/>
                    <w:textAlignment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61.43</w:t>
                  </w:r>
                </w:p>
              </w:tc>
              <w:tc>
                <w:tcPr>
                  <w:tcW w:w="702" w:type="pct"/>
                  <w:tcBorders>
                    <w:top w:val="single" w:color="auto" w:sz="6" w:space="0"/>
                    <w:left w:val="single" w:color="auto" w:sz="6" w:space="0"/>
                    <w:bottom w:val="single" w:color="auto" w:sz="6" w:space="0"/>
                    <w:right w:val="nil"/>
                  </w:tcBorders>
                  <w:noWrap/>
                  <w:vAlign w:val="center"/>
                </w:tcPr>
                <w:p w14:paraId="26EA5B45">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达标</w:t>
                  </w:r>
                </w:p>
              </w:tc>
            </w:tr>
            <w:tr w14:paraId="6B7DCA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633" w:type="pct"/>
                  <w:tcBorders>
                    <w:top w:val="single" w:color="auto" w:sz="6" w:space="0"/>
                    <w:left w:val="nil"/>
                    <w:bottom w:val="single" w:color="auto" w:sz="6" w:space="0"/>
                    <w:right w:val="single" w:color="auto" w:sz="6" w:space="0"/>
                  </w:tcBorders>
                  <w:noWrap/>
                  <w:vAlign w:val="center"/>
                </w:tcPr>
                <w:p w14:paraId="7816801F">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NO</w:t>
                  </w:r>
                  <w:r>
                    <w:rPr>
                      <w:rFonts w:hint="default" w:ascii="Times New Roman" w:hAnsi="Times New Roman" w:eastAsia="宋体" w:cs="Times New Roman"/>
                      <w:color w:val="000000" w:themeColor="text1"/>
                      <w:szCs w:val="21"/>
                      <w:highlight w:val="none"/>
                      <w:vertAlign w:val="subscript"/>
                      <w:lang w:eastAsia="zh-CN"/>
                      <w14:textFill>
                        <w14:solidFill>
                          <w14:schemeClr w14:val="tx1"/>
                        </w14:solidFill>
                      </w14:textFill>
                    </w:rPr>
                    <w:t>2</w:t>
                  </w:r>
                </w:p>
              </w:tc>
              <w:tc>
                <w:tcPr>
                  <w:tcW w:w="1558" w:type="pct"/>
                  <w:tcBorders>
                    <w:top w:val="single" w:color="auto" w:sz="6" w:space="0"/>
                    <w:left w:val="single" w:color="auto" w:sz="6" w:space="0"/>
                    <w:bottom w:val="single" w:color="auto" w:sz="6" w:space="0"/>
                    <w:right w:val="single" w:color="auto" w:sz="6" w:space="0"/>
                  </w:tcBorders>
                  <w:noWrap/>
                  <w:vAlign w:val="center"/>
                </w:tcPr>
                <w:p w14:paraId="45689194">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年平均质量浓度</w:t>
                  </w:r>
                </w:p>
              </w:tc>
              <w:tc>
                <w:tcPr>
                  <w:tcW w:w="1159" w:type="dxa"/>
                  <w:tcBorders>
                    <w:top w:val="single" w:color="auto" w:sz="6" w:space="0"/>
                    <w:left w:val="single" w:color="auto" w:sz="6" w:space="0"/>
                    <w:bottom w:val="single" w:color="auto" w:sz="6" w:space="0"/>
                    <w:right w:val="single" w:color="auto" w:sz="6" w:space="0"/>
                  </w:tcBorders>
                  <w:noWrap/>
                  <w:vAlign w:val="center"/>
                </w:tcPr>
                <w:p w14:paraId="306D57A6">
                  <w:pPr>
                    <w:widowControl/>
                    <w:jc w:val="center"/>
                    <w:textAlignment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11</w:t>
                  </w:r>
                </w:p>
              </w:tc>
              <w:tc>
                <w:tcPr>
                  <w:tcW w:w="1208" w:type="dxa"/>
                  <w:tcBorders>
                    <w:top w:val="single" w:color="auto" w:sz="6" w:space="0"/>
                    <w:left w:val="single" w:color="auto" w:sz="6" w:space="0"/>
                    <w:bottom w:val="single" w:color="auto" w:sz="6" w:space="0"/>
                    <w:right w:val="single" w:color="auto" w:sz="6" w:space="0"/>
                  </w:tcBorders>
                  <w:noWrap/>
                  <w:vAlign w:val="center"/>
                </w:tcPr>
                <w:p w14:paraId="27C96767">
                  <w:pPr>
                    <w:snapToGrid w:val="0"/>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60</w:t>
                  </w:r>
                </w:p>
              </w:tc>
              <w:tc>
                <w:tcPr>
                  <w:tcW w:w="1018" w:type="dxa"/>
                  <w:tcBorders>
                    <w:top w:val="single" w:color="auto" w:sz="6" w:space="0"/>
                    <w:left w:val="single" w:color="auto" w:sz="6" w:space="0"/>
                    <w:bottom w:val="single" w:color="auto" w:sz="6" w:space="0"/>
                    <w:right w:val="single" w:color="auto" w:sz="6" w:space="0"/>
                  </w:tcBorders>
                  <w:noWrap/>
                  <w:vAlign w:val="center"/>
                </w:tcPr>
                <w:p w14:paraId="03B3C413">
                  <w:pPr>
                    <w:widowControl/>
                    <w:jc w:val="center"/>
                    <w:textAlignment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1</w:t>
                  </w: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8.33</w:t>
                  </w:r>
                </w:p>
              </w:tc>
              <w:tc>
                <w:tcPr>
                  <w:tcW w:w="702" w:type="pct"/>
                  <w:tcBorders>
                    <w:top w:val="single" w:color="auto" w:sz="6" w:space="0"/>
                    <w:left w:val="single" w:color="auto" w:sz="6" w:space="0"/>
                    <w:bottom w:val="single" w:color="auto" w:sz="6" w:space="0"/>
                    <w:right w:val="nil"/>
                  </w:tcBorders>
                  <w:noWrap/>
                  <w:vAlign w:val="center"/>
                </w:tcPr>
                <w:p w14:paraId="336C2508">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达标</w:t>
                  </w:r>
                </w:p>
              </w:tc>
            </w:tr>
            <w:tr w14:paraId="4B1DF0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633" w:type="pct"/>
                  <w:tcBorders>
                    <w:top w:val="single" w:color="auto" w:sz="6" w:space="0"/>
                    <w:left w:val="nil"/>
                    <w:bottom w:val="single" w:color="auto" w:sz="6" w:space="0"/>
                    <w:right w:val="single" w:color="auto" w:sz="6" w:space="0"/>
                  </w:tcBorders>
                  <w:noWrap/>
                  <w:vAlign w:val="center"/>
                </w:tcPr>
                <w:p w14:paraId="325EE9A9">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SO</w:t>
                  </w:r>
                  <w:r>
                    <w:rPr>
                      <w:rFonts w:hint="default" w:ascii="Times New Roman" w:hAnsi="Times New Roman" w:eastAsia="宋体" w:cs="Times New Roman"/>
                      <w:color w:val="000000" w:themeColor="text1"/>
                      <w:szCs w:val="21"/>
                      <w:highlight w:val="none"/>
                      <w:vertAlign w:val="subscript"/>
                      <w:lang w:eastAsia="zh-CN"/>
                      <w14:textFill>
                        <w14:solidFill>
                          <w14:schemeClr w14:val="tx1"/>
                        </w14:solidFill>
                      </w14:textFill>
                    </w:rPr>
                    <w:t>2</w:t>
                  </w:r>
                </w:p>
              </w:tc>
              <w:tc>
                <w:tcPr>
                  <w:tcW w:w="1558" w:type="pct"/>
                  <w:tcBorders>
                    <w:top w:val="single" w:color="auto" w:sz="6" w:space="0"/>
                    <w:left w:val="single" w:color="auto" w:sz="6" w:space="0"/>
                    <w:bottom w:val="single" w:color="auto" w:sz="6" w:space="0"/>
                    <w:right w:val="single" w:color="auto" w:sz="6" w:space="0"/>
                  </w:tcBorders>
                  <w:noWrap/>
                  <w:vAlign w:val="center"/>
                </w:tcPr>
                <w:p w14:paraId="208F6391">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年平均质量浓度</w:t>
                  </w:r>
                </w:p>
              </w:tc>
              <w:tc>
                <w:tcPr>
                  <w:tcW w:w="1159" w:type="dxa"/>
                  <w:tcBorders>
                    <w:top w:val="single" w:color="auto" w:sz="6" w:space="0"/>
                    <w:left w:val="single" w:color="auto" w:sz="6" w:space="0"/>
                    <w:bottom w:val="single" w:color="auto" w:sz="6" w:space="0"/>
                    <w:right w:val="single" w:color="auto" w:sz="6" w:space="0"/>
                  </w:tcBorders>
                  <w:noWrap/>
                  <w:vAlign w:val="center"/>
                </w:tcPr>
                <w:p w14:paraId="7BE14AA9">
                  <w:pPr>
                    <w:widowControl/>
                    <w:jc w:val="center"/>
                    <w:textAlignment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15</w:t>
                  </w:r>
                </w:p>
              </w:tc>
              <w:tc>
                <w:tcPr>
                  <w:tcW w:w="1208" w:type="dxa"/>
                  <w:tcBorders>
                    <w:top w:val="single" w:color="auto" w:sz="6" w:space="0"/>
                    <w:left w:val="single" w:color="auto" w:sz="6" w:space="0"/>
                    <w:bottom w:val="single" w:color="auto" w:sz="6" w:space="0"/>
                    <w:right w:val="single" w:color="auto" w:sz="6" w:space="0"/>
                  </w:tcBorders>
                  <w:noWrap/>
                  <w:vAlign w:val="center"/>
                </w:tcPr>
                <w:p w14:paraId="26ECE617">
                  <w:pPr>
                    <w:snapToGrid w:val="0"/>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40</w:t>
                  </w:r>
                </w:p>
              </w:tc>
              <w:tc>
                <w:tcPr>
                  <w:tcW w:w="1018" w:type="dxa"/>
                  <w:tcBorders>
                    <w:top w:val="single" w:color="auto" w:sz="6" w:space="0"/>
                    <w:left w:val="single" w:color="auto" w:sz="6" w:space="0"/>
                    <w:bottom w:val="single" w:color="auto" w:sz="6" w:space="0"/>
                    <w:right w:val="single" w:color="auto" w:sz="6" w:space="0"/>
                  </w:tcBorders>
                  <w:noWrap/>
                  <w:vAlign w:val="center"/>
                </w:tcPr>
                <w:p w14:paraId="4C6B1E43">
                  <w:pPr>
                    <w:widowControl/>
                    <w:jc w:val="center"/>
                    <w:textAlignment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37.50</w:t>
                  </w:r>
                </w:p>
              </w:tc>
              <w:tc>
                <w:tcPr>
                  <w:tcW w:w="702" w:type="pct"/>
                  <w:tcBorders>
                    <w:top w:val="single" w:color="auto" w:sz="6" w:space="0"/>
                    <w:left w:val="single" w:color="auto" w:sz="6" w:space="0"/>
                    <w:bottom w:val="single" w:color="auto" w:sz="6" w:space="0"/>
                    <w:right w:val="nil"/>
                  </w:tcBorders>
                  <w:noWrap/>
                  <w:vAlign w:val="center"/>
                </w:tcPr>
                <w:p w14:paraId="292B7849">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达标</w:t>
                  </w:r>
                </w:p>
              </w:tc>
            </w:tr>
            <w:tr w14:paraId="05C374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633" w:type="pct"/>
                  <w:tcBorders>
                    <w:top w:val="single" w:color="auto" w:sz="6" w:space="0"/>
                    <w:left w:val="nil"/>
                    <w:bottom w:val="single" w:color="auto" w:sz="6" w:space="0"/>
                    <w:right w:val="single" w:color="auto" w:sz="6" w:space="0"/>
                  </w:tcBorders>
                  <w:noWrap/>
                  <w:vAlign w:val="center"/>
                </w:tcPr>
                <w:p w14:paraId="62AEB5C4">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CO</w:t>
                  </w:r>
                </w:p>
              </w:tc>
              <w:tc>
                <w:tcPr>
                  <w:tcW w:w="1558" w:type="pct"/>
                  <w:tcBorders>
                    <w:top w:val="single" w:color="auto" w:sz="6" w:space="0"/>
                    <w:left w:val="single" w:color="auto" w:sz="6" w:space="0"/>
                    <w:bottom w:val="single" w:color="auto" w:sz="6" w:space="0"/>
                    <w:right w:val="single" w:color="auto" w:sz="6" w:space="0"/>
                  </w:tcBorders>
                  <w:noWrap/>
                  <w:vAlign w:val="center"/>
                </w:tcPr>
                <w:p w14:paraId="1FFD0D85">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日均值第95百分位浓度（</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p>
              </w:tc>
              <w:tc>
                <w:tcPr>
                  <w:tcW w:w="1159" w:type="dxa"/>
                  <w:tcBorders>
                    <w:top w:val="single" w:color="auto" w:sz="6" w:space="0"/>
                    <w:left w:val="single" w:color="auto" w:sz="6" w:space="0"/>
                    <w:bottom w:val="single" w:color="auto" w:sz="6" w:space="0"/>
                    <w:right w:val="single" w:color="auto" w:sz="6" w:space="0"/>
                  </w:tcBorders>
                  <w:noWrap/>
                  <w:vAlign w:val="center"/>
                </w:tcPr>
                <w:p w14:paraId="0201DF62">
                  <w:pPr>
                    <w:widowControl/>
                    <w:jc w:val="center"/>
                    <w:textAlignment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900</w:t>
                  </w:r>
                </w:p>
              </w:tc>
              <w:tc>
                <w:tcPr>
                  <w:tcW w:w="1208" w:type="dxa"/>
                  <w:tcBorders>
                    <w:top w:val="single" w:color="auto" w:sz="6" w:space="0"/>
                    <w:left w:val="single" w:color="auto" w:sz="6" w:space="0"/>
                    <w:bottom w:val="single" w:color="auto" w:sz="6" w:space="0"/>
                    <w:right w:val="single" w:color="auto" w:sz="6" w:space="0"/>
                  </w:tcBorders>
                  <w:noWrap/>
                  <w:vAlign w:val="center"/>
                </w:tcPr>
                <w:p w14:paraId="62DFAA39">
                  <w:pPr>
                    <w:snapToGrid w:val="0"/>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4000</w:t>
                  </w:r>
                </w:p>
              </w:tc>
              <w:tc>
                <w:tcPr>
                  <w:tcW w:w="1018" w:type="dxa"/>
                  <w:tcBorders>
                    <w:top w:val="single" w:color="auto" w:sz="6" w:space="0"/>
                    <w:left w:val="single" w:color="auto" w:sz="6" w:space="0"/>
                    <w:bottom w:val="single" w:color="auto" w:sz="6" w:space="0"/>
                    <w:right w:val="single" w:color="auto" w:sz="6" w:space="0"/>
                  </w:tcBorders>
                  <w:noWrap/>
                  <w:vAlign w:val="center"/>
                </w:tcPr>
                <w:p w14:paraId="712F1F46">
                  <w:pPr>
                    <w:widowControl/>
                    <w:jc w:val="center"/>
                    <w:textAlignment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2</w:t>
                  </w: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2.50</w:t>
                  </w:r>
                </w:p>
              </w:tc>
              <w:tc>
                <w:tcPr>
                  <w:tcW w:w="702" w:type="pct"/>
                  <w:tcBorders>
                    <w:top w:val="single" w:color="auto" w:sz="6" w:space="0"/>
                    <w:left w:val="single" w:color="auto" w:sz="6" w:space="0"/>
                    <w:bottom w:val="single" w:color="auto" w:sz="6" w:space="0"/>
                    <w:right w:val="nil"/>
                  </w:tcBorders>
                  <w:noWrap/>
                  <w:vAlign w:val="center"/>
                </w:tcPr>
                <w:p w14:paraId="6D81CE20">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达标</w:t>
                  </w:r>
                </w:p>
              </w:tc>
            </w:tr>
            <w:tr w14:paraId="40C007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633" w:type="pct"/>
                  <w:tcBorders>
                    <w:top w:val="single" w:color="auto" w:sz="6" w:space="0"/>
                    <w:left w:val="nil"/>
                    <w:bottom w:val="single" w:color="auto" w:sz="12" w:space="0"/>
                    <w:right w:val="single" w:color="auto" w:sz="6" w:space="0"/>
                  </w:tcBorders>
                  <w:noWrap/>
                  <w:vAlign w:val="center"/>
                </w:tcPr>
                <w:p w14:paraId="2163D09D">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O</w:t>
                  </w:r>
                  <w:r>
                    <w:rPr>
                      <w:rFonts w:hint="default" w:ascii="Times New Roman" w:hAnsi="Times New Roman" w:eastAsia="宋体" w:cs="Times New Roman"/>
                      <w:color w:val="000000" w:themeColor="text1"/>
                      <w:szCs w:val="21"/>
                      <w:highlight w:val="none"/>
                      <w:vertAlign w:val="subscript"/>
                      <w:lang w:eastAsia="zh-CN"/>
                      <w14:textFill>
                        <w14:solidFill>
                          <w14:schemeClr w14:val="tx1"/>
                        </w14:solidFill>
                      </w14:textFill>
                    </w:rPr>
                    <w:t>3</w:t>
                  </w:r>
                </w:p>
              </w:tc>
              <w:tc>
                <w:tcPr>
                  <w:tcW w:w="1558" w:type="pct"/>
                  <w:tcBorders>
                    <w:top w:val="single" w:color="auto" w:sz="6" w:space="0"/>
                    <w:left w:val="single" w:color="auto" w:sz="6" w:space="0"/>
                    <w:bottom w:val="single" w:color="auto" w:sz="12" w:space="0"/>
                    <w:right w:val="single" w:color="auto" w:sz="6" w:space="0"/>
                  </w:tcBorders>
                  <w:noWrap/>
                  <w:vAlign w:val="center"/>
                </w:tcPr>
                <w:p w14:paraId="035E2ED9">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日最大8小时平均值第90百分位浓度</w:t>
                  </w:r>
                </w:p>
              </w:tc>
              <w:tc>
                <w:tcPr>
                  <w:tcW w:w="1159" w:type="dxa"/>
                  <w:tcBorders>
                    <w:top w:val="single" w:color="auto" w:sz="6" w:space="0"/>
                    <w:left w:val="single" w:color="auto" w:sz="6" w:space="0"/>
                    <w:bottom w:val="single" w:color="auto" w:sz="12" w:space="0"/>
                    <w:right w:val="single" w:color="auto" w:sz="6" w:space="0"/>
                  </w:tcBorders>
                  <w:noWrap/>
                  <w:vAlign w:val="center"/>
                </w:tcPr>
                <w:p w14:paraId="176BE05A">
                  <w:pPr>
                    <w:widowControl/>
                    <w:jc w:val="center"/>
                    <w:textAlignment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105</w:t>
                  </w:r>
                </w:p>
              </w:tc>
              <w:tc>
                <w:tcPr>
                  <w:tcW w:w="1208" w:type="dxa"/>
                  <w:tcBorders>
                    <w:top w:val="single" w:color="auto" w:sz="6" w:space="0"/>
                    <w:left w:val="single" w:color="auto" w:sz="6" w:space="0"/>
                    <w:bottom w:val="single" w:color="auto" w:sz="12" w:space="0"/>
                    <w:right w:val="single" w:color="auto" w:sz="6" w:space="0"/>
                  </w:tcBorders>
                  <w:noWrap/>
                  <w:vAlign w:val="center"/>
                </w:tcPr>
                <w:p w14:paraId="354AE18C">
                  <w:pPr>
                    <w:snapToGrid w:val="0"/>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Cs w:val="21"/>
                      <w:highlight w:val="none"/>
                      <w14:textFill>
                        <w14:solidFill>
                          <w14:schemeClr w14:val="tx1"/>
                        </w14:solidFill>
                      </w14:textFill>
                    </w:rPr>
                    <w:cr/>
                  </w:r>
                  <w:r>
                    <w:rPr>
                      <w:rFonts w:hint="default" w:ascii="Times New Roman" w:hAnsi="Times New Roman" w:cs="Times New Roman"/>
                      <w:color w:val="000000" w:themeColor="text1"/>
                      <w:szCs w:val="21"/>
                      <w:highlight w:val="none"/>
                      <w14:textFill>
                        <w14:solidFill>
                          <w14:schemeClr w14:val="tx1"/>
                        </w14:solidFill>
                      </w14:textFill>
                    </w:rPr>
                    <w:t>60</w:t>
                  </w:r>
                </w:p>
              </w:tc>
              <w:tc>
                <w:tcPr>
                  <w:tcW w:w="1018" w:type="dxa"/>
                  <w:tcBorders>
                    <w:top w:val="single" w:color="auto" w:sz="6" w:space="0"/>
                    <w:left w:val="single" w:color="auto" w:sz="6" w:space="0"/>
                    <w:bottom w:val="single" w:color="auto" w:sz="12" w:space="0"/>
                    <w:right w:val="single" w:color="auto" w:sz="6" w:space="0"/>
                  </w:tcBorders>
                  <w:noWrap/>
                  <w:vAlign w:val="center"/>
                </w:tcPr>
                <w:p w14:paraId="7501CEE4">
                  <w:pPr>
                    <w:widowControl/>
                    <w:jc w:val="center"/>
                    <w:textAlignment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6</w:t>
                  </w: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5.63</w:t>
                  </w:r>
                </w:p>
              </w:tc>
              <w:tc>
                <w:tcPr>
                  <w:tcW w:w="702" w:type="pct"/>
                  <w:tcBorders>
                    <w:top w:val="single" w:color="auto" w:sz="6" w:space="0"/>
                    <w:left w:val="single" w:color="auto" w:sz="6" w:space="0"/>
                    <w:bottom w:val="single" w:color="auto" w:sz="12" w:space="0"/>
                    <w:right w:val="nil"/>
                  </w:tcBorders>
                  <w:noWrap/>
                  <w:vAlign w:val="center"/>
                </w:tcPr>
                <w:p w14:paraId="7019F2E0">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达标</w:t>
                  </w:r>
                </w:p>
              </w:tc>
            </w:tr>
          </w:tbl>
          <w:p w14:paraId="770705C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lang w:eastAsia="zh-CN"/>
                <w14:textFill>
                  <w14:solidFill>
                    <w14:schemeClr w14:val="tx1"/>
                  </w14:solidFill>
                </w14:textFill>
              </w:rPr>
              <w:t>双鸭山</w:t>
            </w:r>
            <w:r>
              <w:rPr>
                <w:rFonts w:hint="default" w:ascii="Times New Roman" w:hAnsi="Times New Roman" w:cs="Times New Roman"/>
                <w:color w:val="000000" w:themeColor="text1"/>
                <w:sz w:val="24"/>
                <w:highlight w:val="none"/>
                <w14:textFill>
                  <w14:solidFill>
                    <w14:schemeClr w14:val="tx1"/>
                  </w14:solidFill>
                </w14:textFill>
              </w:rPr>
              <w:t>市202</w:t>
            </w:r>
            <w:r>
              <w:rPr>
                <w:rFonts w:hint="default" w:ascii="Times New Roman" w:hAnsi="Times New Roman" w:cs="Times New Roman"/>
                <w:color w:val="000000" w:themeColor="text1"/>
                <w:sz w:val="24"/>
                <w:highlight w:val="none"/>
                <w:lang w:val="en-US" w:eastAsia="zh-CN"/>
                <w14:textFill>
                  <w14:solidFill>
                    <w14:schemeClr w14:val="tx1"/>
                  </w14:solidFill>
                </w14:textFill>
              </w:rPr>
              <w:t>4</w:t>
            </w:r>
            <w:r>
              <w:rPr>
                <w:rFonts w:hint="default" w:ascii="Times New Roman" w:hAnsi="Times New Roman" w:cs="Times New Roman"/>
                <w:color w:val="000000" w:themeColor="text1"/>
                <w:sz w:val="24"/>
                <w:highlight w:val="none"/>
                <w14:textFill>
                  <w14:solidFill>
                    <w14:schemeClr w14:val="tx1"/>
                  </w14:solidFill>
                </w14:textFill>
              </w:rPr>
              <w:t>年环境空气质量</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PM</w:t>
            </w:r>
            <w:r>
              <w:rPr>
                <w:rFonts w:hint="default" w:ascii="Times New Roman" w:hAnsi="Times New Roman" w:eastAsia="宋体" w:cs="Times New Roman"/>
                <w:color w:val="000000" w:themeColor="text1"/>
                <w:szCs w:val="21"/>
                <w:highlight w:val="none"/>
                <w:vertAlign w:val="subscript"/>
                <w:lang w:eastAsia="zh-CN"/>
                <w14:textFill>
                  <w14:solidFill>
                    <w14:schemeClr w14:val="tx1"/>
                  </w14:solidFill>
                </w14:textFill>
              </w:rPr>
              <w:t>2.5</w:t>
            </w:r>
            <w:r>
              <w:rPr>
                <w:rFonts w:hint="default" w:ascii="Times New Roman" w:hAnsi="Times New Roman" w:eastAsia="宋体" w:cs="Times New Roman"/>
                <w:color w:val="000000" w:themeColor="text1"/>
                <w:szCs w:val="21"/>
                <w:highlight w:val="none"/>
                <w:vertAlign w:val="baseli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PM</w:t>
            </w:r>
            <w:r>
              <w:rPr>
                <w:rFonts w:hint="default" w:ascii="Times New Roman" w:hAnsi="Times New Roman" w:cs="Times New Roman"/>
                <w:color w:val="000000" w:themeColor="text1"/>
                <w:sz w:val="24"/>
                <w:highlight w:val="none"/>
                <w:vertAlign w:val="subscript"/>
                <w14:textFill>
                  <w14:solidFill>
                    <w14:schemeClr w14:val="tx1"/>
                  </w14:solidFill>
                </w14:textFill>
              </w:rPr>
              <w:t>10</w:t>
            </w:r>
            <w:r>
              <w:rPr>
                <w:rFonts w:hint="default" w:ascii="Times New Roman" w:hAnsi="Times New Roman" w:cs="Times New Roman"/>
                <w:color w:val="000000" w:themeColor="text1"/>
                <w:sz w:val="24"/>
                <w:highlight w:val="none"/>
                <w14:textFill>
                  <w14:solidFill>
                    <w14:schemeClr w14:val="tx1"/>
                  </w14:solidFill>
                </w14:textFill>
              </w:rPr>
              <w:t>年平均质量浓度、NO</w:t>
            </w:r>
            <w:r>
              <w:rPr>
                <w:rFonts w:hint="default" w:ascii="Times New Roman" w:hAnsi="Times New Roman" w:cs="Times New Roman"/>
                <w:color w:val="000000" w:themeColor="text1"/>
                <w:sz w:val="24"/>
                <w:highlight w:val="none"/>
                <w:vertAlign w:val="sub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年平均质量浓度、SO</w:t>
            </w:r>
            <w:r>
              <w:rPr>
                <w:rFonts w:hint="default" w:ascii="Times New Roman" w:hAnsi="Times New Roman" w:cs="Times New Roman"/>
                <w:color w:val="000000" w:themeColor="text1"/>
                <w:sz w:val="24"/>
                <w:highlight w:val="none"/>
                <w:vertAlign w:val="sub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年平均质量浓度、CO日平均第95百分位数、O</w:t>
            </w:r>
            <w:r>
              <w:rPr>
                <w:rFonts w:hint="default" w:ascii="Times New Roman" w:hAnsi="Times New Roman" w:cs="Times New Roman"/>
                <w:color w:val="000000" w:themeColor="text1"/>
                <w:sz w:val="24"/>
                <w:highlight w:val="none"/>
                <w:vertAlign w:val="sub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日最大8小时平均第90百分位数均满足《环境空气质量标准》（GB3095-2012）及其修改单二级标准的要求。</w:t>
            </w:r>
          </w:p>
          <w:p w14:paraId="0BC0148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本项目所在区域环境空气质量为达标区。</w:t>
            </w:r>
          </w:p>
          <w:p w14:paraId="4C97373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）特征污染物</w:t>
            </w:r>
          </w:p>
          <w:p w14:paraId="1E9E5795">
            <w:pPr>
              <w:adjustRightInd w:val="0"/>
              <w:snapToGrid w:val="0"/>
              <w:spacing w:line="360" w:lineRule="auto"/>
              <w:ind w:firstLine="480" w:firstLineChars="200"/>
              <w:rPr>
                <w:rFonts w:hint="default" w:ascii="Times New Roman" w:hAnsi="Times New Roman" w:cs="Times New Roman" w:eastAsiaTheme="minorEastAsia"/>
                <w:color w:val="000000" w:themeColor="text1"/>
                <w:sz w:val="24"/>
                <w:szCs w:val="24"/>
                <w:highlight w:val="none"/>
                <w:lang w:val="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本项目特征污染物委托</w:t>
            </w:r>
            <w:r>
              <w:rPr>
                <w:rFonts w:hint="default" w:ascii="Times New Roman" w:hAnsi="Times New Roman" w:cs="Times New Roman"/>
                <w:color w:val="000000" w:themeColor="text1"/>
                <w:sz w:val="24"/>
                <w:szCs w:val="24"/>
                <w:highlight w:val="none"/>
                <w:lang w:val="zh-CN"/>
                <w14:textFill>
                  <w14:solidFill>
                    <w14:schemeClr w14:val="tx1"/>
                  </w14:solidFill>
                </w14:textFill>
              </w:rPr>
              <w:t>黑龙江省</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汉风环境检测技术</w:t>
            </w:r>
            <w:r>
              <w:rPr>
                <w:rFonts w:hint="default" w:ascii="Times New Roman" w:hAnsi="Times New Roman" w:cs="Times New Roman"/>
                <w:color w:val="000000" w:themeColor="text1"/>
                <w:sz w:val="24"/>
                <w:szCs w:val="24"/>
                <w:highlight w:val="none"/>
                <w:lang w:val="zh-CN"/>
                <w14:textFill>
                  <w14:solidFill>
                    <w14:schemeClr w14:val="tx1"/>
                  </w14:solidFill>
                </w14:textFill>
              </w:rPr>
              <w:t>有限公司</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进行检测，</w:t>
            </w:r>
            <w:r>
              <w:rPr>
                <w:rFonts w:hint="default" w:ascii="Times New Roman" w:hAnsi="Times New Roman" w:cs="Times New Roman" w:eastAsiaTheme="minorEastAsia"/>
                <w:color w:val="000000" w:themeColor="text1"/>
                <w:sz w:val="24"/>
                <w:szCs w:val="24"/>
                <w:highlight w:val="none"/>
                <w:lang w:val="zh-CN"/>
                <w14:textFill>
                  <w14:solidFill>
                    <w14:schemeClr w14:val="tx1"/>
                  </w14:solidFill>
                </w14:textFill>
              </w:rPr>
              <w:t>报告编号：</w:t>
            </w:r>
            <w:r>
              <w:rPr>
                <w:rFonts w:hint="default" w:ascii="Times New Roman" w:hAnsi="Times New Roman" w:cs="Times New Roman"/>
                <w:b/>
                <w:color w:val="000000" w:themeColor="text1"/>
                <w:sz w:val="24"/>
                <w:lang w:eastAsia="zh-CN"/>
                <w14:textFill>
                  <w14:solidFill>
                    <w14:schemeClr w14:val="tx1"/>
                  </w14:solidFill>
                </w14:textFill>
              </w:rPr>
              <w:t>HFJC-TRG-251106-10</w:t>
            </w:r>
            <w:r>
              <w:rPr>
                <w:rFonts w:hint="default" w:ascii="Times New Roman" w:hAnsi="Times New Roman" w:cs="Times New Roman" w:eastAsiaTheme="minorEastAsia"/>
                <w:color w:val="000000" w:themeColor="text1"/>
                <w:sz w:val="24"/>
                <w:szCs w:val="24"/>
                <w:highlight w:val="none"/>
                <w:lang w:val="zh-CN"/>
                <w14:textFill>
                  <w14:solidFill>
                    <w14:schemeClr w14:val="tx1"/>
                  </w14:solidFill>
                </w14:textFill>
              </w:rPr>
              <w:t>。</w:t>
            </w:r>
          </w:p>
          <w:p w14:paraId="37FF9558">
            <w:pPr>
              <w:adjustRightInd w:val="0"/>
              <w:snapToGrid w:val="0"/>
              <w:spacing w:line="360" w:lineRule="auto"/>
              <w:ind w:firstLine="480" w:firstLineChars="200"/>
              <w:rPr>
                <w:rFonts w:hint="default" w:ascii="Times New Roman" w:hAnsi="Times New Roman" w:cs="Times New Roman" w:eastAsiaTheme="minorEastAsia"/>
                <w:color w:val="000000" w:themeColor="text1"/>
                <w:sz w:val="24"/>
                <w:highlight w:val="none"/>
                <w:lang w:val="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val="zh-CN"/>
                <w14:textFill>
                  <w14:solidFill>
                    <w14:schemeClr w14:val="tx1"/>
                  </w14:solidFill>
                </w14:textFill>
              </w:rPr>
              <w:t>①监测项目</w:t>
            </w:r>
          </w:p>
          <w:p w14:paraId="63E0CB73">
            <w:pPr>
              <w:adjustRightInd w:val="0"/>
              <w:snapToGrid w:val="0"/>
              <w:spacing w:line="360" w:lineRule="auto"/>
              <w:ind w:firstLine="480" w:firstLineChars="200"/>
              <w:rPr>
                <w:rFonts w:hint="default" w:ascii="Times New Roman" w:hAnsi="Times New Roman" w:cs="Times New Roman" w:eastAsiaTheme="minorEastAsia"/>
                <w:color w:val="000000" w:themeColor="text1"/>
                <w:sz w:val="24"/>
                <w:highlight w:val="none"/>
                <w:lang w:val="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val="zh-CN"/>
                <w14:textFill>
                  <w14:solidFill>
                    <w14:schemeClr w14:val="tx1"/>
                  </w14:solidFill>
                </w14:textFill>
              </w:rPr>
              <w:t>总悬浮颗粒物。</w:t>
            </w:r>
          </w:p>
          <w:p w14:paraId="5CD0C6B2">
            <w:pPr>
              <w:adjustRightInd w:val="0"/>
              <w:snapToGrid w:val="0"/>
              <w:spacing w:line="360" w:lineRule="auto"/>
              <w:ind w:firstLine="480" w:firstLineChars="200"/>
              <w:rPr>
                <w:rFonts w:hint="default" w:ascii="Times New Roman" w:hAnsi="Times New Roman" w:cs="Times New Roman" w:eastAsiaTheme="minorEastAsia"/>
                <w:color w:val="000000" w:themeColor="text1"/>
                <w:sz w:val="24"/>
                <w:highlight w:val="none"/>
                <w:lang w:val="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val="zh-CN"/>
                <w14:textFill>
                  <w14:solidFill>
                    <w14:schemeClr w14:val="tx1"/>
                  </w14:solidFill>
                </w14:textFill>
              </w:rPr>
              <w:t>②监测时间</w:t>
            </w:r>
          </w:p>
          <w:p w14:paraId="28C0B34C">
            <w:pPr>
              <w:adjustRightInd w:val="0"/>
              <w:snapToGrid w:val="0"/>
              <w:spacing w:line="360" w:lineRule="auto"/>
              <w:ind w:firstLine="480" w:firstLineChars="200"/>
              <w:rPr>
                <w:rFonts w:hint="default" w:ascii="Times New Roman" w:hAnsi="Times New Roman" w:cs="Times New Roman" w:eastAsiaTheme="minorEastAsia"/>
                <w:color w:val="000000" w:themeColor="text1"/>
                <w:sz w:val="24"/>
                <w:highlight w:val="none"/>
                <w:lang w:val="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val="zh-CN"/>
                <w14:textFill>
                  <w14:solidFill>
                    <w14:schemeClr w14:val="tx1"/>
                  </w14:solidFill>
                </w14:textFill>
              </w:rPr>
              <w:t>监测时间：</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2025年11月8日-11月10日</w:t>
            </w:r>
            <w:r>
              <w:rPr>
                <w:rFonts w:hint="default" w:ascii="Times New Roman" w:hAnsi="Times New Roman" w:cs="Times New Roman" w:eastAsiaTheme="minorEastAsia"/>
                <w:color w:val="000000" w:themeColor="text1"/>
                <w:sz w:val="24"/>
                <w:highlight w:val="none"/>
                <w:lang w:val="zh-CN"/>
                <w14:textFill>
                  <w14:solidFill>
                    <w14:schemeClr w14:val="tx1"/>
                  </w14:solidFill>
                </w14:textFill>
              </w:rPr>
              <w:t>，连续监测</w:t>
            </w:r>
            <w:r>
              <w:rPr>
                <w:rFonts w:hint="default" w:ascii="Times New Roman" w:hAnsi="Times New Roman" w:cs="Times New Roman" w:eastAsiaTheme="minorEastAsia"/>
                <w:color w:val="000000" w:themeColor="text1"/>
                <w:sz w:val="24"/>
                <w:highlight w:val="none"/>
                <w14:textFill>
                  <w14:solidFill>
                    <w14:schemeClr w14:val="tx1"/>
                  </w14:solidFill>
                </w14:textFill>
              </w:rPr>
              <w:t>3</w:t>
            </w:r>
            <w:r>
              <w:rPr>
                <w:rFonts w:hint="default" w:ascii="Times New Roman" w:hAnsi="Times New Roman" w:cs="Times New Roman" w:eastAsiaTheme="minorEastAsia"/>
                <w:color w:val="000000" w:themeColor="text1"/>
                <w:sz w:val="24"/>
                <w:highlight w:val="none"/>
                <w:lang w:val="zh-CN"/>
                <w14:textFill>
                  <w14:solidFill>
                    <w14:schemeClr w14:val="tx1"/>
                  </w14:solidFill>
                </w14:textFill>
              </w:rPr>
              <w:t>天。</w:t>
            </w:r>
          </w:p>
          <w:p w14:paraId="7B53C963">
            <w:pPr>
              <w:adjustRightInd w:val="0"/>
              <w:snapToGrid w:val="0"/>
              <w:spacing w:line="360" w:lineRule="auto"/>
              <w:ind w:firstLine="480" w:firstLineChars="200"/>
              <w:rPr>
                <w:rFonts w:hint="default" w:ascii="Times New Roman" w:hAnsi="Times New Roman" w:cs="Times New Roman" w:eastAsiaTheme="minorEastAsia"/>
                <w:color w:val="000000" w:themeColor="text1"/>
                <w:sz w:val="24"/>
                <w:highlight w:val="none"/>
                <w:lang w:val="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val="zh-CN"/>
                <w14:textFill>
                  <w14:solidFill>
                    <w14:schemeClr w14:val="tx1"/>
                  </w14:solidFill>
                </w14:textFill>
              </w:rPr>
              <w:t>③监测频率</w:t>
            </w:r>
          </w:p>
          <w:p w14:paraId="081F14E0">
            <w:pPr>
              <w:adjustRightInd w:val="0"/>
              <w:snapToGrid w:val="0"/>
              <w:spacing w:line="360" w:lineRule="auto"/>
              <w:ind w:firstLine="480" w:firstLineChars="200"/>
              <w:rPr>
                <w:rFonts w:hint="default" w:ascii="Times New Roman" w:hAnsi="Times New Roman" w:cs="Times New Roman" w:eastAsiaTheme="minorEastAsia"/>
                <w:color w:val="000000" w:themeColor="text1"/>
                <w:sz w:val="24"/>
                <w:highlight w:val="none"/>
                <w:lang w:val="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val="zh-CN"/>
                <w14:textFill>
                  <w14:solidFill>
                    <w14:schemeClr w14:val="tx1"/>
                  </w14:solidFill>
                </w14:textFill>
              </w:rPr>
              <w:t>连续监测</w:t>
            </w:r>
            <w:r>
              <w:rPr>
                <w:rFonts w:hint="default" w:ascii="Times New Roman" w:hAnsi="Times New Roman" w:cs="Times New Roman" w:eastAsiaTheme="minorEastAsia"/>
                <w:color w:val="000000" w:themeColor="text1"/>
                <w:sz w:val="24"/>
                <w:highlight w:val="none"/>
                <w14:textFill>
                  <w14:solidFill>
                    <w14:schemeClr w14:val="tx1"/>
                  </w14:solidFill>
                </w14:textFill>
              </w:rPr>
              <w:t>3</w:t>
            </w:r>
            <w:r>
              <w:rPr>
                <w:rFonts w:hint="default" w:ascii="Times New Roman" w:hAnsi="Times New Roman" w:cs="Times New Roman" w:eastAsiaTheme="minorEastAsia"/>
                <w:color w:val="000000" w:themeColor="text1"/>
                <w:sz w:val="24"/>
                <w:highlight w:val="none"/>
                <w:lang w:val="zh-CN"/>
                <w14:textFill>
                  <w14:solidFill>
                    <w14:schemeClr w14:val="tx1"/>
                  </w14:solidFill>
                </w14:textFill>
              </w:rPr>
              <w:t>天，每天取日均值。</w:t>
            </w:r>
          </w:p>
          <w:p w14:paraId="4DB9EDD1">
            <w:pPr>
              <w:adjustRightInd w:val="0"/>
              <w:snapToGrid w:val="0"/>
              <w:spacing w:line="360" w:lineRule="auto"/>
              <w:ind w:firstLine="480" w:firstLineChars="200"/>
              <w:rPr>
                <w:rFonts w:hint="default" w:ascii="Times New Roman" w:hAnsi="Times New Roman" w:cs="Times New Roman" w:eastAsiaTheme="minorEastAsia"/>
                <w:color w:val="000000" w:themeColor="text1"/>
                <w:sz w:val="24"/>
                <w:highlight w:val="none"/>
                <w:lang w:val="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val="zh-CN"/>
                <w14:textFill>
                  <w14:solidFill>
                    <w14:schemeClr w14:val="tx1"/>
                  </w14:solidFill>
                </w14:textFill>
              </w:rPr>
              <w:t>④监测点位</w:t>
            </w:r>
          </w:p>
          <w:p w14:paraId="4B02F0B5">
            <w:pPr>
              <w:adjustRightInd w:val="0"/>
              <w:snapToGrid w:val="0"/>
              <w:spacing w:line="360" w:lineRule="auto"/>
              <w:ind w:firstLine="480" w:firstLineChars="200"/>
              <w:rPr>
                <w:rFonts w:hint="default" w:ascii="Times New Roman" w:hAnsi="Times New Roman" w:cs="Times New Roman" w:eastAsiaTheme="minorEastAsia"/>
                <w:b/>
                <w:bCs/>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lang w:val="zh-CN"/>
                <w14:textFill>
                  <w14:solidFill>
                    <w14:schemeClr w14:val="tx1"/>
                  </w14:solidFill>
                </w14:textFill>
              </w:rPr>
              <w:t>监测点位置具体见表</w:t>
            </w:r>
            <w:r>
              <w:rPr>
                <w:rFonts w:hint="default" w:ascii="Times New Roman" w:hAnsi="Times New Roman" w:cs="Times New Roman" w:eastAsiaTheme="minorEastAsia"/>
                <w:color w:val="000000" w:themeColor="text1"/>
                <w:sz w:val="24"/>
                <w:highlight w:val="none"/>
                <w14:textFill>
                  <w14:solidFill>
                    <w14:schemeClr w14:val="tx1"/>
                  </w14:solidFill>
                </w14:textFill>
              </w:rPr>
              <w:t>3</w:t>
            </w:r>
            <w:r>
              <w:rPr>
                <w:rFonts w:hint="default" w:ascii="Times New Roman" w:hAnsi="Times New Roman" w:cs="Times New Roman" w:eastAsiaTheme="minorEastAsia"/>
                <w:color w:val="000000" w:themeColor="text1"/>
                <w:sz w:val="24"/>
                <w:highlight w:val="none"/>
                <w:lang w:val="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2</w:t>
            </w:r>
            <w:r>
              <w:rPr>
                <w:rFonts w:hint="default" w:ascii="Times New Roman" w:hAnsi="Times New Roman" w:cs="Times New Roman" w:eastAsiaTheme="minorEastAsia"/>
                <w:color w:val="000000" w:themeColor="text1"/>
                <w:sz w:val="24"/>
                <w:highlight w:val="none"/>
                <w:lang w:val="zh-CN"/>
                <w14:textFill>
                  <w14:solidFill>
                    <w14:schemeClr w14:val="tx1"/>
                  </w14:solidFill>
                </w14:textFill>
              </w:rPr>
              <w:t>和图</w:t>
            </w:r>
            <w:r>
              <w:rPr>
                <w:rFonts w:hint="default" w:ascii="Times New Roman" w:hAnsi="Times New Roman" w:cs="Times New Roman" w:eastAsiaTheme="minorEastAsia"/>
                <w:color w:val="000000" w:themeColor="text1"/>
                <w:sz w:val="24"/>
                <w:highlight w:val="none"/>
                <w14:textFill>
                  <w14:solidFill>
                    <w14:schemeClr w14:val="tx1"/>
                  </w14:solidFill>
                </w14:textFill>
              </w:rPr>
              <w:t>3</w:t>
            </w:r>
            <w:r>
              <w:rPr>
                <w:rFonts w:hint="default" w:ascii="Times New Roman" w:hAnsi="Times New Roman" w:cs="Times New Roman" w:eastAsiaTheme="minorEastAsia"/>
                <w:color w:val="000000" w:themeColor="text1"/>
                <w:sz w:val="24"/>
                <w:highlight w:val="none"/>
                <w:lang w:val="zh-CN"/>
                <w14:textFill>
                  <w14:solidFill>
                    <w14:schemeClr w14:val="tx1"/>
                  </w14:solidFill>
                </w14:textFill>
              </w:rPr>
              <w:t>-1。</w:t>
            </w:r>
          </w:p>
          <w:p w14:paraId="18CF68DD">
            <w:pPr>
              <w:spacing w:line="360" w:lineRule="auto"/>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b/>
                <w:bCs/>
                <w:color w:val="000000" w:themeColor="text1"/>
                <w:sz w:val="24"/>
                <w:szCs w:val="24"/>
                <w:highlight w:val="none"/>
                <w14:textFill>
                  <w14:solidFill>
                    <w14:schemeClr w14:val="tx1"/>
                  </w14:solidFill>
                </w14:textFill>
              </w:rPr>
              <w:t>表3-2项目环境空气现状监测布点一览表</w:t>
            </w:r>
          </w:p>
          <w:tbl>
            <w:tblPr>
              <w:tblStyle w:val="14"/>
              <w:tblW w:w="841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0"/>
              <w:gridCol w:w="1237"/>
              <w:gridCol w:w="1113"/>
              <w:gridCol w:w="1310"/>
              <w:gridCol w:w="1265"/>
              <w:gridCol w:w="1180"/>
              <w:gridCol w:w="1268"/>
            </w:tblGrid>
            <w:tr w14:paraId="704DA1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6" w:hRule="atLeast"/>
                <w:jc w:val="center"/>
              </w:trPr>
              <w:tc>
                <w:tcPr>
                  <w:tcW w:w="1040" w:type="dxa"/>
                  <w:vAlign w:val="center"/>
                </w:tcPr>
                <w:p w14:paraId="1469BF5D">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监测点名称</w:t>
                  </w:r>
                </w:p>
              </w:tc>
              <w:tc>
                <w:tcPr>
                  <w:tcW w:w="2350" w:type="dxa"/>
                  <w:gridSpan w:val="2"/>
                  <w:vAlign w:val="center"/>
                </w:tcPr>
                <w:p w14:paraId="5B198651">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坐标/°</w:t>
                  </w:r>
                </w:p>
              </w:tc>
              <w:tc>
                <w:tcPr>
                  <w:tcW w:w="1310" w:type="dxa"/>
                  <w:vAlign w:val="center"/>
                </w:tcPr>
                <w:p w14:paraId="7302402C">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监测因子</w:t>
                  </w:r>
                </w:p>
              </w:tc>
              <w:tc>
                <w:tcPr>
                  <w:tcW w:w="1265" w:type="dxa"/>
                  <w:vAlign w:val="center"/>
                </w:tcPr>
                <w:p w14:paraId="34D2F4E0">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监测时段</w:t>
                  </w:r>
                </w:p>
              </w:tc>
              <w:tc>
                <w:tcPr>
                  <w:tcW w:w="1180" w:type="dxa"/>
                  <w:vAlign w:val="center"/>
                </w:tcPr>
                <w:p w14:paraId="0AB37F75">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相对厂址方位</w:t>
                  </w:r>
                </w:p>
              </w:tc>
              <w:tc>
                <w:tcPr>
                  <w:tcW w:w="1268" w:type="dxa"/>
                  <w:vAlign w:val="center"/>
                </w:tcPr>
                <w:p w14:paraId="3F9312A0">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相对厂界距离（m）</w:t>
                  </w:r>
                </w:p>
              </w:tc>
            </w:tr>
            <w:tr w14:paraId="5CB6D4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040" w:type="dxa"/>
                  <w:vAlign w:val="center"/>
                </w:tcPr>
                <w:p w14:paraId="52B6B95E">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厂址下风向</w:t>
                  </w:r>
                </w:p>
              </w:tc>
              <w:tc>
                <w:tcPr>
                  <w:tcW w:w="1237" w:type="dxa"/>
                  <w:vAlign w:val="center"/>
                </w:tcPr>
                <w:p w14:paraId="181098B3">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lang w:val="en-US"/>
                      <w14:textFill>
                        <w14:solidFill>
                          <w14:schemeClr w14:val="tx1"/>
                        </w14:solidFill>
                      </w14:textFill>
                    </w:rPr>
                  </w:pPr>
                  <w:r>
                    <w:rPr>
                      <w:rFonts w:hint="default" w:ascii="Times New Roman" w:hAnsi="Times New Roman" w:cs="Times New Roman" w:eastAsiaTheme="minorEastAsia"/>
                      <w:b w:val="0"/>
                      <w:color w:val="000000" w:themeColor="text1"/>
                      <w:szCs w:val="21"/>
                      <w:lang w:val="en-US" w:eastAsia="zh-CN"/>
                      <w14:textFill>
                        <w14:solidFill>
                          <w14:schemeClr w14:val="tx1"/>
                        </w14:solidFill>
                      </w14:textFill>
                    </w:rPr>
                    <w:t>131.172218</w:t>
                  </w:r>
                </w:p>
              </w:tc>
              <w:tc>
                <w:tcPr>
                  <w:tcW w:w="1113" w:type="dxa"/>
                  <w:vAlign w:val="center"/>
                </w:tcPr>
                <w:p w14:paraId="441AD82B">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lang w:val="en-US"/>
                      <w14:textFill>
                        <w14:solidFill>
                          <w14:schemeClr w14:val="tx1"/>
                        </w14:solidFill>
                      </w14:textFill>
                    </w:rPr>
                  </w:pPr>
                  <w:r>
                    <w:rPr>
                      <w:rFonts w:hint="default" w:ascii="Times New Roman" w:hAnsi="Times New Roman" w:cs="Times New Roman" w:eastAsiaTheme="minorEastAsia"/>
                      <w:b w:val="0"/>
                      <w:color w:val="000000" w:themeColor="text1"/>
                      <w:szCs w:val="21"/>
                      <w:lang w:val="en-US" w:eastAsia="zh-CN"/>
                      <w14:textFill>
                        <w14:solidFill>
                          <w14:schemeClr w14:val="tx1"/>
                        </w14:solidFill>
                      </w14:textFill>
                    </w:rPr>
                    <w:t>46.604312</w:t>
                  </w:r>
                </w:p>
              </w:tc>
              <w:tc>
                <w:tcPr>
                  <w:tcW w:w="1310" w:type="dxa"/>
                  <w:vAlign w:val="center"/>
                </w:tcPr>
                <w:p w14:paraId="7C69C85A">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总悬浮颗粒物</w:t>
                  </w:r>
                </w:p>
              </w:tc>
              <w:tc>
                <w:tcPr>
                  <w:tcW w:w="1265" w:type="dxa"/>
                  <w:vAlign w:val="center"/>
                </w:tcPr>
                <w:p w14:paraId="4EEDF1B5">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2025年11月8日-11月10日</w:t>
                  </w:r>
                </w:p>
              </w:tc>
              <w:tc>
                <w:tcPr>
                  <w:tcW w:w="1180" w:type="dxa"/>
                  <w:vAlign w:val="center"/>
                </w:tcPr>
                <w:p w14:paraId="35E3057D">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N</w:t>
                  </w:r>
                  <w:r>
                    <w:rPr>
                      <w:rFonts w:hint="default" w:ascii="Times New Roman" w:hAnsi="Times New Roman" w:cs="Times New Roman" w:eastAsiaTheme="minorEastAsia"/>
                      <w:color w:val="000000" w:themeColor="text1"/>
                      <w:szCs w:val="21"/>
                      <w:highlight w:val="none"/>
                      <w14:textFill>
                        <w14:solidFill>
                          <w14:schemeClr w14:val="tx1"/>
                        </w14:solidFill>
                      </w14:textFill>
                    </w:rPr>
                    <w:t>E</w:t>
                  </w:r>
                </w:p>
              </w:tc>
              <w:tc>
                <w:tcPr>
                  <w:tcW w:w="1268" w:type="dxa"/>
                  <w:vAlign w:val="center"/>
                </w:tcPr>
                <w:p w14:paraId="5439E7D4">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50</w:t>
                  </w:r>
                </w:p>
              </w:tc>
            </w:tr>
          </w:tbl>
          <w:p w14:paraId="7F123AF0">
            <w:pPr>
              <w:spacing w:line="360" w:lineRule="auto"/>
              <w:jc w:val="center"/>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5395595" cy="3146425"/>
                  <wp:effectExtent l="0" t="0" r="14605" b="15875"/>
                  <wp:docPr id="90"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89"/>
                          <pic:cNvPicPr>
                            <a:picLocks noChangeAspect="1"/>
                          </pic:cNvPicPr>
                        </pic:nvPicPr>
                        <pic:blipFill>
                          <a:blip r:embed="rId18"/>
                          <a:stretch>
                            <a:fillRect/>
                          </a:stretch>
                        </pic:blipFill>
                        <pic:spPr>
                          <a:xfrm>
                            <a:off x="0" y="0"/>
                            <a:ext cx="5395595" cy="3146425"/>
                          </a:xfrm>
                          <a:prstGeom prst="rect">
                            <a:avLst/>
                          </a:prstGeom>
                          <a:noFill/>
                          <a:ln>
                            <a:noFill/>
                          </a:ln>
                        </pic:spPr>
                      </pic:pic>
                    </a:graphicData>
                  </a:graphic>
                </wp:inline>
              </w:drawing>
            </w:r>
          </w:p>
          <w:p w14:paraId="6371F101">
            <w:pPr>
              <w:spacing w:line="360" w:lineRule="auto"/>
              <w:ind w:firstLine="482" w:firstLineChars="200"/>
              <w:jc w:val="center"/>
              <w:rPr>
                <w:rFonts w:hint="default" w:ascii="Times New Roman" w:hAnsi="Times New Roman" w:cs="Times New Roman"/>
                <w:b/>
                <w:color w:val="000000" w:themeColor="text1"/>
                <w:kern w:val="0"/>
                <w:sz w:val="24"/>
                <w:szCs w:val="24"/>
                <w:highlight w:val="none"/>
                <w14:textFill>
                  <w14:solidFill>
                    <w14:schemeClr w14:val="tx1"/>
                  </w14:solidFill>
                </w14:textFill>
              </w:rPr>
            </w:pPr>
            <w:r>
              <w:rPr>
                <w:rFonts w:hint="default" w:ascii="Times New Roman" w:hAnsi="Times New Roman" w:cs="Times New Roman"/>
                <w:b/>
                <w:color w:val="000000" w:themeColor="text1"/>
                <w:kern w:val="0"/>
                <w:sz w:val="24"/>
                <w:szCs w:val="24"/>
                <w:highlight w:val="none"/>
                <w14:textFill>
                  <w14:solidFill>
                    <w14:schemeClr w14:val="tx1"/>
                  </w14:solidFill>
                </w14:textFill>
              </w:rPr>
              <w:t>图3-1大气监测点位图</w:t>
            </w:r>
          </w:p>
          <w:p w14:paraId="5663FF59">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⑤监测结果</w:t>
            </w:r>
          </w:p>
          <w:p w14:paraId="072191E9">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本次环境空气质量现状监测结果见表3-3。</w:t>
            </w:r>
          </w:p>
          <w:p w14:paraId="600AAAA8">
            <w:pPr>
              <w:spacing w:line="360" w:lineRule="auto"/>
              <w:jc w:val="center"/>
              <w:rPr>
                <w:rFonts w:hint="default" w:ascii="Times New Roman" w:hAnsi="Times New Roman" w:cs="Times New Roman" w:eastAsiaTheme="minorEastAsia"/>
                <w:b/>
                <w:bCs/>
                <w:color w:val="000000" w:themeColor="text1"/>
                <w:szCs w:val="21"/>
                <w:highlight w:val="none"/>
                <w14:textFill>
                  <w14:solidFill>
                    <w14:schemeClr w14:val="tx1"/>
                  </w14:solidFill>
                </w14:textFill>
              </w:rPr>
            </w:pPr>
            <w:r>
              <w:rPr>
                <w:rFonts w:hint="default" w:ascii="Times New Roman" w:hAnsi="Times New Roman" w:cs="Times New Roman" w:eastAsiaTheme="minorEastAsia"/>
                <w:b/>
                <w:bCs/>
                <w:color w:val="000000" w:themeColor="text1"/>
                <w:sz w:val="24"/>
                <w:szCs w:val="24"/>
                <w:highlight w:val="none"/>
                <w14:textFill>
                  <w14:solidFill>
                    <w14:schemeClr w14:val="tx1"/>
                  </w14:solidFill>
                </w14:textFill>
              </w:rPr>
              <w:t>表3-3其他污染物环境质量现状监测结果表</w:t>
            </w:r>
          </w:p>
          <w:tbl>
            <w:tblPr>
              <w:tblStyle w:val="13"/>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2"/>
              <w:gridCol w:w="1170"/>
              <w:gridCol w:w="1018"/>
              <w:gridCol w:w="712"/>
              <w:gridCol w:w="743"/>
              <w:gridCol w:w="966"/>
              <w:gridCol w:w="940"/>
              <w:gridCol w:w="738"/>
              <w:gridCol w:w="558"/>
              <w:gridCol w:w="563"/>
            </w:tblGrid>
            <w:tr w14:paraId="481835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38" w:type="dxa"/>
                  <w:vAlign w:val="center"/>
                </w:tcPr>
                <w:p w14:paraId="02C3409A">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监测</w:t>
                  </w:r>
                </w:p>
                <w:p w14:paraId="086459B5">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点位</w:t>
                  </w:r>
                </w:p>
              </w:tc>
              <w:tc>
                <w:tcPr>
                  <w:tcW w:w="2264" w:type="dxa"/>
                  <w:gridSpan w:val="2"/>
                  <w:vAlign w:val="center"/>
                </w:tcPr>
                <w:p w14:paraId="53834141">
                  <w:pPr>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坐标/</w:t>
                  </w:r>
                  <w:r>
                    <w:rPr>
                      <w:rFonts w:hint="default" w:ascii="Times New Roman" w:hAnsi="Times New Roman" w:cs="Times New Roman" w:eastAsiaTheme="minorEastAsia"/>
                      <w:color w:val="000000" w:themeColor="text1"/>
                      <w:highlight w:val="none"/>
                      <w14:textFill>
                        <w14:solidFill>
                          <w14:schemeClr w14:val="tx1"/>
                        </w14:solidFill>
                      </w14:textFill>
                    </w:rPr>
                    <w:t>°</w:t>
                  </w:r>
                </w:p>
              </w:tc>
              <w:tc>
                <w:tcPr>
                  <w:tcW w:w="733" w:type="dxa"/>
                  <w:vAlign w:val="center"/>
                </w:tcPr>
                <w:p w14:paraId="3A674F0F">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污染物</w:t>
                  </w:r>
                </w:p>
              </w:tc>
              <w:tc>
                <w:tcPr>
                  <w:tcW w:w="766" w:type="dxa"/>
                  <w:vAlign w:val="center"/>
                </w:tcPr>
                <w:p w14:paraId="39E5308F">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评价时间</w:t>
                  </w:r>
                </w:p>
              </w:tc>
              <w:tc>
                <w:tcPr>
                  <w:tcW w:w="999" w:type="dxa"/>
                  <w:vAlign w:val="center"/>
                </w:tcPr>
                <w:p w14:paraId="6652D12B">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评价标准/(mg/m</w:t>
                  </w:r>
                  <w:r>
                    <w:rPr>
                      <w:rFonts w:hint="default" w:ascii="Times New Roman" w:hAnsi="Times New Roman" w:cs="Times New Roman" w:eastAsiaTheme="minorEastAsia"/>
                      <w:color w:val="000000" w:themeColor="text1"/>
                      <w:szCs w:val="21"/>
                      <w:highlight w:val="none"/>
                      <w:vertAlign w:val="superscript"/>
                      <w14:textFill>
                        <w14:solidFill>
                          <w14:schemeClr w14:val="tx1"/>
                        </w14:solidFill>
                      </w14:textFill>
                    </w:rPr>
                    <w:t>3</w:t>
                  </w: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971" w:type="dxa"/>
                  <w:vAlign w:val="center"/>
                </w:tcPr>
                <w:p w14:paraId="26EE45BA">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监测浓度范围</w:t>
                  </w:r>
                </w:p>
                <w:p w14:paraId="6AD58147">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r>
                    <w:rPr>
                      <w:rFonts w:hint="default" w:ascii="Times New Roman" w:hAnsi="Times New Roman" w:cs="Times New Roman" w:eastAsiaTheme="minorEastAsia"/>
                      <w:color w:val="000000" w:themeColor="text1"/>
                      <w:highlight w:val="none"/>
                      <w14:textFill>
                        <w14:solidFill>
                          <w14:schemeClr w14:val="tx1"/>
                        </w14:solidFill>
                      </w14:textFill>
                    </w:rPr>
                    <w:t>μg/m</w:t>
                  </w:r>
                  <w:r>
                    <w:rPr>
                      <w:rFonts w:hint="default" w:ascii="Times New Roman" w:hAnsi="Times New Roman" w:cs="Times New Roman" w:eastAsiaTheme="minorEastAsia"/>
                      <w:color w:val="000000" w:themeColor="text1"/>
                      <w:szCs w:val="21"/>
                      <w:highlight w:val="none"/>
                      <w:vertAlign w:val="superscript"/>
                      <w14:textFill>
                        <w14:solidFill>
                          <w14:schemeClr w14:val="tx1"/>
                        </w14:solidFill>
                      </w14:textFill>
                    </w:rPr>
                    <w:t>3</w:t>
                  </w: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761" w:type="dxa"/>
                  <w:vAlign w:val="center"/>
                </w:tcPr>
                <w:p w14:paraId="574EA267">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最大浓度占标率/%</w:t>
                  </w:r>
                </w:p>
              </w:tc>
              <w:tc>
                <w:tcPr>
                  <w:tcW w:w="573" w:type="dxa"/>
                  <w:vAlign w:val="center"/>
                </w:tcPr>
                <w:p w14:paraId="2706E4BD">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超标率/%</w:t>
                  </w:r>
                </w:p>
              </w:tc>
              <w:tc>
                <w:tcPr>
                  <w:tcW w:w="577" w:type="dxa"/>
                  <w:vAlign w:val="center"/>
                </w:tcPr>
                <w:p w14:paraId="3835EE71">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达标情况</w:t>
                  </w:r>
                </w:p>
              </w:tc>
            </w:tr>
            <w:tr w14:paraId="3D6EAD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38" w:type="dxa"/>
                  <w:vAlign w:val="center"/>
                </w:tcPr>
                <w:p w14:paraId="61A24394">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厂址下风向</w:t>
                  </w:r>
                </w:p>
              </w:tc>
              <w:tc>
                <w:tcPr>
                  <w:tcW w:w="1211" w:type="dxa"/>
                  <w:vAlign w:val="center"/>
                </w:tcPr>
                <w:p w14:paraId="7189432C">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b w:val="0"/>
                      <w:color w:val="000000" w:themeColor="text1"/>
                      <w:szCs w:val="21"/>
                      <w:lang w:val="en-US" w:eastAsia="zh-CN"/>
                      <w14:textFill>
                        <w14:solidFill>
                          <w14:schemeClr w14:val="tx1"/>
                        </w14:solidFill>
                      </w14:textFill>
                    </w:rPr>
                    <w:t>131.172218</w:t>
                  </w:r>
                </w:p>
              </w:tc>
              <w:tc>
                <w:tcPr>
                  <w:tcW w:w="1053" w:type="dxa"/>
                  <w:vAlign w:val="center"/>
                </w:tcPr>
                <w:p w14:paraId="772152AF">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b w:val="0"/>
                      <w:color w:val="000000" w:themeColor="text1"/>
                      <w:szCs w:val="21"/>
                      <w:lang w:val="en-US" w:eastAsia="zh-CN"/>
                      <w14:textFill>
                        <w14:solidFill>
                          <w14:schemeClr w14:val="tx1"/>
                        </w14:solidFill>
                      </w14:textFill>
                    </w:rPr>
                    <w:t>46.604312</w:t>
                  </w:r>
                </w:p>
              </w:tc>
              <w:tc>
                <w:tcPr>
                  <w:tcW w:w="733" w:type="dxa"/>
                  <w:vAlign w:val="center"/>
                </w:tcPr>
                <w:p w14:paraId="4A3429C4">
                  <w:pPr>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总悬浮颗粒物</w:t>
                  </w:r>
                </w:p>
              </w:tc>
              <w:tc>
                <w:tcPr>
                  <w:tcW w:w="766" w:type="dxa"/>
                  <w:vAlign w:val="center"/>
                </w:tcPr>
                <w:p w14:paraId="14281FF2">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14:textFill>
                        <w14:solidFill>
                          <w14:schemeClr w14:val="tx1"/>
                        </w14:solidFill>
                      </w14:textFill>
                    </w:rPr>
                    <w:t>24小时</w:t>
                  </w:r>
                  <w:r>
                    <w:rPr>
                      <w:rFonts w:hint="default" w:ascii="Times New Roman" w:hAnsi="Times New Roman" w:cs="Times New Roman" w:eastAsiaTheme="minorEastAsia"/>
                      <w:color w:val="000000" w:themeColor="text1"/>
                      <w:kern w:val="0"/>
                      <w:szCs w:val="21"/>
                      <w:highlight w:val="none"/>
                      <w:lang w:val="en-US" w:eastAsia="zh-CN"/>
                      <w14:textFill>
                        <w14:solidFill>
                          <w14:schemeClr w14:val="tx1"/>
                        </w14:solidFill>
                      </w14:textFill>
                    </w:rPr>
                    <w:t>日</w:t>
                  </w:r>
                  <w:r>
                    <w:rPr>
                      <w:rFonts w:hint="default" w:ascii="Times New Roman" w:hAnsi="Times New Roman" w:cs="Times New Roman" w:eastAsiaTheme="minorEastAsia"/>
                      <w:color w:val="000000" w:themeColor="text1"/>
                      <w:kern w:val="0"/>
                      <w:szCs w:val="21"/>
                      <w:highlight w:val="none"/>
                      <w14:textFill>
                        <w14:solidFill>
                          <w14:schemeClr w14:val="tx1"/>
                        </w14:solidFill>
                      </w14:textFill>
                    </w:rPr>
                    <w:t>均值</w:t>
                  </w:r>
                </w:p>
              </w:tc>
              <w:tc>
                <w:tcPr>
                  <w:tcW w:w="999" w:type="dxa"/>
                  <w:vAlign w:val="center"/>
                </w:tcPr>
                <w:p w14:paraId="377D467D">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0.3</w:t>
                  </w:r>
                </w:p>
              </w:tc>
              <w:tc>
                <w:tcPr>
                  <w:tcW w:w="971" w:type="dxa"/>
                  <w:vAlign w:val="center"/>
                </w:tcPr>
                <w:p w14:paraId="0B4BB7FF">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92-109</w:t>
                  </w:r>
                </w:p>
              </w:tc>
              <w:tc>
                <w:tcPr>
                  <w:tcW w:w="761" w:type="dxa"/>
                  <w:vAlign w:val="center"/>
                </w:tcPr>
                <w:p w14:paraId="12EEEE68">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36.3</w:t>
                  </w:r>
                </w:p>
              </w:tc>
              <w:tc>
                <w:tcPr>
                  <w:tcW w:w="573" w:type="dxa"/>
                  <w:vAlign w:val="center"/>
                </w:tcPr>
                <w:p w14:paraId="1AD66A05">
                  <w:pPr>
                    <w:autoSpaceDE w:val="0"/>
                    <w:autoSpaceDN w:val="0"/>
                    <w:adjustRightInd w:val="0"/>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w:t>
                  </w:r>
                </w:p>
              </w:tc>
              <w:tc>
                <w:tcPr>
                  <w:tcW w:w="577" w:type="dxa"/>
                  <w:vAlign w:val="center"/>
                </w:tcPr>
                <w:p w14:paraId="6B53073F">
                  <w:pPr>
                    <w:spacing w:line="24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达标</w:t>
                  </w:r>
                </w:p>
              </w:tc>
            </w:tr>
          </w:tbl>
          <w:p w14:paraId="699B4712">
            <w:pPr>
              <w:adjustRightInd w:val="0"/>
              <w:snapToGrid w:val="0"/>
              <w:spacing w:line="360" w:lineRule="auto"/>
              <w:ind w:firstLine="480" w:firstLineChars="200"/>
              <w:rPr>
                <w:rFonts w:hint="default" w:ascii="Times New Roman" w:hAnsi="Times New Roman" w:cs="Times New Roman" w:eastAsiaTheme="minorEastAsia"/>
                <w:bCs/>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由上表可知，本项目所在区域在监测时段内特征污染物总悬浮颗粒物监测结果无超标现象，达到了《环境空气质量标准》（GB3095-2012）二级标准要求</w:t>
            </w:r>
            <w:r>
              <w:rPr>
                <w:rFonts w:hint="default" w:ascii="Times New Roman" w:hAnsi="Times New Roman" w:cs="Times New Roman" w:eastAsiaTheme="minorEastAsia"/>
                <w:bCs/>
                <w:color w:val="000000" w:themeColor="text1"/>
                <w:sz w:val="24"/>
                <w:highlight w:val="none"/>
                <w14:textFill>
                  <w14:solidFill>
                    <w14:schemeClr w14:val="tx1"/>
                  </w14:solidFill>
                </w14:textFill>
              </w:rPr>
              <w:t>。</w:t>
            </w:r>
          </w:p>
          <w:p w14:paraId="2CA1BA2C">
            <w:pPr>
              <w:adjustRightInd w:val="0"/>
              <w:snapToGrid w:val="0"/>
              <w:spacing w:line="360" w:lineRule="auto"/>
              <w:rPr>
                <w:rFonts w:hint="default" w:ascii="Times New Roman" w:hAnsi="Times New Roman" w:cs="Times New Roman"/>
                <w:b/>
                <w:bCs/>
                <w:color w:val="000000" w:themeColor="text1"/>
                <w:sz w:val="24"/>
                <w:szCs w:val="24"/>
                <w:highlight w:val="none"/>
                <w14:textFill>
                  <w14:solidFill>
                    <w14:schemeClr w14:val="tx1"/>
                  </w14:solidFill>
                </w14:textFill>
              </w:rPr>
            </w:pPr>
            <w:r>
              <w:rPr>
                <w:rFonts w:hint="eastAsia" w:cs="Times New Roman"/>
                <w:b/>
                <w:bCs/>
                <w:color w:val="000000" w:themeColor="text1"/>
                <w:sz w:val="24"/>
                <w:szCs w:val="24"/>
                <w:highlight w:val="none"/>
                <w:lang w:eastAsia="zh-CN"/>
                <w14:textFill>
                  <w14:solidFill>
                    <w14:schemeClr w14:val="tx1"/>
                  </w14:solidFill>
                </w14:textFill>
              </w:rPr>
              <w:t>2.</w:t>
            </w:r>
            <w:r>
              <w:rPr>
                <w:rFonts w:hint="default" w:ascii="Times New Roman" w:hAnsi="Times New Roman" w:cs="Times New Roman"/>
                <w:b/>
                <w:bCs/>
                <w:color w:val="000000" w:themeColor="text1"/>
                <w:sz w:val="24"/>
                <w:szCs w:val="24"/>
                <w:highlight w:val="none"/>
                <w14:textFill>
                  <w14:solidFill>
                    <w14:schemeClr w14:val="tx1"/>
                  </w14:solidFill>
                </w14:textFill>
              </w:rPr>
              <w:t>水环境质量现状</w:t>
            </w:r>
          </w:p>
          <w:p w14:paraId="5D67D6A0">
            <w:pPr>
              <w:spacing w:before="29" w:line="360" w:lineRule="auto"/>
              <w:ind w:left="4" w:firstLine="479"/>
              <w:jc w:val="both"/>
              <w:rPr>
                <w:rFonts w:hint="default" w:ascii="Times New Roman" w:hAnsi="Times New Roman" w:cs="Times New Roman" w:eastAsiaTheme="minorEastAsia"/>
                <w:color w:val="000000" w:themeColor="text1"/>
                <w:spacing w:val="-3"/>
                <w:sz w:val="24"/>
                <w:szCs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pacing w:val="-3"/>
                <w:sz w:val="24"/>
                <w:szCs w:val="24"/>
                <w:highlight w:val="none"/>
                <w:lang w:val="en-US" w:eastAsia="zh-CN"/>
                <w14:textFill>
                  <w14:solidFill>
                    <w14:schemeClr w14:val="tx1"/>
                  </w14:solidFill>
                </w14:textFill>
              </w:rPr>
              <w:t>本项目位于黑龙江省双鸭山市尖山区，本项目西侧1680m为安邦河。</w:t>
            </w:r>
          </w:p>
          <w:p w14:paraId="4FDB00EE">
            <w:pPr>
              <w:pStyle w:val="41"/>
              <w:keepNext w:val="0"/>
              <w:keepLines w:val="0"/>
              <w:pageBreakBefore w:val="0"/>
              <w:widowControl w:val="0"/>
              <w:kinsoku/>
              <w:wordWrap/>
              <w:overflowPunct/>
              <w:topLinePunct w:val="0"/>
              <w:bidi w:val="0"/>
              <w:snapToGrid/>
              <w:spacing w:line="360" w:lineRule="auto"/>
              <w:ind w:firstLine="480" w:firstLineChars="200"/>
              <w:outlineLvl w:val="2"/>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根据《全国重要江河湖泊水功能区划（2011-2030年）》，本项目所在区域安邦河为</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窑地村至福富大桥段</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，规划水体类别为Ⅲ类水体，执行《地表水环境质量标准》（GB3838-2002）Ⅲ类标准。</w:t>
            </w:r>
          </w:p>
          <w:p w14:paraId="05FAB23F">
            <w:pPr>
              <w:spacing w:before="34" w:line="360" w:lineRule="auto"/>
              <w:ind w:left="8" w:right="59" w:firstLine="484"/>
              <w:jc w:val="both"/>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根据《202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年黑龙江省生态环境质量状况》可知：双鸭山地表水国家考核断面共6个，Ⅰ-Ⅲ类水质比例上升66.7%，无劣Ⅴ类水质断面。与上年同期相比，Ⅰ-Ⅲ类水质</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比例</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保持不变，均无劣Ⅴ类水质断面。双鸭山市饮用水水源地水量达标率为100%。</w:t>
            </w:r>
          </w:p>
          <w:p w14:paraId="5177051E">
            <w:pPr>
              <w:spacing w:line="360" w:lineRule="auto"/>
              <w:ind w:firstLine="482" w:firstLineChars="200"/>
              <w:rPr>
                <w:rFonts w:hint="default" w:ascii="Times New Roman" w:hAnsi="Times New Roman" w:cs="Times New Roman"/>
                <w:b/>
                <w:bCs/>
                <w:color w:val="000000" w:themeColor="text1"/>
                <w:sz w:val="24"/>
                <w:szCs w:val="24"/>
                <w:highlight w:val="none"/>
                <w14:textFill>
                  <w14:solidFill>
                    <w14:schemeClr w14:val="tx1"/>
                  </w14:solidFill>
                </w14:textFill>
              </w:rPr>
            </w:pPr>
            <w:r>
              <w:rPr>
                <w:rFonts w:hint="eastAsia" w:cs="Times New Roman"/>
                <w:b/>
                <w:bCs/>
                <w:color w:val="000000" w:themeColor="text1"/>
                <w:sz w:val="24"/>
                <w:szCs w:val="24"/>
                <w:highlight w:val="none"/>
                <w:lang w:eastAsia="zh-CN"/>
                <w14:textFill>
                  <w14:solidFill>
                    <w14:schemeClr w14:val="tx1"/>
                  </w14:solidFill>
                </w14:textFill>
              </w:rPr>
              <w:t>3.</w:t>
            </w:r>
            <w:r>
              <w:rPr>
                <w:rFonts w:hint="default" w:ascii="Times New Roman" w:hAnsi="Times New Roman" w:cs="Times New Roman"/>
                <w:b/>
                <w:bCs/>
                <w:color w:val="000000" w:themeColor="text1"/>
                <w:sz w:val="24"/>
                <w:szCs w:val="24"/>
                <w:highlight w:val="none"/>
                <w14:textFill>
                  <w14:solidFill>
                    <w14:schemeClr w14:val="tx1"/>
                  </w14:solidFill>
                </w14:textFill>
              </w:rPr>
              <w:t>声环境质量现状</w:t>
            </w:r>
          </w:p>
          <w:p w14:paraId="4086B93B">
            <w:pPr>
              <w:pStyle w:val="42"/>
              <w:adjustRightInd w:val="0"/>
              <w:snapToGrid w:val="0"/>
              <w:spacing w:line="360" w:lineRule="auto"/>
              <w:ind w:firstLine="480"/>
              <w:rPr>
                <w:rFonts w:hint="default" w:ascii="Times New Roman" w:hAnsi="Times New Roman" w:cs="Times New Roman" w:eastAsiaTheme="minorEastAsia"/>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0"/>
                <w:sz w:val="24"/>
                <w:szCs w:val="24"/>
                <w:highlight w:val="none"/>
                <w:lang w:val="en-US" w:eastAsia="zh-CN" w:bidi="ar-SA"/>
                <w14:textFill>
                  <w14:solidFill>
                    <w14:schemeClr w14:val="tx1"/>
                  </w14:solidFill>
                </w14:textFill>
              </w:rPr>
              <w:t>本项目位于黑龙江省双鸭山市</w:t>
            </w:r>
            <w:r>
              <w:rPr>
                <w:rFonts w:hint="eastAsia" w:cs="Times New Roman" w:eastAsiaTheme="minorEastAsia"/>
                <w:color w:val="000000" w:themeColor="text1"/>
                <w:kern w:val="0"/>
                <w:sz w:val="24"/>
                <w:szCs w:val="24"/>
                <w:highlight w:val="none"/>
                <w:lang w:val="en-US" w:eastAsia="zh-CN" w:bidi="ar-SA"/>
                <w14:textFill>
                  <w14:solidFill>
                    <w14:schemeClr w14:val="tx1"/>
                  </w14:solidFill>
                </w14:textFill>
              </w:rPr>
              <w:t>尖山</w:t>
            </w:r>
            <w:r>
              <w:rPr>
                <w:rFonts w:hint="default" w:ascii="Times New Roman" w:hAnsi="Times New Roman" w:cs="Times New Roman" w:eastAsiaTheme="minorEastAsia"/>
                <w:color w:val="000000" w:themeColor="text1"/>
                <w:kern w:val="0"/>
                <w:sz w:val="24"/>
                <w:szCs w:val="24"/>
                <w:highlight w:val="none"/>
                <w:lang w:val="en-US" w:eastAsia="zh-CN" w:bidi="ar-SA"/>
                <w14:textFill>
                  <w14:solidFill>
                    <w14:schemeClr w14:val="tx1"/>
                  </w14:solidFill>
                </w14:textFill>
              </w:rPr>
              <w:t>区，根据《声环境质量标准》（GB3096-2008），项目所在区执行2类声环境功能区要求。</w:t>
            </w:r>
          </w:p>
          <w:p w14:paraId="4D8EF097">
            <w:pPr>
              <w:pStyle w:val="43"/>
              <w:spacing w:before="36" w:line="360" w:lineRule="auto"/>
              <w:ind w:left="106" w:right="103" w:firstLine="510"/>
              <w:rPr>
                <w:rFonts w:hint="default" w:ascii="Times New Roman" w:hAnsi="Times New Roman" w:cs="Times New Roman" w:eastAsiaTheme="minorEastAsia"/>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根据《建设项目环境影响报告表编制技术指南》（污染影响类），本项目厂界外周边50米范围内不存在声环境保护目标的，无需进行监测。</w:t>
            </w:r>
          </w:p>
          <w:p w14:paraId="2BF19BE1">
            <w:pPr>
              <w:pStyle w:val="24"/>
              <w:keepNext w:val="0"/>
              <w:keepLines w:val="0"/>
              <w:pageBreakBefore w:val="0"/>
              <w:widowControl/>
              <w:kinsoku/>
              <w:wordWrap/>
              <w:overflowPunct/>
              <w:topLinePunct w:val="0"/>
              <w:autoSpaceDE/>
              <w:autoSpaceDN/>
              <w:bidi w:val="0"/>
              <w:adjustRightInd/>
              <w:snapToGrid/>
              <w:ind w:firstLine="482"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cs="Times New Roman"/>
                <w:color w:val="000000" w:themeColor="text1"/>
                <w:sz w:val="24"/>
                <w:szCs w:val="24"/>
                <w:highlight w:val="none"/>
                <w14:textFill>
                  <w14:solidFill>
                    <w14:schemeClr w14:val="tx1"/>
                  </w14:solidFill>
                </w14:textFill>
              </w:rPr>
              <w:t>生态环境</w:t>
            </w:r>
          </w:p>
          <w:p w14:paraId="5928F9D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本项目位于</w:t>
            </w:r>
            <w:r>
              <w:rPr>
                <w:rFonts w:hint="default" w:ascii="Times New Roman" w:hAnsi="Times New Roman" w:cs="Times New Roman"/>
                <w:color w:val="000000" w:themeColor="text1"/>
                <w:sz w:val="24"/>
                <w:szCs w:val="24"/>
                <w:highlight w:val="none"/>
                <w:lang w:eastAsia="zh-CN"/>
                <w14:textFill>
                  <w14:solidFill>
                    <w14:schemeClr w14:val="tx1"/>
                  </w14:solidFill>
                </w14:textFill>
              </w:rPr>
              <w:t>黑龙江森柏岚图家具制造有限公司</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院内。</w:t>
            </w:r>
            <w:r>
              <w:rPr>
                <w:rFonts w:hint="default" w:ascii="Times New Roman" w:hAnsi="Times New Roman" w:cs="Times New Roman"/>
                <w:color w:val="000000" w:themeColor="text1"/>
                <w:sz w:val="24"/>
                <w:szCs w:val="24"/>
                <w:highlight w:val="none"/>
                <w14:textFill>
                  <w14:solidFill>
                    <w14:schemeClr w14:val="tx1"/>
                  </w14:solidFill>
                </w14:textFill>
              </w:rPr>
              <w:t>评价区域范围内无风景名胜区、自然保护区及未发现文化遗产等特殊保护目标，生态环境不属于敏感区。项目周边</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500m</w:t>
            </w:r>
            <w:r>
              <w:rPr>
                <w:rFonts w:hint="default" w:ascii="Times New Roman" w:hAnsi="Times New Roman" w:cs="Times New Roman"/>
                <w:color w:val="000000" w:themeColor="text1"/>
                <w:sz w:val="24"/>
                <w:szCs w:val="24"/>
                <w:highlight w:val="none"/>
                <w14:textFill>
                  <w14:solidFill>
                    <w14:schemeClr w14:val="tx1"/>
                  </w14:solidFill>
                </w14:textFill>
              </w:rPr>
              <w:t>内无划定的自然生态保护区和重点保护的野生动植物，不属于生态环境敏感区。</w:t>
            </w:r>
          </w:p>
          <w:p w14:paraId="3C15019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p>
          <w:p w14:paraId="3621C721">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p>
        </w:tc>
      </w:tr>
      <w:tr w14:paraId="1E9C71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12" w:hRule="atLeast"/>
          <w:jc w:val="center"/>
        </w:trPr>
        <w:tc>
          <w:tcPr>
            <w:tcW w:w="802" w:type="dxa"/>
            <w:noWrap w:val="0"/>
            <w:vAlign w:val="center"/>
          </w:tcPr>
          <w:p w14:paraId="6CB53B90">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环境</w:t>
            </w:r>
          </w:p>
          <w:p w14:paraId="33D1FEB4">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保护</w:t>
            </w:r>
          </w:p>
          <w:p w14:paraId="17B809A0">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目标</w:t>
            </w:r>
          </w:p>
        </w:tc>
        <w:tc>
          <w:tcPr>
            <w:tcW w:w="8254" w:type="dxa"/>
            <w:noWrap w:val="0"/>
            <w:vAlign w:val="center"/>
          </w:tcPr>
          <w:p w14:paraId="5C3DCC6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本项目厂界外500m范围内无自然保护区、风景名胜区和其他需要特殊保护的区域，存在</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医院</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等人群较集中的区域环境保护目标；本项目环境空气保护目标见表3-</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和附图3</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w:t>
            </w:r>
          </w:p>
          <w:p w14:paraId="245F34B1">
            <w:pPr>
              <w:widowControl w:val="0"/>
              <w:adjustRightInd w:val="0"/>
              <w:snapToGrid w:val="0"/>
              <w:spacing w:line="240" w:lineRule="auto"/>
              <w:jc w:val="center"/>
              <w:rPr>
                <w:rFonts w:hint="default" w:ascii="Times New Roman" w:hAnsi="Times New Roman" w:eastAsia="宋体" w:cs="Times New Roman"/>
                <w:b/>
                <w:color w:val="000000" w:themeColor="text1"/>
                <w:spacing w:val="0"/>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spacing w:val="0"/>
                <w:kern w:val="2"/>
                <w:sz w:val="24"/>
                <w:szCs w:val="24"/>
                <w:highlight w:val="none"/>
                <w:lang w:val="en-US" w:eastAsia="zh-CN" w:bidi="ar-SA"/>
                <w14:textFill>
                  <w14:solidFill>
                    <w14:schemeClr w14:val="tx1"/>
                  </w14:solidFill>
                </w14:textFill>
              </w:rPr>
              <w:t>表3-</w:t>
            </w:r>
            <w:r>
              <w:rPr>
                <w:rFonts w:hint="default" w:ascii="Times New Roman" w:hAnsi="Times New Roman" w:cs="Times New Roman"/>
                <w:b/>
                <w:color w:val="000000" w:themeColor="text1"/>
                <w:spacing w:val="0"/>
                <w:kern w:val="2"/>
                <w:sz w:val="24"/>
                <w:szCs w:val="24"/>
                <w:highlight w:val="none"/>
                <w:lang w:val="en-US" w:eastAsia="zh-CN" w:bidi="ar-SA"/>
                <w14:textFill>
                  <w14:solidFill>
                    <w14:schemeClr w14:val="tx1"/>
                  </w14:solidFill>
                </w14:textFill>
              </w:rPr>
              <w:t>4大气</w:t>
            </w:r>
            <w:r>
              <w:rPr>
                <w:rFonts w:hint="default" w:ascii="Times New Roman" w:hAnsi="Times New Roman" w:eastAsia="宋体" w:cs="Times New Roman"/>
                <w:b/>
                <w:color w:val="000000" w:themeColor="text1"/>
                <w:spacing w:val="0"/>
                <w:kern w:val="2"/>
                <w:sz w:val="24"/>
                <w:szCs w:val="24"/>
                <w:highlight w:val="none"/>
                <w:lang w:val="en-US" w:eastAsia="zh-CN" w:bidi="ar-SA"/>
                <w14:textFill>
                  <w14:solidFill>
                    <w14:schemeClr w14:val="tx1"/>
                  </w14:solidFill>
                </w14:textFill>
              </w:rPr>
              <w:t>环境保护目标</w:t>
            </w:r>
          </w:p>
          <w:tbl>
            <w:tblPr>
              <w:tblStyle w:val="13"/>
              <w:tblW w:w="807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3"/>
              <w:gridCol w:w="1313"/>
              <w:gridCol w:w="1268"/>
              <w:gridCol w:w="1096"/>
              <w:gridCol w:w="726"/>
              <w:gridCol w:w="759"/>
              <w:gridCol w:w="969"/>
              <w:gridCol w:w="990"/>
            </w:tblGrid>
            <w:tr w14:paraId="69C0B3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953" w:type="dxa"/>
                  <w:vMerge w:val="restart"/>
                  <w:noWrap w:val="0"/>
                  <w:vAlign w:val="center"/>
                </w:tcPr>
                <w:p w14:paraId="3BA702AA">
                  <w:pPr>
                    <w:pStyle w:val="5"/>
                    <w:jc w:val="cente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t>名称</w:t>
                  </w:r>
                </w:p>
              </w:tc>
              <w:tc>
                <w:tcPr>
                  <w:tcW w:w="2581" w:type="dxa"/>
                  <w:gridSpan w:val="2"/>
                  <w:noWrap w:val="0"/>
                  <w:vAlign w:val="center"/>
                </w:tcPr>
                <w:p w14:paraId="2BE872B4">
                  <w:pPr>
                    <w:pStyle w:val="5"/>
                    <w:jc w:val="cente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t>坐标</w:t>
                  </w:r>
                </w:p>
              </w:tc>
              <w:tc>
                <w:tcPr>
                  <w:tcW w:w="1096" w:type="dxa"/>
                  <w:vMerge w:val="restart"/>
                  <w:noWrap w:val="0"/>
                  <w:vAlign w:val="center"/>
                </w:tcPr>
                <w:p w14:paraId="3A45ADFB">
                  <w:pPr>
                    <w:pStyle w:val="5"/>
                    <w:jc w:val="cente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t>保护对象</w:t>
                  </w:r>
                </w:p>
              </w:tc>
              <w:tc>
                <w:tcPr>
                  <w:tcW w:w="726" w:type="dxa"/>
                  <w:vMerge w:val="restart"/>
                  <w:noWrap w:val="0"/>
                  <w:vAlign w:val="center"/>
                </w:tcPr>
                <w:p w14:paraId="79672408">
                  <w:pPr>
                    <w:pStyle w:val="5"/>
                    <w:jc w:val="cente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t>保护内容</w:t>
                  </w:r>
                </w:p>
              </w:tc>
              <w:tc>
                <w:tcPr>
                  <w:tcW w:w="759" w:type="dxa"/>
                  <w:vMerge w:val="restart"/>
                  <w:noWrap w:val="0"/>
                  <w:vAlign w:val="center"/>
                </w:tcPr>
                <w:p w14:paraId="42B5CD51">
                  <w:pPr>
                    <w:pStyle w:val="5"/>
                    <w:ind w:left="-63" w:leftChars="-30" w:right="-63" w:rightChars="-30"/>
                    <w:jc w:val="cente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t>环境功能区</w:t>
                  </w:r>
                </w:p>
              </w:tc>
              <w:tc>
                <w:tcPr>
                  <w:tcW w:w="969" w:type="dxa"/>
                  <w:vMerge w:val="restart"/>
                  <w:noWrap w:val="0"/>
                  <w:vAlign w:val="center"/>
                </w:tcPr>
                <w:p w14:paraId="65262A18">
                  <w:pPr>
                    <w:pStyle w:val="5"/>
                    <w:ind w:left="-63" w:leftChars="-30" w:right="-63" w:rightChars="-30"/>
                    <w:jc w:val="cente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t>相对厂址方位</w:t>
                  </w:r>
                </w:p>
              </w:tc>
              <w:tc>
                <w:tcPr>
                  <w:tcW w:w="990" w:type="dxa"/>
                  <w:vMerge w:val="restart"/>
                  <w:noWrap w:val="0"/>
                  <w:vAlign w:val="center"/>
                </w:tcPr>
                <w:p w14:paraId="53D02EE7">
                  <w:pPr>
                    <w:pStyle w:val="5"/>
                    <w:ind w:left="-63" w:leftChars="-30" w:right="-63" w:rightChars="-30"/>
                    <w:jc w:val="cente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t>相对厂界距离/m</w:t>
                  </w:r>
                </w:p>
              </w:tc>
            </w:tr>
            <w:tr w14:paraId="734137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953" w:type="dxa"/>
                  <w:vMerge w:val="continue"/>
                  <w:noWrap w:val="0"/>
                  <w:vAlign w:val="center"/>
                </w:tcPr>
                <w:p w14:paraId="2F882529">
                  <w:pPr>
                    <w:pStyle w:val="5"/>
                    <w:jc w:val="cente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pPr>
                </w:p>
              </w:tc>
              <w:tc>
                <w:tcPr>
                  <w:tcW w:w="1313" w:type="dxa"/>
                  <w:noWrap w:val="0"/>
                  <w:vAlign w:val="center"/>
                </w:tcPr>
                <w:p w14:paraId="3ABC68AC">
                  <w:pPr>
                    <w:pStyle w:val="5"/>
                    <w:jc w:val="cente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t>东经</w:t>
                  </w:r>
                </w:p>
              </w:tc>
              <w:tc>
                <w:tcPr>
                  <w:tcW w:w="1268" w:type="dxa"/>
                  <w:noWrap w:val="0"/>
                  <w:vAlign w:val="center"/>
                </w:tcPr>
                <w:p w14:paraId="5758C528">
                  <w:pPr>
                    <w:pStyle w:val="5"/>
                    <w:jc w:val="cente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t>北纬</w:t>
                  </w:r>
                </w:p>
              </w:tc>
              <w:tc>
                <w:tcPr>
                  <w:tcW w:w="1096" w:type="dxa"/>
                  <w:vMerge w:val="continue"/>
                  <w:noWrap w:val="0"/>
                  <w:vAlign w:val="center"/>
                </w:tcPr>
                <w:p w14:paraId="690BA164">
                  <w:pPr>
                    <w:pStyle w:val="5"/>
                    <w:jc w:val="cente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pPr>
                </w:p>
              </w:tc>
              <w:tc>
                <w:tcPr>
                  <w:tcW w:w="726" w:type="dxa"/>
                  <w:vMerge w:val="continue"/>
                  <w:noWrap w:val="0"/>
                  <w:vAlign w:val="center"/>
                </w:tcPr>
                <w:p w14:paraId="2C912B49">
                  <w:pPr>
                    <w:pStyle w:val="5"/>
                    <w:jc w:val="cente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pPr>
                </w:p>
              </w:tc>
              <w:tc>
                <w:tcPr>
                  <w:tcW w:w="759" w:type="dxa"/>
                  <w:vMerge w:val="continue"/>
                  <w:noWrap w:val="0"/>
                  <w:vAlign w:val="center"/>
                </w:tcPr>
                <w:p w14:paraId="6A826E4C">
                  <w:pPr>
                    <w:pStyle w:val="5"/>
                    <w:jc w:val="cente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pPr>
                </w:p>
              </w:tc>
              <w:tc>
                <w:tcPr>
                  <w:tcW w:w="969" w:type="dxa"/>
                  <w:vMerge w:val="continue"/>
                  <w:noWrap w:val="0"/>
                  <w:vAlign w:val="center"/>
                </w:tcPr>
                <w:p w14:paraId="29D86FBB">
                  <w:pPr>
                    <w:pStyle w:val="5"/>
                    <w:jc w:val="cente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pPr>
                </w:p>
              </w:tc>
              <w:tc>
                <w:tcPr>
                  <w:tcW w:w="990" w:type="dxa"/>
                  <w:vMerge w:val="continue"/>
                  <w:noWrap w:val="0"/>
                  <w:vAlign w:val="center"/>
                </w:tcPr>
                <w:p w14:paraId="6703B3DF">
                  <w:pPr>
                    <w:pStyle w:val="5"/>
                    <w:jc w:val="cente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pPr>
                </w:p>
              </w:tc>
            </w:tr>
            <w:tr w14:paraId="753AE0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3" w:type="dxa"/>
                  <w:noWrap w:val="0"/>
                  <w:vAlign w:val="center"/>
                </w:tcPr>
                <w:p w14:paraId="5119EA36">
                  <w:pPr>
                    <w:pStyle w:val="5"/>
                    <w:keepNext w:val="0"/>
                    <w:keepLines w:val="0"/>
                    <w:pageBreakBefore w:val="0"/>
                    <w:widowControl w:val="0"/>
                    <w:kinsoku/>
                    <w:wordWrap/>
                    <w:overflowPunct/>
                    <w:topLinePunct w:val="0"/>
                    <w:autoSpaceDE/>
                    <w:autoSpaceDN/>
                    <w:bidi w:val="0"/>
                    <w:adjustRightInd/>
                    <w:snapToGrid/>
                    <w:ind w:left="-63" w:leftChars="-30" w:right="-63" w:rightChars="-30"/>
                    <w:jc w:val="center"/>
                    <w:textAlignment w:val="auto"/>
                    <w:rPr>
                      <w:rFonts w:hint="default" w:ascii="Times New Roman" w:hAnsi="Times New Roman" w:cs="Times New Roman"/>
                      <w:color w:val="000000" w:themeColor="text1"/>
                      <w:spacing w:val="-11"/>
                      <w:sz w:val="21"/>
                      <w:szCs w:val="21"/>
                      <w:highlight w:val="none"/>
                      <w:shd w:val="clear" w:color="auto" w:fill="auto"/>
                      <w:lang w:val="en-US"/>
                      <w14:textFill>
                        <w14:solidFill>
                          <w14:schemeClr w14:val="tx1"/>
                        </w14:solidFill>
                      </w14:textFill>
                    </w:rPr>
                  </w:pPr>
                  <w:r>
                    <w:rPr>
                      <w:rFonts w:hint="default" w:ascii="Times New Roman" w:hAnsi="Times New Roman" w:cs="Times New Roman"/>
                      <w:color w:val="000000" w:themeColor="text1"/>
                      <w:spacing w:val="-11"/>
                      <w:sz w:val="21"/>
                      <w:szCs w:val="21"/>
                      <w:highlight w:val="none"/>
                      <w:shd w:val="clear" w:color="auto" w:fill="auto"/>
                      <w:lang w:val="en-US" w:eastAsia="zh-CN"/>
                      <w14:textFill>
                        <w14:solidFill>
                          <w14:schemeClr w14:val="tx1"/>
                        </w14:solidFill>
                      </w14:textFill>
                    </w:rPr>
                    <w:t>窑地卫生服务站</w:t>
                  </w:r>
                </w:p>
              </w:tc>
              <w:tc>
                <w:tcPr>
                  <w:tcW w:w="1313" w:type="dxa"/>
                  <w:noWrap w:val="0"/>
                  <w:vAlign w:val="center"/>
                </w:tcPr>
                <w:p w14:paraId="1A478ED2">
                  <w:pPr>
                    <w:keepNext w:val="0"/>
                    <w:keepLines w:val="0"/>
                    <w:pageBreakBefore w:val="0"/>
                    <w:widowControl/>
                    <w:suppressLineNumbers w:val="0"/>
                    <w:kinsoku/>
                    <w:wordWrap/>
                    <w:overflowPunct/>
                    <w:topLinePunct w:val="0"/>
                    <w:autoSpaceDE/>
                    <w:autoSpaceDN/>
                    <w:bidi w:val="0"/>
                    <w:adjustRightInd/>
                    <w:snapToGrid/>
                    <w:ind w:left="-63" w:leftChars="-30" w:right="-63" w:rightChars="-30"/>
                    <w:jc w:val="center"/>
                    <w:textAlignment w:val="center"/>
                    <w:rPr>
                      <w:rFonts w:hint="default" w:ascii="Times New Roman" w:hAnsi="Times New Roman" w:cs="Times New Roman"/>
                      <w:color w:val="000000" w:themeColor="text1"/>
                      <w:sz w:val="21"/>
                      <w:szCs w:val="21"/>
                      <w:highlight w:val="none"/>
                      <w:shd w:val="clear" w:color="auto" w:fill="auto"/>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131.16912</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1268" w:type="dxa"/>
                  <w:noWrap w:val="0"/>
                  <w:vAlign w:val="center"/>
                </w:tcPr>
                <w:p w14:paraId="6C210DEF">
                  <w:pPr>
                    <w:keepNext w:val="0"/>
                    <w:keepLines w:val="0"/>
                    <w:pageBreakBefore w:val="0"/>
                    <w:widowControl/>
                    <w:suppressLineNumbers w:val="0"/>
                    <w:kinsoku/>
                    <w:wordWrap/>
                    <w:overflowPunct/>
                    <w:topLinePunct w:val="0"/>
                    <w:autoSpaceDE/>
                    <w:autoSpaceDN/>
                    <w:bidi w:val="0"/>
                    <w:adjustRightInd/>
                    <w:snapToGrid/>
                    <w:ind w:left="-63" w:leftChars="-30" w:right="-63" w:rightChars="-30"/>
                    <w:jc w:val="center"/>
                    <w:textAlignment w:val="cente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46.602264</w:t>
                  </w:r>
                </w:p>
              </w:tc>
              <w:tc>
                <w:tcPr>
                  <w:tcW w:w="1096" w:type="dxa"/>
                  <w:noWrap w:val="0"/>
                  <w:vAlign w:val="center"/>
                </w:tcPr>
                <w:p w14:paraId="635D1DCD">
                  <w:pPr>
                    <w:pStyle w:val="5"/>
                    <w:jc w:val="center"/>
                    <w:rPr>
                      <w:rFonts w:hint="default" w:ascii="Times New Roman" w:hAnsi="Times New Roman" w:eastAsia="宋体" w:cs="Times New Roman"/>
                      <w:color w:val="000000" w:themeColor="text1"/>
                      <w:kern w:val="0"/>
                      <w:sz w:val="21"/>
                      <w:szCs w:val="21"/>
                      <w:highlight w:val="none"/>
                      <w:shd w:val="clear" w:color="auto" w:fill="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auto"/>
                      <w:lang w:val="en-US" w:eastAsia="zh-CN"/>
                      <w14:textFill>
                        <w14:solidFill>
                          <w14:schemeClr w14:val="tx1"/>
                        </w14:solidFill>
                      </w14:textFill>
                    </w:rPr>
                    <w:t>医院</w:t>
                  </w:r>
                </w:p>
              </w:tc>
              <w:tc>
                <w:tcPr>
                  <w:tcW w:w="726" w:type="dxa"/>
                  <w:noWrap w:val="0"/>
                  <w:vAlign w:val="center"/>
                </w:tcPr>
                <w:p w14:paraId="74B582B4">
                  <w:pPr>
                    <w:pStyle w:val="5"/>
                    <w:jc w:val="center"/>
                    <w:rPr>
                      <w:rFonts w:hint="default" w:ascii="Times New Roman" w:hAnsi="Times New Roman" w:cs="Times New Roman"/>
                      <w:color w:val="000000" w:themeColor="text1"/>
                      <w:kern w:val="0"/>
                      <w:sz w:val="21"/>
                      <w:szCs w:val="21"/>
                      <w:highlight w:val="none"/>
                      <w:shd w:val="clear" w:color="auto" w:fill="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t>人群</w:t>
                  </w:r>
                </w:p>
              </w:tc>
              <w:tc>
                <w:tcPr>
                  <w:tcW w:w="759" w:type="dxa"/>
                  <w:noWrap w:val="0"/>
                  <w:vAlign w:val="center"/>
                </w:tcPr>
                <w:p w14:paraId="5DFE6631">
                  <w:pPr>
                    <w:pStyle w:val="5"/>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kern w:val="0"/>
                      <w:sz w:val="21"/>
                      <w:szCs w:val="21"/>
                      <w:highlight w:val="none"/>
                      <w:shd w:val="clear" w:color="auto" w:fill="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auto"/>
                      <w14:textFill>
                        <w14:solidFill>
                          <w14:schemeClr w14:val="tx1"/>
                        </w14:solidFill>
                      </w14:textFill>
                    </w:rPr>
                    <w:t>二类区</w:t>
                  </w:r>
                </w:p>
              </w:tc>
              <w:tc>
                <w:tcPr>
                  <w:tcW w:w="969" w:type="dxa"/>
                  <w:noWrap w:val="0"/>
                  <w:vAlign w:val="center"/>
                </w:tcPr>
                <w:p w14:paraId="7CFA2021">
                  <w:pPr>
                    <w:pStyle w:val="5"/>
                    <w:jc w:val="center"/>
                    <w:rPr>
                      <w:rFonts w:hint="default" w:ascii="Times New Roman" w:hAnsi="Times New Roman" w:eastAsia="宋体" w:cs="Times New Roman"/>
                      <w:color w:val="000000" w:themeColor="text1"/>
                      <w:sz w:val="21"/>
                      <w:szCs w:val="21"/>
                      <w:highlight w:val="none"/>
                      <w:shd w:val="clear" w:color="auto" w:fill="auto"/>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auto"/>
                      <w:lang w:val="en-US" w:eastAsia="zh-CN"/>
                      <w14:textFill>
                        <w14:solidFill>
                          <w14:schemeClr w14:val="tx1"/>
                        </w14:solidFill>
                      </w14:textFill>
                    </w:rPr>
                    <w:t>WS</w:t>
                  </w:r>
                </w:p>
              </w:tc>
              <w:tc>
                <w:tcPr>
                  <w:tcW w:w="990" w:type="dxa"/>
                  <w:noWrap w:val="0"/>
                  <w:vAlign w:val="center"/>
                </w:tcPr>
                <w:p w14:paraId="4A232006">
                  <w:pPr>
                    <w:pStyle w:val="5"/>
                    <w:jc w:val="center"/>
                    <w:rPr>
                      <w:rFonts w:hint="default" w:ascii="Times New Roman" w:hAnsi="Times New Roman" w:eastAsia="宋体" w:cs="Times New Roman"/>
                      <w:color w:val="000000" w:themeColor="text1"/>
                      <w:sz w:val="21"/>
                      <w:szCs w:val="21"/>
                      <w:highlight w:val="none"/>
                      <w:shd w:val="clear" w:color="auto" w:fill="auto"/>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auto"/>
                      <w:lang w:val="en-US" w:eastAsia="zh-CN"/>
                      <w14:textFill>
                        <w14:solidFill>
                          <w14:schemeClr w14:val="tx1"/>
                        </w14:solidFill>
                      </w14:textFill>
                    </w:rPr>
                    <w:t>100</w:t>
                  </w:r>
                </w:p>
              </w:tc>
            </w:tr>
          </w:tbl>
          <w:p w14:paraId="1F813A8D">
            <w:pPr>
              <w:adjustRightInd w:val="0"/>
              <w:snapToGrid w:val="0"/>
              <w:jc w:val="both"/>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p>
        </w:tc>
      </w:tr>
      <w:tr w14:paraId="5E8887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2" w:type="dxa"/>
            <w:noWrap w:val="0"/>
            <w:tcMar>
              <w:left w:w="28" w:type="dxa"/>
              <w:right w:w="28" w:type="dxa"/>
            </w:tcMar>
            <w:vAlign w:val="center"/>
          </w:tcPr>
          <w:p w14:paraId="70A1564B">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污染</w:t>
            </w:r>
          </w:p>
          <w:p w14:paraId="6FDC192A">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物排</w:t>
            </w:r>
          </w:p>
          <w:p w14:paraId="2A4E38A7">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放控</w:t>
            </w:r>
          </w:p>
          <w:p w14:paraId="31F550EF">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制标</w:t>
            </w:r>
          </w:p>
          <w:p w14:paraId="12097F2C">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准</w:t>
            </w:r>
          </w:p>
        </w:tc>
        <w:tc>
          <w:tcPr>
            <w:tcW w:w="8254" w:type="dxa"/>
            <w:noWrap w:val="0"/>
            <w:vAlign w:val="center"/>
          </w:tcPr>
          <w:p w14:paraId="2A0EE7C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eastAsia" w:cs="Times New Roman"/>
                <w:b/>
                <w:bCs/>
                <w:color w:val="000000" w:themeColor="text1"/>
                <w:kern w:val="0"/>
                <w:sz w:val="24"/>
                <w:szCs w:val="24"/>
                <w:highlight w:val="none"/>
                <w:lang w:val="en-US" w:eastAsia="zh-CN"/>
                <w14:textFill>
                  <w14:solidFill>
                    <w14:schemeClr w14:val="tx1"/>
                  </w14:solidFill>
                </w14:textFill>
              </w:rPr>
              <w:t>1.</w:t>
            </w: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大气</w:t>
            </w:r>
          </w:p>
          <w:p w14:paraId="6C9F46C3">
            <w:pPr>
              <w:spacing w:line="360" w:lineRule="auto"/>
              <w:ind w:firstLine="480" w:firstLineChars="200"/>
              <w:rPr>
                <w:rFonts w:hint="default" w:ascii="Times New Roman" w:hAnsi="Times New Roman" w:cs="Times New Roman"/>
                <w:bCs w:val="0"/>
                <w:color w:val="000000" w:themeColor="text1"/>
                <w:spacing w:val="0"/>
                <w:sz w:val="24"/>
                <w:szCs w:val="24"/>
                <w:highlight w:val="none"/>
                <w14:textFill>
                  <w14:solidFill>
                    <w14:schemeClr w14:val="tx1"/>
                  </w14:solidFill>
                </w14:textFill>
              </w:rPr>
            </w:pPr>
            <w:r>
              <w:rPr>
                <w:rFonts w:hint="default" w:ascii="Times New Roman" w:hAnsi="Times New Roman" w:cs="Times New Roman"/>
                <w:bCs w:val="0"/>
                <w:color w:val="000000" w:themeColor="text1"/>
                <w:spacing w:val="0"/>
                <w:sz w:val="24"/>
                <w:szCs w:val="24"/>
                <w:highlight w:val="none"/>
                <w14:textFill>
                  <w14:solidFill>
                    <w14:schemeClr w14:val="tx1"/>
                  </w14:solidFill>
                </w14:textFill>
              </w:rPr>
              <w:t>本项目锅炉排放的二氧化硫、氮氧化物、颗粒物</w:t>
            </w:r>
            <w:r>
              <w:rPr>
                <w:rFonts w:hint="default" w:ascii="Times New Roman" w:hAnsi="Times New Roman" w:cs="Times New Roman"/>
                <w:bCs w:val="0"/>
                <w:color w:val="000000" w:themeColor="text1"/>
                <w:spacing w:val="0"/>
                <w:sz w:val="24"/>
                <w:szCs w:val="24"/>
                <w:highlight w:val="none"/>
                <w:lang w:eastAsia="zh-CN"/>
                <w14:textFill>
                  <w14:solidFill>
                    <w14:schemeClr w14:val="tx1"/>
                  </w14:solidFill>
                </w14:textFill>
              </w:rPr>
              <w:t>、林格曼黑度</w:t>
            </w:r>
            <w:r>
              <w:rPr>
                <w:rFonts w:hint="default" w:ascii="Times New Roman" w:hAnsi="Times New Roman" w:cs="Times New Roman"/>
                <w:bCs w:val="0"/>
                <w:color w:val="000000" w:themeColor="text1"/>
                <w:spacing w:val="0"/>
                <w:sz w:val="24"/>
                <w:szCs w:val="24"/>
                <w:highlight w:val="none"/>
                <w14:textFill>
                  <w14:solidFill>
                    <w14:schemeClr w14:val="tx1"/>
                  </w14:solidFill>
                </w14:textFill>
              </w:rPr>
              <w:t>执行</w:t>
            </w:r>
            <w:r>
              <w:rPr>
                <w:rFonts w:hint="default" w:ascii="Times New Roman" w:hAnsi="Times New Roman" w:cs="Times New Roman"/>
                <w:color w:val="000000" w:themeColor="text1"/>
                <w:spacing w:val="0"/>
                <w:sz w:val="24"/>
                <w:szCs w:val="24"/>
                <w:highlight w:val="none"/>
                <w14:textFill>
                  <w14:solidFill>
                    <w14:schemeClr w14:val="tx1"/>
                  </w14:solidFill>
                </w14:textFill>
              </w:rPr>
              <w:t>《锅炉大气污染物排放标准》（GB13271-2014）表</w:t>
            </w:r>
            <w:r>
              <w:rPr>
                <w:rFonts w:hint="default" w:ascii="Times New Roman" w:hAnsi="Times New Roman" w:cs="Times New Roman"/>
                <w:color w:val="000000" w:themeColor="text1"/>
                <w:spacing w:val="0"/>
                <w:sz w:val="24"/>
                <w:szCs w:val="24"/>
                <w:highlight w:val="none"/>
                <w:lang w:val="en-US" w:eastAsia="zh-CN"/>
                <w14:textFill>
                  <w14:solidFill>
                    <w14:schemeClr w14:val="tx1"/>
                  </w14:solidFill>
                </w14:textFill>
              </w:rPr>
              <w:t>2</w:t>
            </w:r>
            <w:r>
              <w:rPr>
                <w:rFonts w:hint="default" w:ascii="Times New Roman" w:hAnsi="Times New Roman" w:cs="Times New Roman"/>
                <w:color w:val="000000" w:themeColor="text1"/>
                <w:spacing w:val="0"/>
                <w:sz w:val="24"/>
                <w:szCs w:val="24"/>
                <w:highlight w:val="none"/>
                <w14:textFill>
                  <w14:solidFill>
                    <w14:schemeClr w14:val="tx1"/>
                  </w14:solidFill>
                </w14:textFill>
              </w:rPr>
              <w:t>中燃</w:t>
            </w:r>
            <w:r>
              <w:rPr>
                <w:rFonts w:hint="default" w:ascii="Times New Roman" w:hAnsi="Times New Roman" w:cs="Times New Roman"/>
                <w:color w:val="000000" w:themeColor="text1"/>
                <w:spacing w:val="0"/>
                <w:sz w:val="24"/>
                <w:szCs w:val="24"/>
                <w:highlight w:val="none"/>
                <w:lang w:val="en-US" w:eastAsia="zh-CN"/>
                <w14:textFill>
                  <w14:solidFill>
                    <w14:schemeClr w14:val="tx1"/>
                  </w14:solidFill>
                </w14:textFill>
              </w:rPr>
              <w:t>煤</w:t>
            </w:r>
            <w:r>
              <w:rPr>
                <w:rFonts w:hint="default" w:ascii="Times New Roman" w:hAnsi="Times New Roman" w:cs="Times New Roman"/>
                <w:color w:val="000000" w:themeColor="text1"/>
                <w:spacing w:val="0"/>
                <w:sz w:val="24"/>
                <w:szCs w:val="24"/>
                <w:highlight w:val="none"/>
                <w14:textFill>
                  <w14:solidFill>
                    <w14:schemeClr w14:val="tx1"/>
                  </w14:solidFill>
                </w14:textFill>
              </w:rPr>
              <w:t>锅炉排放标准限值要求</w:t>
            </w:r>
            <w:r>
              <w:rPr>
                <w:rFonts w:hint="default" w:ascii="Times New Roman" w:hAnsi="Times New Roman" w:cs="Times New Roman"/>
                <w:color w:val="000000" w:themeColor="text1"/>
                <w:spacing w:val="0"/>
                <w:sz w:val="24"/>
                <w:szCs w:val="24"/>
                <w:highlight w:val="none"/>
                <w:lang w:val="en-US" w:eastAsia="zh-CN"/>
                <w14:textFill>
                  <w14:solidFill>
                    <w14:schemeClr w14:val="tx1"/>
                  </w14:solidFill>
                </w14:textFill>
              </w:rPr>
              <w:t>。</w:t>
            </w:r>
            <w:r>
              <w:rPr>
                <w:rFonts w:hint="default" w:ascii="Times New Roman" w:hAnsi="Times New Roman" w:cs="Times New Roman"/>
                <w:bCs w:val="0"/>
                <w:color w:val="000000" w:themeColor="text1"/>
                <w:spacing w:val="0"/>
                <w:sz w:val="24"/>
                <w:szCs w:val="24"/>
                <w:highlight w:val="none"/>
                <w14:textFill>
                  <w14:solidFill>
                    <w14:schemeClr w14:val="tx1"/>
                  </w14:solidFill>
                </w14:textFill>
              </w:rPr>
              <w:t>具体标准浓度限值见表</w:t>
            </w:r>
            <w:r>
              <w:rPr>
                <w:rFonts w:hint="default" w:ascii="Times New Roman" w:hAnsi="Times New Roman" w:cs="Times New Roman"/>
                <w:bCs w:val="0"/>
                <w:color w:val="000000" w:themeColor="text1"/>
                <w:spacing w:val="0"/>
                <w:sz w:val="24"/>
                <w:szCs w:val="24"/>
                <w:highlight w:val="none"/>
                <w:lang w:val="en-US" w:eastAsia="zh-CN"/>
                <w14:textFill>
                  <w14:solidFill>
                    <w14:schemeClr w14:val="tx1"/>
                  </w14:solidFill>
                </w14:textFill>
              </w:rPr>
              <w:t>3</w:t>
            </w:r>
            <w:r>
              <w:rPr>
                <w:rFonts w:hint="default" w:ascii="Times New Roman" w:hAnsi="Times New Roman" w:cs="Times New Roman"/>
                <w:bCs w:val="0"/>
                <w:color w:val="000000" w:themeColor="text1"/>
                <w:spacing w:val="0"/>
                <w:sz w:val="24"/>
                <w:szCs w:val="24"/>
                <w:highlight w:val="none"/>
                <w14:textFill>
                  <w14:solidFill>
                    <w14:schemeClr w14:val="tx1"/>
                  </w14:solidFill>
                </w14:textFill>
              </w:rPr>
              <w:t>-</w:t>
            </w:r>
            <w:r>
              <w:rPr>
                <w:rFonts w:hint="default" w:ascii="Times New Roman" w:hAnsi="Times New Roman" w:cs="Times New Roman"/>
                <w:bCs w:val="0"/>
                <w:color w:val="000000" w:themeColor="text1"/>
                <w:spacing w:val="0"/>
                <w:sz w:val="24"/>
                <w:szCs w:val="24"/>
                <w:highlight w:val="none"/>
                <w:lang w:val="en-US" w:eastAsia="zh-CN"/>
                <w14:textFill>
                  <w14:solidFill>
                    <w14:schemeClr w14:val="tx1"/>
                  </w14:solidFill>
                </w14:textFill>
              </w:rPr>
              <w:t>5</w:t>
            </w:r>
            <w:r>
              <w:rPr>
                <w:rFonts w:hint="default" w:ascii="Times New Roman" w:hAnsi="Times New Roman" w:cs="Times New Roman"/>
                <w:bCs w:val="0"/>
                <w:color w:val="000000" w:themeColor="text1"/>
                <w:spacing w:val="0"/>
                <w:sz w:val="24"/>
                <w:szCs w:val="24"/>
                <w:highlight w:val="none"/>
                <w14:textFill>
                  <w14:solidFill>
                    <w14:schemeClr w14:val="tx1"/>
                  </w14:solidFill>
                </w14:textFill>
              </w:rPr>
              <w:t>。</w:t>
            </w:r>
          </w:p>
          <w:p w14:paraId="0663CF78">
            <w:pPr>
              <w:keepNext/>
              <w:keepLines/>
              <w:spacing w:line="240" w:lineRule="auto"/>
              <w:jc w:val="center"/>
              <w:rPr>
                <w:rFonts w:hint="default" w:ascii="Times New Roman" w:hAnsi="Times New Roman" w:cs="Times New Roman"/>
                <w:b/>
                <w:color w:val="000000" w:themeColor="text1"/>
                <w:spacing w:val="0"/>
                <w:sz w:val="24"/>
                <w:szCs w:val="24"/>
                <w:highlight w:val="none"/>
                <w14:textFill>
                  <w14:solidFill>
                    <w14:schemeClr w14:val="tx1"/>
                  </w14:solidFill>
                </w14:textFill>
              </w:rPr>
            </w:pPr>
            <w:r>
              <w:rPr>
                <w:rFonts w:hint="default" w:ascii="Times New Roman" w:hAnsi="Times New Roman" w:cs="Times New Roman"/>
                <w:b/>
                <w:bCs w:val="0"/>
                <w:color w:val="000000" w:themeColor="text1"/>
                <w:spacing w:val="0"/>
                <w:sz w:val="24"/>
                <w:szCs w:val="24"/>
                <w:highlight w:val="none"/>
                <w14:textFill>
                  <w14:solidFill>
                    <w14:schemeClr w14:val="tx1"/>
                  </w14:solidFill>
                </w14:textFill>
              </w:rPr>
              <w:t>表</w:t>
            </w:r>
            <w:r>
              <w:rPr>
                <w:rFonts w:hint="default" w:ascii="Times New Roman" w:hAnsi="Times New Roman" w:cs="Times New Roman"/>
                <w:b/>
                <w:bCs w:val="0"/>
                <w:color w:val="000000" w:themeColor="text1"/>
                <w:spacing w:val="0"/>
                <w:sz w:val="24"/>
                <w:szCs w:val="24"/>
                <w:highlight w:val="none"/>
                <w:lang w:val="en-US" w:eastAsia="zh-CN"/>
                <w14:textFill>
                  <w14:solidFill>
                    <w14:schemeClr w14:val="tx1"/>
                  </w14:solidFill>
                </w14:textFill>
              </w:rPr>
              <w:t>3</w:t>
            </w:r>
            <w:r>
              <w:rPr>
                <w:rFonts w:hint="default" w:ascii="Times New Roman" w:hAnsi="Times New Roman" w:cs="Times New Roman"/>
                <w:b/>
                <w:bCs w:val="0"/>
                <w:color w:val="000000" w:themeColor="text1"/>
                <w:spacing w:val="0"/>
                <w:sz w:val="24"/>
                <w:szCs w:val="24"/>
                <w:highlight w:val="none"/>
                <w14:textFill>
                  <w14:solidFill>
                    <w14:schemeClr w14:val="tx1"/>
                  </w14:solidFill>
                </w14:textFill>
              </w:rPr>
              <w:t>-</w:t>
            </w:r>
            <w:r>
              <w:rPr>
                <w:rFonts w:hint="default" w:ascii="Times New Roman" w:hAnsi="Times New Roman" w:cs="Times New Roman"/>
                <w:b/>
                <w:bCs w:val="0"/>
                <w:color w:val="000000" w:themeColor="text1"/>
                <w:spacing w:val="0"/>
                <w:sz w:val="24"/>
                <w:szCs w:val="24"/>
                <w:highlight w:val="none"/>
                <w:lang w:val="en-US" w:eastAsia="zh-CN"/>
                <w14:textFill>
                  <w14:solidFill>
                    <w14:schemeClr w14:val="tx1"/>
                  </w14:solidFill>
                </w14:textFill>
              </w:rPr>
              <w:t xml:space="preserve">5 </w:t>
            </w:r>
            <w:r>
              <w:rPr>
                <w:rFonts w:hint="default" w:ascii="Times New Roman" w:hAnsi="Times New Roman" w:cs="Times New Roman"/>
                <w:b/>
                <w:color w:val="000000" w:themeColor="text1"/>
                <w:spacing w:val="0"/>
                <w:sz w:val="24"/>
                <w:szCs w:val="24"/>
                <w:highlight w:val="none"/>
                <w14:textFill>
                  <w14:solidFill>
                    <w14:schemeClr w14:val="tx1"/>
                  </w14:solidFill>
                </w14:textFill>
              </w:rPr>
              <w:t>锅炉大气污染物排放标准单位：mg/m</w:t>
            </w:r>
            <w:r>
              <w:rPr>
                <w:rFonts w:hint="default" w:ascii="Times New Roman" w:hAnsi="Times New Roman" w:cs="Times New Roman"/>
                <w:b/>
                <w:color w:val="000000" w:themeColor="text1"/>
                <w:spacing w:val="0"/>
                <w:sz w:val="24"/>
                <w:szCs w:val="24"/>
                <w:highlight w:val="none"/>
                <w:vertAlign w:val="superscript"/>
                <w14:textFill>
                  <w14:solidFill>
                    <w14:schemeClr w14:val="tx1"/>
                  </w14:solidFill>
                </w14:textFill>
              </w:rPr>
              <w:t>3</w:t>
            </w:r>
          </w:p>
          <w:tbl>
            <w:tblPr>
              <w:tblStyle w:val="13"/>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9"/>
              <w:gridCol w:w="1339"/>
              <w:gridCol w:w="1339"/>
              <w:gridCol w:w="1339"/>
              <w:gridCol w:w="1339"/>
              <w:gridCol w:w="1340"/>
            </w:tblGrid>
            <w:tr w14:paraId="724E1C4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noWrap w:val="0"/>
                  <w:vAlign w:val="center"/>
                </w:tcPr>
                <w:p w14:paraId="2EEEF11A">
                  <w:pPr>
                    <w:jc w:val="center"/>
                    <w:rPr>
                      <w:rFonts w:hint="default" w:ascii="Times New Roman" w:hAnsi="Times New Roman" w:cs="Times New Roman"/>
                      <w:color w:val="000000" w:themeColor="text1"/>
                      <w:spacing w:val="0"/>
                      <w:sz w:val="21"/>
                      <w:szCs w:val="21"/>
                      <w:highlight w:val="none"/>
                      <w14:textFill>
                        <w14:solidFill>
                          <w14:schemeClr w14:val="tx1"/>
                        </w14:solidFill>
                      </w14:textFill>
                    </w:rPr>
                  </w:pPr>
                  <w:r>
                    <w:rPr>
                      <w:rFonts w:hint="default" w:ascii="Times New Roman" w:hAnsi="Times New Roman" w:cs="Times New Roman"/>
                      <w:color w:val="000000" w:themeColor="text1"/>
                      <w:spacing w:val="0"/>
                      <w:sz w:val="21"/>
                      <w:szCs w:val="21"/>
                      <w:highlight w:val="none"/>
                      <w14:textFill>
                        <w14:solidFill>
                          <w14:schemeClr w14:val="tx1"/>
                        </w14:solidFill>
                      </w14:textFill>
                    </w:rPr>
                    <w:t>污染物项目</w:t>
                  </w:r>
                </w:p>
              </w:tc>
              <w:tc>
                <w:tcPr>
                  <w:tcW w:w="833" w:type="pct"/>
                  <w:tcBorders>
                    <w:tl2br w:val="nil"/>
                    <w:tr2bl w:val="nil"/>
                  </w:tcBorders>
                  <w:noWrap w:val="0"/>
                  <w:vAlign w:val="center"/>
                </w:tcPr>
                <w:p w14:paraId="01E964B2">
                  <w:pPr>
                    <w:jc w:val="center"/>
                    <w:rPr>
                      <w:rFonts w:hint="default" w:ascii="Times New Roman" w:hAnsi="Times New Roman" w:cs="Times New Roman"/>
                      <w:color w:val="000000" w:themeColor="text1"/>
                      <w:spacing w:val="0"/>
                      <w:sz w:val="21"/>
                      <w:szCs w:val="21"/>
                      <w:highlight w:val="none"/>
                      <w14:textFill>
                        <w14:solidFill>
                          <w14:schemeClr w14:val="tx1"/>
                        </w14:solidFill>
                      </w14:textFill>
                    </w:rPr>
                  </w:pPr>
                  <w:r>
                    <w:rPr>
                      <w:rFonts w:hint="default" w:ascii="Times New Roman" w:hAnsi="Times New Roman" w:cs="Times New Roman"/>
                      <w:color w:val="000000" w:themeColor="text1"/>
                      <w:spacing w:val="0"/>
                      <w:sz w:val="21"/>
                      <w:szCs w:val="21"/>
                      <w:highlight w:val="none"/>
                      <w14:textFill>
                        <w14:solidFill>
                          <w14:schemeClr w14:val="tx1"/>
                        </w14:solidFill>
                      </w14:textFill>
                    </w:rPr>
                    <w:t>二氧化硫</w:t>
                  </w:r>
                </w:p>
              </w:tc>
              <w:tc>
                <w:tcPr>
                  <w:tcW w:w="833" w:type="pct"/>
                  <w:tcBorders>
                    <w:tl2br w:val="nil"/>
                    <w:tr2bl w:val="nil"/>
                  </w:tcBorders>
                  <w:noWrap w:val="0"/>
                  <w:vAlign w:val="center"/>
                </w:tcPr>
                <w:p w14:paraId="08DFAA3F">
                  <w:pPr>
                    <w:jc w:val="center"/>
                    <w:rPr>
                      <w:rFonts w:hint="default" w:ascii="Times New Roman" w:hAnsi="Times New Roman" w:cs="Times New Roman"/>
                      <w:color w:val="000000" w:themeColor="text1"/>
                      <w:spacing w:val="0"/>
                      <w:sz w:val="21"/>
                      <w:szCs w:val="21"/>
                      <w:highlight w:val="none"/>
                      <w14:textFill>
                        <w14:solidFill>
                          <w14:schemeClr w14:val="tx1"/>
                        </w14:solidFill>
                      </w14:textFill>
                    </w:rPr>
                  </w:pPr>
                  <w:r>
                    <w:rPr>
                      <w:rFonts w:hint="default" w:ascii="Times New Roman" w:hAnsi="Times New Roman" w:cs="Times New Roman"/>
                      <w:color w:val="000000" w:themeColor="text1"/>
                      <w:spacing w:val="0"/>
                      <w:sz w:val="21"/>
                      <w:szCs w:val="21"/>
                      <w:highlight w:val="none"/>
                      <w14:textFill>
                        <w14:solidFill>
                          <w14:schemeClr w14:val="tx1"/>
                        </w14:solidFill>
                      </w14:textFill>
                    </w:rPr>
                    <w:t>氮氧化物</w:t>
                  </w:r>
                </w:p>
              </w:tc>
              <w:tc>
                <w:tcPr>
                  <w:tcW w:w="833" w:type="pct"/>
                  <w:tcBorders>
                    <w:tl2br w:val="nil"/>
                    <w:tr2bl w:val="nil"/>
                  </w:tcBorders>
                  <w:noWrap w:val="0"/>
                  <w:vAlign w:val="center"/>
                </w:tcPr>
                <w:p w14:paraId="05BD2F76">
                  <w:pPr>
                    <w:jc w:val="center"/>
                    <w:rPr>
                      <w:rFonts w:hint="default" w:ascii="Times New Roman" w:hAnsi="Times New Roman" w:cs="Times New Roman"/>
                      <w:color w:val="000000" w:themeColor="text1"/>
                      <w:spacing w:val="0"/>
                      <w:sz w:val="21"/>
                      <w:szCs w:val="21"/>
                      <w:highlight w:val="none"/>
                      <w14:textFill>
                        <w14:solidFill>
                          <w14:schemeClr w14:val="tx1"/>
                        </w14:solidFill>
                      </w14:textFill>
                    </w:rPr>
                  </w:pPr>
                  <w:r>
                    <w:rPr>
                      <w:rFonts w:hint="default" w:ascii="Times New Roman" w:hAnsi="Times New Roman" w:cs="Times New Roman"/>
                      <w:color w:val="000000" w:themeColor="text1"/>
                      <w:spacing w:val="0"/>
                      <w:sz w:val="21"/>
                      <w:szCs w:val="21"/>
                      <w:highlight w:val="none"/>
                      <w14:textFill>
                        <w14:solidFill>
                          <w14:schemeClr w14:val="tx1"/>
                        </w14:solidFill>
                      </w14:textFill>
                    </w:rPr>
                    <w:t>颗粒物</w:t>
                  </w:r>
                </w:p>
              </w:tc>
              <w:tc>
                <w:tcPr>
                  <w:tcW w:w="833" w:type="pct"/>
                  <w:tcBorders>
                    <w:tl2br w:val="nil"/>
                    <w:tr2bl w:val="nil"/>
                  </w:tcBorders>
                  <w:noWrap w:val="0"/>
                  <w:vAlign w:val="center"/>
                </w:tcPr>
                <w:p w14:paraId="647623A1">
                  <w:pPr>
                    <w:jc w:val="cente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汞及其化合物</w:t>
                  </w:r>
                </w:p>
              </w:tc>
              <w:tc>
                <w:tcPr>
                  <w:tcW w:w="833" w:type="pct"/>
                  <w:tcBorders>
                    <w:tl2br w:val="nil"/>
                    <w:tr2bl w:val="nil"/>
                  </w:tcBorders>
                  <w:noWrap w:val="0"/>
                  <w:vAlign w:val="center"/>
                </w:tcPr>
                <w:p w14:paraId="0D94D73E">
                  <w:pPr>
                    <w:jc w:val="center"/>
                    <w:rPr>
                      <w:rFonts w:hint="default" w:ascii="Times New Roman" w:hAnsi="Times New Roman" w:cs="Times New Roman"/>
                      <w:color w:val="000000" w:themeColor="text1"/>
                      <w:spacing w:val="0"/>
                      <w:sz w:val="21"/>
                      <w:szCs w:val="21"/>
                      <w:highlight w:val="none"/>
                      <w14:textFill>
                        <w14:solidFill>
                          <w14:schemeClr w14:val="tx1"/>
                        </w14:solidFill>
                      </w14:textFill>
                    </w:rPr>
                  </w:pPr>
                  <w:r>
                    <w:rPr>
                      <w:rFonts w:hint="default" w:ascii="Times New Roman" w:hAnsi="Times New Roman" w:cs="Times New Roman"/>
                      <w:color w:val="000000" w:themeColor="text1"/>
                      <w:spacing w:val="0"/>
                      <w:sz w:val="21"/>
                      <w:szCs w:val="21"/>
                      <w:highlight w:val="none"/>
                      <w:lang w:eastAsia="zh-CN"/>
                      <w14:textFill>
                        <w14:solidFill>
                          <w14:schemeClr w14:val="tx1"/>
                        </w14:solidFill>
                      </w14:textFill>
                    </w:rPr>
                    <w:t>林格曼</w:t>
                  </w:r>
                  <w:r>
                    <w:rPr>
                      <w:rFonts w:hint="default" w:ascii="Times New Roman" w:hAnsi="Times New Roman" w:cs="Times New Roman"/>
                      <w:color w:val="000000" w:themeColor="text1"/>
                      <w:spacing w:val="0"/>
                      <w:sz w:val="21"/>
                      <w:szCs w:val="21"/>
                      <w:highlight w:val="none"/>
                      <w14:textFill>
                        <w14:solidFill>
                          <w14:schemeClr w14:val="tx1"/>
                        </w14:solidFill>
                      </w14:textFill>
                    </w:rPr>
                    <w:t>黑度</w:t>
                  </w:r>
                </w:p>
              </w:tc>
            </w:tr>
            <w:tr w14:paraId="5039F11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noWrap w:val="0"/>
                  <w:vAlign w:val="center"/>
                </w:tcPr>
                <w:p w14:paraId="34664565">
                  <w:pPr>
                    <w:jc w:val="center"/>
                    <w:rPr>
                      <w:rFonts w:hint="default" w:ascii="Times New Roman" w:hAnsi="Times New Roman" w:cs="Times New Roman"/>
                      <w:color w:val="000000" w:themeColor="text1"/>
                      <w:spacing w:val="0"/>
                      <w:sz w:val="21"/>
                      <w:szCs w:val="21"/>
                      <w:highlight w:val="none"/>
                      <w14:textFill>
                        <w14:solidFill>
                          <w14:schemeClr w14:val="tx1"/>
                        </w14:solidFill>
                      </w14:textFill>
                    </w:rPr>
                  </w:pPr>
                  <w:r>
                    <w:rPr>
                      <w:rFonts w:hint="default" w:ascii="Times New Roman" w:hAnsi="Times New Roman" w:cs="Times New Roman"/>
                      <w:color w:val="000000" w:themeColor="text1"/>
                      <w:spacing w:val="0"/>
                      <w:sz w:val="21"/>
                      <w:szCs w:val="21"/>
                      <w:highlight w:val="none"/>
                      <w14:textFill>
                        <w14:solidFill>
                          <w14:schemeClr w14:val="tx1"/>
                        </w14:solidFill>
                      </w14:textFill>
                    </w:rPr>
                    <w:t>限值</w:t>
                  </w:r>
                </w:p>
              </w:tc>
              <w:tc>
                <w:tcPr>
                  <w:tcW w:w="833" w:type="pct"/>
                  <w:tcBorders>
                    <w:tl2br w:val="nil"/>
                    <w:tr2bl w:val="nil"/>
                  </w:tcBorders>
                  <w:noWrap w:val="0"/>
                  <w:vAlign w:val="center"/>
                </w:tcPr>
                <w:p w14:paraId="089ADDD3">
                  <w:pPr>
                    <w:jc w:val="cente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300</w:t>
                  </w:r>
                </w:p>
              </w:tc>
              <w:tc>
                <w:tcPr>
                  <w:tcW w:w="833" w:type="pct"/>
                  <w:tcBorders>
                    <w:tl2br w:val="nil"/>
                    <w:tr2bl w:val="nil"/>
                  </w:tcBorders>
                  <w:noWrap w:val="0"/>
                  <w:vAlign w:val="center"/>
                </w:tcPr>
                <w:p w14:paraId="47EAC067">
                  <w:pPr>
                    <w:jc w:val="cente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300</w:t>
                  </w:r>
                </w:p>
              </w:tc>
              <w:tc>
                <w:tcPr>
                  <w:tcW w:w="833" w:type="pct"/>
                  <w:tcBorders>
                    <w:tl2br w:val="nil"/>
                    <w:tr2bl w:val="nil"/>
                  </w:tcBorders>
                  <w:noWrap w:val="0"/>
                  <w:vAlign w:val="center"/>
                </w:tcPr>
                <w:p w14:paraId="0349BE4B">
                  <w:pPr>
                    <w:jc w:val="cente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50</w:t>
                  </w:r>
                </w:p>
              </w:tc>
              <w:tc>
                <w:tcPr>
                  <w:tcW w:w="833" w:type="pct"/>
                  <w:tcBorders>
                    <w:tl2br w:val="nil"/>
                    <w:tr2bl w:val="nil"/>
                  </w:tcBorders>
                  <w:noWrap w:val="0"/>
                  <w:vAlign w:val="center"/>
                </w:tcPr>
                <w:p w14:paraId="120D31F3">
                  <w:pPr>
                    <w:jc w:val="cente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0.05</w:t>
                  </w:r>
                </w:p>
              </w:tc>
              <w:tc>
                <w:tcPr>
                  <w:tcW w:w="833" w:type="pct"/>
                  <w:tcBorders>
                    <w:tl2br w:val="nil"/>
                    <w:tr2bl w:val="nil"/>
                  </w:tcBorders>
                  <w:noWrap w:val="0"/>
                  <w:vAlign w:val="center"/>
                </w:tcPr>
                <w:p w14:paraId="24D96F00">
                  <w:pPr>
                    <w:jc w:val="center"/>
                    <w:rPr>
                      <w:rFonts w:hint="default" w:ascii="Times New Roman" w:hAnsi="Times New Roman" w:cs="Times New Roman"/>
                      <w:color w:val="000000" w:themeColor="text1"/>
                      <w:spacing w:val="0"/>
                      <w:sz w:val="21"/>
                      <w:szCs w:val="21"/>
                      <w:highlight w:val="none"/>
                      <w14:textFill>
                        <w14:solidFill>
                          <w14:schemeClr w14:val="tx1"/>
                        </w14:solidFill>
                      </w14:textFill>
                    </w:rPr>
                  </w:pPr>
                  <w:r>
                    <w:rPr>
                      <w:rFonts w:hint="default" w:ascii="Times New Roman" w:hAnsi="Times New Roman" w:cs="Times New Roman"/>
                      <w:color w:val="000000" w:themeColor="text1"/>
                      <w:spacing w:val="0"/>
                      <w:sz w:val="21"/>
                      <w:szCs w:val="21"/>
                      <w:highlight w:val="none"/>
                      <w14:textFill>
                        <w14:solidFill>
                          <w14:schemeClr w14:val="tx1"/>
                        </w14:solidFill>
                      </w14:textFill>
                    </w:rPr>
                    <w:t>≤1（级）</w:t>
                  </w:r>
                </w:p>
              </w:tc>
            </w:tr>
          </w:tbl>
          <w:p w14:paraId="3ECA614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eastAsia" w:cs="Times New Roman"/>
                <w:b/>
                <w:bCs/>
                <w:color w:val="000000" w:themeColor="text1"/>
                <w:kern w:val="0"/>
                <w:sz w:val="24"/>
                <w:szCs w:val="24"/>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废水</w:t>
            </w:r>
          </w:p>
          <w:p w14:paraId="4D26AC90">
            <w:pPr>
              <w:adjustRightInd w:val="0"/>
              <w:snapToGrid w:val="0"/>
              <w:spacing w:line="360" w:lineRule="auto"/>
              <w:ind w:firstLine="480" w:firstLineChars="200"/>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本项目</w:t>
            </w: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锅炉排污水及软化排污水用于锅炉炉渣拌湿降尘。</w:t>
            </w:r>
          </w:p>
          <w:p w14:paraId="09AD103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eastAsia" w:cs="Times New Roman"/>
                <w:b/>
                <w:bCs/>
                <w:color w:val="000000" w:themeColor="text1"/>
                <w:kern w:val="0"/>
                <w:sz w:val="24"/>
                <w:szCs w:val="24"/>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噪声</w:t>
            </w:r>
          </w:p>
          <w:p w14:paraId="5A62035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项目</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噪声执行</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《工业企业厂界环境噪声排放标准》（GB12348-2008）中的</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类标准，标准值见表</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3-</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w:t>
            </w:r>
            <w:bookmarkStart w:id="11" w:name="_Ref196743448"/>
          </w:p>
          <w:p w14:paraId="185BDF81">
            <w:pPr>
              <w:adjustRightInd w:val="0"/>
              <w:snapToGrid w:val="0"/>
              <w:jc w:val="cente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表</w:t>
            </w:r>
            <w:bookmarkEnd w:id="11"/>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w:t>
            </w:r>
            <w:r>
              <w:rPr>
                <w:rFonts w:hint="default" w:ascii="Times New Roman" w:hAnsi="Times New Roman" w:cs="Times New Roman"/>
                <w:b/>
                <w:bCs/>
                <w:color w:val="000000" w:themeColor="text1"/>
                <w:kern w:val="0"/>
                <w:sz w:val="24"/>
                <w:szCs w:val="24"/>
                <w:highlight w:val="none"/>
                <w:lang w:val="en-US" w:eastAsia="zh-CN"/>
                <w14:textFill>
                  <w14:solidFill>
                    <w14:schemeClr w14:val="tx1"/>
                  </w14:solidFill>
                </w14:textFill>
              </w:rPr>
              <w:t>6</w:t>
            </w: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工业企业厂界环境噪声排放标准单位：dB（A）</w:t>
            </w:r>
          </w:p>
          <w:tbl>
            <w:tblPr>
              <w:tblStyle w:val="13"/>
              <w:tblW w:w="0" w:type="auto"/>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2051"/>
              <w:gridCol w:w="2851"/>
              <w:gridCol w:w="3035"/>
            </w:tblGrid>
            <w:tr w14:paraId="0B4F5597">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051" w:type="dxa"/>
                  <w:vMerge w:val="restart"/>
                  <w:tcBorders>
                    <w:tl2br w:val="nil"/>
                    <w:tr2bl w:val="nil"/>
                  </w:tcBorders>
                  <w:noWrap w:val="0"/>
                  <w:tcMar>
                    <w:top w:w="17" w:type="dxa"/>
                    <w:left w:w="17" w:type="dxa"/>
                    <w:bottom w:w="0" w:type="dxa"/>
                    <w:right w:w="17" w:type="dxa"/>
                  </w:tcMar>
                  <w:vAlign w:val="center"/>
                </w:tcPr>
                <w:p w14:paraId="592DF020">
                  <w:pPr>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类别</w:t>
                  </w:r>
                </w:p>
              </w:tc>
              <w:tc>
                <w:tcPr>
                  <w:tcW w:w="5886" w:type="dxa"/>
                  <w:gridSpan w:val="2"/>
                  <w:tcBorders>
                    <w:tl2br w:val="nil"/>
                    <w:tr2bl w:val="nil"/>
                  </w:tcBorders>
                  <w:noWrap w:val="0"/>
                  <w:tcMar>
                    <w:top w:w="17" w:type="dxa"/>
                    <w:left w:w="17" w:type="dxa"/>
                    <w:bottom w:w="0" w:type="dxa"/>
                    <w:right w:w="17" w:type="dxa"/>
                  </w:tcMar>
                  <w:vAlign w:val="center"/>
                </w:tcPr>
                <w:p w14:paraId="4952ACE3">
                  <w:pPr>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标准值</w:t>
                  </w:r>
                </w:p>
              </w:tc>
            </w:tr>
            <w:tr w14:paraId="539D07EE">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051" w:type="dxa"/>
                  <w:vMerge w:val="continue"/>
                  <w:tcBorders>
                    <w:tl2br w:val="nil"/>
                    <w:tr2bl w:val="nil"/>
                  </w:tcBorders>
                  <w:noWrap w:val="0"/>
                  <w:vAlign w:val="center"/>
                </w:tcPr>
                <w:p w14:paraId="72696BC5">
                  <w:pPr>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2851" w:type="dxa"/>
                  <w:tcBorders>
                    <w:tl2br w:val="nil"/>
                    <w:tr2bl w:val="nil"/>
                  </w:tcBorders>
                  <w:noWrap w:val="0"/>
                  <w:tcMar>
                    <w:top w:w="17" w:type="dxa"/>
                    <w:left w:w="17" w:type="dxa"/>
                    <w:bottom w:w="0" w:type="dxa"/>
                    <w:right w:w="17" w:type="dxa"/>
                  </w:tcMar>
                  <w:vAlign w:val="center"/>
                </w:tcPr>
                <w:p w14:paraId="2B94868B">
                  <w:pPr>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昼间</w:t>
                  </w:r>
                </w:p>
              </w:tc>
              <w:tc>
                <w:tcPr>
                  <w:tcW w:w="3035" w:type="dxa"/>
                  <w:tcBorders>
                    <w:tl2br w:val="nil"/>
                    <w:tr2bl w:val="nil"/>
                  </w:tcBorders>
                  <w:noWrap w:val="0"/>
                  <w:tcMar>
                    <w:top w:w="17" w:type="dxa"/>
                    <w:left w:w="17" w:type="dxa"/>
                    <w:bottom w:w="0" w:type="dxa"/>
                    <w:right w:w="17" w:type="dxa"/>
                  </w:tcMar>
                  <w:vAlign w:val="center"/>
                </w:tcPr>
                <w:p w14:paraId="36AF56A0">
                  <w:pPr>
                    <w:adjustRightInd w:val="0"/>
                    <w:snapToGrid w:val="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夜间</w:t>
                  </w:r>
                </w:p>
              </w:tc>
            </w:tr>
            <w:tr w14:paraId="0C14C0F1">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051" w:type="dxa"/>
                  <w:tcBorders>
                    <w:tl2br w:val="nil"/>
                    <w:tr2bl w:val="nil"/>
                  </w:tcBorders>
                  <w:noWrap w:val="0"/>
                  <w:vAlign w:val="center"/>
                </w:tcPr>
                <w:p w14:paraId="6FAEA215">
                  <w:pPr>
                    <w:adjustRightInd w:val="0"/>
                    <w:snapToGrid w:val="0"/>
                    <w:jc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类</w:t>
                  </w:r>
                </w:p>
              </w:tc>
              <w:tc>
                <w:tcPr>
                  <w:tcW w:w="2851" w:type="dxa"/>
                  <w:tcBorders>
                    <w:tl2br w:val="nil"/>
                    <w:tr2bl w:val="nil"/>
                  </w:tcBorders>
                  <w:noWrap w:val="0"/>
                  <w:tcMar>
                    <w:top w:w="17" w:type="dxa"/>
                    <w:left w:w="17" w:type="dxa"/>
                    <w:bottom w:w="0" w:type="dxa"/>
                    <w:right w:w="17" w:type="dxa"/>
                  </w:tcMar>
                  <w:vAlign w:val="center"/>
                </w:tcPr>
                <w:p w14:paraId="4E6960F4">
                  <w:pPr>
                    <w:adjustRightInd w:val="0"/>
                    <w:snapToGrid w:val="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60</w:t>
                  </w:r>
                </w:p>
              </w:tc>
              <w:tc>
                <w:tcPr>
                  <w:tcW w:w="3035" w:type="dxa"/>
                  <w:tcBorders>
                    <w:tl2br w:val="nil"/>
                    <w:tr2bl w:val="nil"/>
                  </w:tcBorders>
                  <w:noWrap w:val="0"/>
                  <w:tcMar>
                    <w:top w:w="17" w:type="dxa"/>
                    <w:left w:w="17" w:type="dxa"/>
                    <w:bottom w:w="0" w:type="dxa"/>
                    <w:right w:w="17" w:type="dxa"/>
                  </w:tcMar>
                  <w:vAlign w:val="center"/>
                </w:tcPr>
                <w:p w14:paraId="18A04A9A">
                  <w:pPr>
                    <w:adjustRightInd w:val="0"/>
                    <w:snapToGrid w:val="0"/>
                    <w:jc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5</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0</w:t>
                  </w:r>
                </w:p>
              </w:tc>
            </w:tr>
          </w:tbl>
          <w:p w14:paraId="1B01CFB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eastAsia" w:cs="Times New Roman"/>
                <w:b/>
                <w:bCs/>
                <w:color w:val="000000" w:themeColor="text1"/>
                <w:kern w:val="0"/>
                <w:sz w:val="24"/>
                <w:szCs w:val="24"/>
                <w:highlight w:val="none"/>
                <w:lang w:val="en-US" w:eastAsia="zh-CN"/>
                <w14:textFill>
                  <w14:solidFill>
                    <w14:schemeClr w14:val="tx1"/>
                  </w14:solidFill>
                </w14:textFill>
              </w:rPr>
              <w:t>4.</w:t>
            </w: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固体废物</w:t>
            </w:r>
          </w:p>
          <w:p w14:paraId="0562BF6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一般固体废物执行</w:t>
            </w:r>
            <w:r>
              <w:rPr>
                <w:rFonts w:hint="default" w:ascii="Times New Roman" w:hAnsi="Times New Roman" w:cs="Times New Roman"/>
                <w:color w:val="000000" w:themeColor="text1"/>
                <w:sz w:val="24"/>
                <w:szCs w:val="24"/>
                <w:highlight w:val="none"/>
                <w14:textFill>
                  <w14:solidFill>
                    <w14:schemeClr w14:val="tx1"/>
                  </w14:solidFill>
                </w14:textFill>
              </w:rPr>
              <w:t>《一般工业固体废物贮存</w:t>
            </w:r>
            <w:r>
              <w:rPr>
                <w:rFonts w:hint="default" w:ascii="Times New Roman" w:hAnsi="Times New Roman" w:cs="Times New Roman"/>
                <w:color w:val="000000" w:themeColor="text1"/>
                <w:sz w:val="24"/>
                <w:szCs w:val="24"/>
                <w:highlight w:val="none"/>
                <w:lang w:eastAsia="zh-CN"/>
                <w14:textFill>
                  <w14:solidFill>
                    <w14:schemeClr w14:val="tx1"/>
                  </w14:solidFill>
                </w14:textFill>
              </w:rPr>
              <w:t>和填埋</w:t>
            </w:r>
            <w:r>
              <w:rPr>
                <w:rFonts w:hint="default" w:ascii="Times New Roman" w:hAnsi="Times New Roman" w:cs="Times New Roman"/>
                <w:color w:val="000000" w:themeColor="text1"/>
                <w:sz w:val="24"/>
                <w:szCs w:val="24"/>
                <w:highlight w:val="none"/>
                <w14:textFill>
                  <w14:solidFill>
                    <w14:schemeClr w14:val="tx1"/>
                  </w14:solidFill>
                </w14:textFill>
              </w:rPr>
              <w:t>污染控制标准》</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GB18599-20</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20</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2021年7月1日实施</w: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w:t>
            </w:r>
          </w:p>
        </w:tc>
      </w:tr>
      <w:tr w14:paraId="6FA303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8" w:hRule="atLeast"/>
          <w:jc w:val="center"/>
        </w:trPr>
        <w:tc>
          <w:tcPr>
            <w:tcW w:w="802" w:type="dxa"/>
            <w:noWrap w:val="0"/>
            <w:vAlign w:val="center"/>
          </w:tcPr>
          <w:p w14:paraId="66E22A72">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总量</w:t>
            </w:r>
          </w:p>
          <w:p w14:paraId="262F82D5">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控制</w:t>
            </w:r>
          </w:p>
          <w:p w14:paraId="0211CC90">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指标</w:t>
            </w:r>
          </w:p>
        </w:tc>
        <w:tc>
          <w:tcPr>
            <w:tcW w:w="8254" w:type="dxa"/>
            <w:noWrap w:val="0"/>
            <w:vAlign w:val="center"/>
          </w:tcPr>
          <w:p w14:paraId="09A0842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按照</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十四五</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确定的总量控制指标的污染物</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以及生态环境主管部门核定的总量控制指标，</w:t>
            </w:r>
            <w:r>
              <w:rPr>
                <w:rFonts w:hint="eastAsia" w:cs="Times New Roman"/>
                <w:color w:val="000000" w:themeColor="text1"/>
                <w:kern w:val="0"/>
                <w:sz w:val="24"/>
                <w:szCs w:val="24"/>
                <w:highlight w:val="none"/>
                <w:lang w:val="en-US" w:eastAsia="zh-CN"/>
                <w14:textFill>
                  <w14:solidFill>
                    <w14:schemeClr w14:val="tx1"/>
                  </w14:solidFill>
                </w14:textFill>
              </w:rPr>
              <w:t>原有工程预测量和核定排放量数据采用</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《双鸭山森远木业有限公司禾香板生产及定制家具加工建设项目环境影响评价报告表》</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中相关数据。</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本项目</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污染物排放总量详见表3-8、表3-9</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w:t>
            </w:r>
          </w:p>
          <w:p w14:paraId="601C9C67">
            <w:pPr>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表3-</w:t>
            </w:r>
            <w:r>
              <w:rPr>
                <w:rFonts w:hint="default" w:ascii="Times New Roman" w:hAnsi="Times New Roman" w:cs="Times New Roman"/>
                <w:b/>
                <w:bCs/>
                <w:color w:val="000000" w:themeColor="text1"/>
                <w:kern w:val="0"/>
                <w:sz w:val="24"/>
                <w:szCs w:val="24"/>
                <w:highlight w:val="none"/>
                <w:lang w:val="en-US" w:eastAsia="zh-CN"/>
                <w14:textFill>
                  <w14:solidFill>
                    <w14:schemeClr w14:val="tx1"/>
                  </w14:solidFill>
                </w14:textFill>
              </w:rPr>
              <w:t>8</w:t>
            </w:r>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污染物预测排放“三本账”单位：t/a</w:t>
            </w:r>
          </w:p>
          <w:tbl>
            <w:tblPr>
              <w:tblStyle w:val="13"/>
              <w:tblW w:w="4996"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7"/>
              <w:gridCol w:w="1337"/>
              <w:gridCol w:w="1338"/>
              <w:gridCol w:w="1338"/>
              <w:gridCol w:w="1338"/>
              <w:gridCol w:w="1344"/>
            </w:tblGrid>
            <w:tr w14:paraId="767983D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tcBorders>
                    <w:tl2br w:val="nil"/>
                    <w:tr2bl w:val="nil"/>
                  </w:tcBorders>
                  <w:noWrap w:val="0"/>
                  <w:vAlign w:val="center"/>
                </w:tcPr>
                <w:p w14:paraId="205FBD10">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1"/>
                      <w:szCs w:val="21"/>
                      <w:highlight w:val="none"/>
                      <w14:textFill>
                        <w14:solidFill>
                          <w14:schemeClr w14:val="tx1"/>
                        </w14:solidFill>
                      </w14:textFill>
                    </w:rPr>
                    <w:t>污染物</w:t>
                  </w:r>
                </w:p>
              </w:tc>
              <w:tc>
                <w:tcPr>
                  <w:tcW w:w="832" w:type="pct"/>
                  <w:tcBorders>
                    <w:tl2br w:val="nil"/>
                    <w:tr2bl w:val="nil"/>
                  </w:tcBorders>
                  <w:noWrap w:val="0"/>
                  <w:vAlign w:val="center"/>
                </w:tcPr>
                <w:p w14:paraId="5E5E09DB">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val="en-US" w:eastAsia="zh-CN"/>
                      <w14:textFill>
                        <w14:solidFill>
                          <w14:schemeClr w14:val="tx1"/>
                        </w14:solidFill>
                      </w14:textFill>
                    </w:rPr>
                    <w:t>原工程预测排放量</w:t>
                  </w:r>
                </w:p>
              </w:tc>
              <w:tc>
                <w:tcPr>
                  <w:tcW w:w="832" w:type="pct"/>
                  <w:tcBorders>
                    <w:tl2br w:val="nil"/>
                    <w:tr2bl w:val="nil"/>
                  </w:tcBorders>
                  <w:noWrap w:val="0"/>
                  <w:vAlign w:val="center"/>
                </w:tcPr>
                <w:p w14:paraId="418DD189">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1"/>
                      <w:szCs w:val="21"/>
                      <w:highlight w:val="none"/>
                      <w:lang w:val="en-US" w:eastAsia="zh-CN"/>
                      <w14:textFill>
                        <w14:solidFill>
                          <w14:schemeClr w14:val="tx1"/>
                        </w14:solidFill>
                      </w14:textFill>
                    </w:rPr>
                    <w:t>本次</w:t>
                  </w:r>
                  <w:r>
                    <w:rPr>
                      <w:rFonts w:hint="default" w:ascii="Times New Roman" w:hAnsi="Times New Roman" w:eastAsia="宋体" w:cs="Times New Roman"/>
                      <w:b w:val="0"/>
                      <w:bCs w:val="0"/>
                      <w:snapToGrid w:val="0"/>
                      <w:color w:val="000000" w:themeColor="text1"/>
                      <w:kern w:val="0"/>
                      <w:sz w:val="21"/>
                      <w:szCs w:val="21"/>
                      <w:highlight w:val="none"/>
                      <w:lang w:eastAsia="zh-CN"/>
                      <w14:textFill>
                        <w14:solidFill>
                          <w14:schemeClr w14:val="tx1"/>
                        </w14:solidFill>
                      </w14:textFill>
                    </w:rPr>
                    <w:t>预测排放量</w:t>
                  </w:r>
                </w:p>
              </w:tc>
              <w:tc>
                <w:tcPr>
                  <w:tcW w:w="832" w:type="pct"/>
                  <w:tcBorders>
                    <w:tl2br w:val="nil"/>
                    <w:tr2bl w:val="nil"/>
                  </w:tcBorders>
                  <w:noWrap w:val="0"/>
                  <w:vAlign w:val="center"/>
                </w:tcPr>
                <w:p w14:paraId="16A66507">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lang w:eastAsia="zh-CN"/>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val="en-US" w:eastAsia="zh-CN"/>
                      <w14:textFill>
                        <w14:solidFill>
                          <w14:schemeClr w14:val="tx1"/>
                        </w14:solidFill>
                      </w14:textFill>
                    </w:rPr>
                    <w:t>以新带老削减量</w:t>
                  </w:r>
                </w:p>
              </w:tc>
              <w:tc>
                <w:tcPr>
                  <w:tcW w:w="832" w:type="pct"/>
                  <w:tcBorders>
                    <w:tl2br w:val="nil"/>
                    <w:tr2bl w:val="nil"/>
                  </w:tcBorders>
                  <w:noWrap w:val="0"/>
                  <w:vAlign w:val="center"/>
                </w:tcPr>
                <w:p w14:paraId="7C26FC5F">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lang w:eastAsia="zh-CN"/>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val="en-US" w:eastAsia="zh-CN"/>
                      <w14:textFill>
                        <w14:solidFill>
                          <w14:schemeClr w14:val="tx1"/>
                        </w14:solidFill>
                      </w14:textFill>
                    </w:rPr>
                    <w:t>全厂排放总量</w:t>
                  </w:r>
                </w:p>
              </w:tc>
              <w:tc>
                <w:tcPr>
                  <w:tcW w:w="836" w:type="pct"/>
                  <w:tcBorders>
                    <w:tl2br w:val="nil"/>
                    <w:tr2bl w:val="nil"/>
                  </w:tcBorders>
                  <w:noWrap w:val="0"/>
                  <w:vAlign w:val="center"/>
                </w:tcPr>
                <w:p w14:paraId="7186B9F6">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lang w:val="en-US"/>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1"/>
                      <w:szCs w:val="21"/>
                      <w:highlight w:val="none"/>
                      <w:lang w:val="en-US" w:eastAsia="zh-CN"/>
                      <w14:textFill>
                        <w14:solidFill>
                          <w14:schemeClr w14:val="tx1"/>
                        </w14:solidFill>
                      </w14:textFill>
                    </w:rPr>
                    <w:t>预测排放增减量</w:t>
                  </w:r>
                </w:p>
              </w:tc>
            </w:tr>
            <w:tr w14:paraId="171FACC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tcBorders>
                    <w:tl2br w:val="nil"/>
                    <w:tr2bl w:val="nil"/>
                  </w:tcBorders>
                  <w:noWrap w:val="0"/>
                  <w:vAlign w:val="center"/>
                </w:tcPr>
                <w:p w14:paraId="2CFD1B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1"/>
                      <w:szCs w:val="21"/>
                      <w:highlight w:val="none"/>
                      <w:lang w:val="en-US" w:eastAsia="zh-CN"/>
                      <w14:textFill>
                        <w14:solidFill>
                          <w14:schemeClr w14:val="tx1"/>
                        </w14:solidFill>
                      </w14:textFill>
                    </w:rPr>
                    <w:t>颗粒物</w:t>
                  </w:r>
                </w:p>
              </w:tc>
              <w:tc>
                <w:tcPr>
                  <w:tcW w:w="832" w:type="pct"/>
                  <w:tcBorders>
                    <w:tl2br w:val="nil"/>
                    <w:tr2bl w:val="nil"/>
                  </w:tcBorders>
                  <w:noWrap w:val="0"/>
                  <w:vAlign w:val="center"/>
                </w:tcPr>
                <w:p w14:paraId="0D05C7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0.5</w:t>
                  </w:r>
                </w:p>
              </w:tc>
              <w:tc>
                <w:tcPr>
                  <w:tcW w:w="832" w:type="pct"/>
                  <w:tcBorders>
                    <w:tl2br w:val="nil"/>
                    <w:tr2bl w:val="nil"/>
                  </w:tcBorders>
                  <w:shd w:val="clear" w:color="auto" w:fill="auto"/>
                  <w:noWrap w:val="0"/>
                  <w:vAlign w:val="center"/>
                </w:tcPr>
                <w:p w14:paraId="76256F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pacing w:val="0"/>
                      <w:sz w:val="21"/>
                      <w:szCs w:val="21"/>
                      <w:highlight w:val="none"/>
                      <w:lang w:val="en-US" w:eastAsia="zh-CN"/>
                      <w14:textFill>
                        <w14:solidFill>
                          <w14:schemeClr w14:val="tx1"/>
                        </w14:solidFill>
                      </w14:textFill>
                    </w:rPr>
                    <w:t>0.366</w:t>
                  </w:r>
                </w:p>
              </w:tc>
              <w:tc>
                <w:tcPr>
                  <w:tcW w:w="832" w:type="pct"/>
                  <w:tcBorders>
                    <w:tl2br w:val="nil"/>
                    <w:tr2bl w:val="nil"/>
                  </w:tcBorders>
                  <w:noWrap w:val="0"/>
                  <w:vAlign w:val="center"/>
                </w:tcPr>
                <w:p w14:paraId="3AA028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w:t>
                  </w:r>
                </w:p>
              </w:tc>
              <w:tc>
                <w:tcPr>
                  <w:tcW w:w="832" w:type="pct"/>
                  <w:tcBorders>
                    <w:tl2br w:val="nil"/>
                    <w:tr2bl w:val="nil"/>
                  </w:tcBorders>
                  <w:noWrap w:val="0"/>
                  <w:vAlign w:val="center"/>
                </w:tcPr>
                <w:p w14:paraId="1BBB51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0.</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866</w:t>
                  </w:r>
                </w:p>
              </w:tc>
              <w:tc>
                <w:tcPr>
                  <w:tcW w:w="836" w:type="pct"/>
                  <w:tcBorders>
                    <w:tl2br w:val="nil"/>
                    <w:tr2bl w:val="nil"/>
                  </w:tcBorders>
                  <w:noWrap w:val="0"/>
                  <w:vAlign w:val="center"/>
                </w:tcPr>
                <w:p w14:paraId="37F4E9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r>
                    <w:rPr>
                      <w:rFonts w:hint="eastAsia" w:cs="Times New Roman"/>
                      <w:b w:val="0"/>
                      <w:bCs w:val="0"/>
                      <w:color w:val="000000" w:themeColor="text1"/>
                      <w:sz w:val="21"/>
                      <w:szCs w:val="21"/>
                      <w:highlight w:val="none"/>
                      <w:lang w:val="en-US" w:eastAsia="zh-CN"/>
                      <w14:textFill>
                        <w14:solidFill>
                          <w14:schemeClr w14:val="tx1"/>
                        </w14:solidFill>
                      </w14:textFill>
                    </w:rPr>
                    <w:t>0.366</w:t>
                  </w:r>
                </w:p>
              </w:tc>
            </w:tr>
            <w:tr w14:paraId="4E94AC7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tcBorders>
                    <w:tl2br w:val="nil"/>
                    <w:tr2bl w:val="nil"/>
                  </w:tcBorders>
                  <w:noWrap w:val="0"/>
                  <w:vAlign w:val="center"/>
                </w:tcPr>
                <w:p w14:paraId="5B9152C1">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1"/>
                      <w:szCs w:val="21"/>
                      <w:highlight w:val="none"/>
                      <w14:textFill>
                        <w14:solidFill>
                          <w14:schemeClr w14:val="tx1"/>
                        </w14:solidFill>
                      </w14:textFill>
                    </w:rPr>
                    <w:t>二氧化硫</w:t>
                  </w:r>
                </w:p>
              </w:tc>
              <w:tc>
                <w:tcPr>
                  <w:tcW w:w="832" w:type="pct"/>
                  <w:tcBorders>
                    <w:tl2br w:val="nil"/>
                    <w:tr2bl w:val="nil"/>
                  </w:tcBorders>
                  <w:noWrap w:val="0"/>
                  <w:vAlign w:val="center"/>
                </w:tcPr>
                <w:p w14:paraId="626F72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832" w:type="pct"/>
                  <w:tcBorders>
                    <w:tl2br w:val="nil"/>
                    <w:tr2bl w:val="nil"/>
                  </w:tcBorders>
                  <w:shd w:val="clear" w:color="auto" w:fill="auto"/>
                  <w:noWrap w:val="0"/>
                  <w:vAlign w:val="center"/>
                </w:tcPr>
                <w:p w14:paraId="3B3F4B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pacing w:val="0"/>
                      <w:sz w:val="21"/>
                      <w:szCs w:val="21"/>
                      <w:highlight w:val="none"/>
                      <w:lang w:val="en-US" w:eastAsia="zh-CN"/>
                      <w14:textFill>
                        <w14:solidFill>
                          <w14:schemeClr w14:val="tx1"/>
                        </w14:solidFill>
                      </w14:textFill>
                    </w:rPr>
                    <w:t>0.342</w:t>
                  </w:r>
                </w:p>
              </w:tc>
              <w:tc>
                <w:tcPr>
                  <w:tcW w:w="832" w:type="pct"/>
                  <w:tcBorders>
                    <w:tl2br w:val="nil"/>
                    <w:tr2bl w:val="nil"/>
                  </w:tcBorders>
                  <w:noWrap w:val="0"/>
                  <w:vAlign w:val="center"/>
                </w:tcPr>
                <w:p w14:paraId="37132E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832" w:type="pct"/>
                  <w:tcBorders>
                    <w:tl2br w:val="nil"/>
                    <w:tr2bl w:val="nil"/>
                  </w:tcBorders>
                  <w:shd w:val="clear" w:color="auto" w:fill="auto"/>
                  <w:noWrap w:val="0"/>
                  <w:vAlign w:val="center"/>
                </w:tcPr>
                <w:p w14:paraId="2325D1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pacing w:val="0"/>
                      <w:sz w:val="21"/>
                      <w:szCs w:val="21"/>
                      <w:highlight w:val="none"/>
                      <w:lang w:val="en-US" w:eastAsia="zh-CN"/>
                      <w14:textFill>
                        <w14:solidFill>
                          <w14:schemeClr w14:val="tx1"/>
                        </w14:solidFill>
                      </w14:textFill>
                    </w:rPr>
                    <w:t>0.342</w:t>
                  </w:r>
                </w:p>
              </w:tc>
              <w:tc>
                <w:tcPr>
                  <w:tcW w:w="836" w:type="pct"/>
                  <w:tcBorders>
                    <w:tl2br w:val="nil"/>
                    <w:tr2bl w:val="nil"/>
                  </w:tcBorders>
                  <w:noWrap w:val="0"/>
                  <w:vAlign w:val="center"/>
                </w:tcPr>
                <w:p w14:paraId="01BB12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w:t>
                  </w:r>
                  <w:r>
                    <w:rPr>
                      <w:rFonts w:hint="eastAsia" w:cs="Times New Roman"/>
                      <w:b w:val="0"/>
                      <w:bCs w:val="0"/>
                      <w:color w:val="000000" w:themeColor="text1"/>
                      <w:spacing w:val="0"/>
                      <w:sz w:val="21"/>
                      <w:szCs w:val="21"/>
                      <w:highlight w:val="none"/>
                      <w:lang w:val="en-US" w:eastAsia="zh-CN"/>
                      <w14:textFill>
                        <w14:solidFill>
                          <w14:schemeClr w14:val="tx1"/>
                        </w14:solidFill>
                      </w14:textFill>
                    </w:rPr>
                    <w:t>0.342</w:t>
                  </w:r>
                </w:p>
              </w:tc>
            </w:tr>
            <w:tr w14:paraId="41E27B7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tcBorders>
                    <w:tl2br w:val="nil"/>
                    <w:tr2bl w:val="nil"/>
                  </w:tcBorders>
                  <w:noWrap w:val="0"/>
                  <w:vAlign w:val="center"/>
                </w:tcPr>
                <w:p w14:paraId="496A67D2">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1"/>
                      <w:szCs w:val="21"/>
                      <w:highlight w:val="none"/>
                      <w14:textFill>
                        <w14:solidFill>
                          <w14:schemeClr w14:val="tx1"/>
                        </w14:solidFill>
                      </w14:textFill>
                    </w:rPr>
                    <w:t>氮氧化物</w:t>
                  </w:r>
                </w:p>
              </w:tc>
              <w:tc>
                <w:tcPr>
                  <w:tcW w:w="832" w:type="pct"/>
                  <w:tcBorders>
                    <w:tl2br w:val="nil"/>
                    <w:tr2bl w:val="nil"/>
                  </w:tcBorders>
                  <w:noWrap w:val="0"/>
                  <w:vAlign w:val="center"/>
                </w:tcPr>
                <w:p w14:paraId="061392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832" w:type="pct"/>
                  <w:tcBorders>
                    <w:tl2br w:val="nil"/>
                    <w:tr2bl w:val="nil"/>
                  </w:tcBorders>
                  <w:shd w:val="clear" w:color="auto" w:fill="auto"/>
                  <w:noWrap w:val="0"/>
                  <w:vAlign w:val="center"/>
                </w:tcPr>
                <w:p w14:paraId="1EBCFC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pacing w:val="0"/>
                      <w:sz w:val="21"/>
                      <w:szCs w:val="21"/>
                      <w:highlight w:val="none"/>
                      <w:lang w:val="en-US" w:eastAsia="zh-CN"/>
                      <w14:textFill>
                        <w14:solidFill>
                          <w14:schemeClr w14:val="tx1"/>
                        </w14:solidFill>
                      </w14:textFill>
                    </w:rPr>
                    <w:t>1.983</w:t>
                  </w:r>
                </w:p>
              </w:tc>
              <w:tc>
                <w:tcPr>
                  <w:tcW w:w="832" w:type="pct"/>
                  <w:tcBorders>
                    <w:tl2br w:val="nil"/>
                    <w:tr2bl w:val="nil"/>
                  </w:tcBorders>
                  <w:noWrap w:val="0"/>
                  <w:vAlign w:val="center"/>
                </w:tcPr>
                <w:p w14:paraId="08001C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832" w:type="pct"/>
                  <w:tcBorders>
                    <w:tl2br w:val="nil"/>
                    <w:tr2bl w:val="nil"/>
                  </w:tcBorders>
                  <w:shd w:val="clear" w:color="auto" w:fill="auto"/>
                  <w:noWrap w:val="0"/>
                  <w:vAlign w:val="center"/>
                </w:tcPr>
                <w:p w14:paraId="72C536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pacing w:val="0"/>
                      <w:sz w:val="21"/>
                      <w:szCs w:val="21"/>
                      <w:highlight w:val="none"/>
                      <w:lang w:val="en-US" w:eastAsia="zh-CN"/>
                      <w14:textFill>
                        <w14:solidFill>
                          <w14:schemeClr w14:val="tx1"/>
                        </w14:solidFill>
                      </w14:textFill>
                    </w:rPr>
                    <w:t>1.983</w:t>
                  </w:r>
                </w:p>
              </w:tc>
              <w:tc>
                <w:tcPr>
                  <w:tcW w:w="836" w:type="pct"/>
                  <w:tcBorders>
                    <w:tl2br w:val="nil"/>
                    <w:tr2bl w:val="nil"/>
                  </w:tcBorders>
                  <w:noWrap w:val="0"/>
                  <w:vAlign w:val="center"/>
                </w:tcPr>
                <w:p w14:paraId="0583BF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w:t>
                  </w:r>
                  <w:r>
                    <w:rPr>
                      <w:rFonts w:hint="eastAsia" w:cs="Times New Roman"/>
                      <w:b w:val="0"/>
                      <w:bCs w:val="0"/>
                      <w:color w:val="000000" w:themeColor="text1"/>
                      <w:spacing w:val="0"/>
                      <w:sz w:val="21"/>
                      <w:szCs w:val="21"/>
                      <w:highlight w:val="none"/>
                      <w:lang w:val="en-US" w:eastAsia="zh-CN"/>
                      <w14:textFill>
                        <w14:solidFill>
                          <w14:schemeClr w14:val="tx1"/>
                        </w14:solidFill>
                      </w14:textFill>
                    </w:rPr>
                    <w:t>1.983</w:t>
                  </w:r>
                </w:p>
              </w:tc>
            </w:tr>
            <w:tr w14:paraId="55AD62D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tcBorders>
                    <w:tl2br w:val="nil"/>
                    <w:tr2bl w:val="nil"/>
                  </w:tcBorders>
                  <w:noWrap w:val="0"/>
                  <w:vAlign w:val="center"/>
                </w:tcPr>
                <w:p w14:paraId="0981C837">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1"/>
                      <w:szCs w:val="21"/>
                      <w:highlight w:val="none"/>
                      <w:lang w:val="en-US" w:eastAsia="zh-CN"/>
                      <w14:textFill>
                        <w14:solidFill>
                          <w14:schemeClr w14:val="tx1"/>
                        </w14:solidFill>
                      </w14:textFill>
                    </w:rPr>
                    <w:t>挥发性有机物</w:t>
                  </w:r>
                </w:p>
              </w:tc>
              <w:tc>
                <w:tcPr>
                  <w:tcW w:w="832" w:type="pct"/>
                  <w:tcBorders>
                    <w:tl2br w:val="nil"/>
                    <w:tr2bl w:val="nil"/>
                  </w:tcBorders>
                  <w:noWrap w:val="0"/>
                  <w:vAlign w:val="center"/>
                </w:tcPr>
                <w:p w14:paraId="0597A5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0.0474</w:t>
                  </w:r>
                </w:p>
              </w:tc>
              <w:tc>
                <w:tcPr>
                  <w:tcW w:w="832" w:type="pct"/>
                  <w:tcBorders>
                    <w:tl2br w:val="nil"/>
                    <w:tr2bl w:val="nil"/>
                  </w:tcBorders>
                  <w:noWrap w:val="0"/>
                  <w:vAlign w:val="center"/>
                </w:tcPr>
                <w:p w14:paraId="4C9705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832" w:type="pct"/>
                  <w:tcBorders>
                    <w:tl2br w:val="nil"/>
                    <w:tr2bl w:val="nil"/>
                  </w:tcBorders>
                  <w:noWrap w:val="0"/>
                  <w:vAlign w:val="center"/>
                </w:tcPr>
                <w:p w14:paraId="2E094C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832" w:type="pct"/>
                  <w:tcBorders>
                    <w:tl2br w:val="nil"/>
                    <w:tr2bl w:val="nil"/>
                  </w:tcBorders>
                  <w:noWrap w:val="0"/>
                  <w:vAlign w:val="center"/>
                </w:tcPr>
                <w:p w14:paraId="5F58AD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0.0474</w:t>
                  </w:r>
                </w:p>
              </w:tc>
              <w:tc>
                <w:tcPr>
                  <w:tcW w:w="836" w:type="pct"/>
                  <w:tcBorders>
                    <w:tl2br w:val="nil"/>
                    <w:tr2bl w:val="nil"/>
                  </w:tcBorders>
                  <w:noWrap w:val="0"/>
                  <w:vAlign w:val="center"/>
                </w:tcPr>
                <w:p w14:paraId="08A319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r>
          </w:tbl>
          <w:p w14:paraId="10060D6A">
            <w:pPr>
              <w:jc w:val="center"/>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表3-9污染物核定排放“三本账”单位：t/a</w:t>
            </w:r>
          </w:p>
          <w:tbl>
            <w:tblPr>
              <w:tblStyle w:val="13"/>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03"/>
              <w:gridCol w:w="1606"/>
              <w:gridCol w:w="1606"/>
              <w:gridCol w:w="1606"/>
              <w:gridCol w:w="1614"/>
            </w:tblGrid>
            <w:tr w14:paraId="658B5F3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7" w:type="pct"/>
                  <w:tcBorders>
                    <w:tl2br w:val="nil"/>
                    <w:tr2bl w:val="nil"/>
                  </w:tcBorders>
                  <w:noWrap w:val="0"/>
                  <w:vAlign w:val="center"/>
                </w:tcPr>
                <w:p w14:paraId="75B1BEBF">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1"/>
                      <w:szCs w:val="21"/>
                      <w:highlight w:val="none"/>
                      <w14:textFill>
                        <w14:solidFill>
                          <w14:schemeClr w14:val="tx1"/>
                        </w14:solidFill>
                      </w14:textFill>
                    </w:rPr>
                    <w:t>污染物</w:t>
                  </w:r>
                </w:p>
              </w:tc>
              <w:tc>
                <w:tcPr>
                  <w:tcW w:w="999" w:type="pct"/>
                  <w:tcBorders>
                    <w:tl2br w:val="nil"/>
                    <w:tr2bl w:val="nil"/>
                  </w:tcBorders>
                  <w:noWrap w:val="0"/>
                  <w:vAlign w:val="center"/>
                </w:tcPr>
                <w:p w14:paraId="58FBBF5A">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val="en-US" w:eastAsia="zh-CN"/>
                      <w14:textFill>
                        <w14:solidFill>
                          <w14:schemeClr w14:val="tx1"/>
                        </w14:solidFill>
                      </w14:textFill>
                    </w:rPr>
                    <w:t>原工程核定排放量</w:t>
                  </w:r>
                </w:p>
              </w:tc>
              <w:tc>
                <w:tcPr>
                  <w:tcW w:w="999" w:type="pct"/>
                  <w:tcBorders>
                    <w:tl2br w:val="nil"/>
                    <w:tr2bl w:val="nil"/>
                  </w:tcBorders>
                  <w:noWrap w:val="0"/>
                  <w:vAlign w:val="center"/>
                </w:tcPr>
                <w:p w14:paraId="1FD0973D">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1"/>
                      <w:szCs w:val="21"/>
                      <w:highlight w:val="none"/>
                      <w:lang w:val="en-US" w:eastAsia="zh-CN"/>
                      <w14:textFill>
                        <w14:solidFill>
                          <w14:schemeClr w14:val="tx1"/>
                        </w14:solidFill>
                      </w14:textFill>
                    </w:rPr>
                    <w:t>本次核定</w:t>
                  </w:r>
                  <w:r>
                    <w:rPr>
                      <w:rFonts w:hint="default" w:ascii="Times New Roman" w:hAnsi="Times New Roman" w:eastAsia="宋体" w:cs="Times New Roman"/>
                      <w:b w:val="0"/>
                      <w:bCs w:val="0"/>
                      <w:snapToGrid w:val="0"/>
                      <w:color w:val="000000" w:themeColor="text1"/>
                      <w:kern w:val="0"/>
                      <w:sz w:val="21"/>
                      <w:szCs w:val="21"/>
                      <w:highlight w:val="none"/>
                      <w:lang w:eastAsia="zh-CN"/>
                      <w14:textFill>
                        <w14:solidFill>
                          <w14:schemeClr w14:val="tx1"/>
                        </w14:solidFill>
                      </w14:textFill>
                    </w:rPr>
                    <w:t>排放量</w:t>
                  </w:r>
                </w:p>
              </w:tc>
              <w:tc>
                <w:tcPr>
                  <w:tcW w:w="999" w:type="pct"/>
                  <w:tcBorders>
                    <w:tl2br w:val="nil"/>
                    <w:tr2bl w:val="nil"/>
                  </w:tcBorders>
                  <w:noWrap w:val="0"/>
                  <w:vAlign w:val="center"/>
                </w:tcPr>
                <w:p w14:paraId="7BDDBED4">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lang w:eastAsia="zh-CN"/>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val="en-US" w:eastAsia="zh-CN"/>
                      <w14:textFill>
                        <w14:solidFill>
                          <w14:schemeClr w14:val="tx1"/>
                        </w14:solidFill>
                      </w14:textFill>
                    </w:rPr>
                    <w:t>全厂核定排放总量</w:t>
                  </w:r>
                </w:p>
              </w:tc>
              <w:tc>
                <w:tcPr>
                  <w:tcW w:w="1004" w:type="pct"/>
                  <w:tcBorders>
                    <w:tl2br w:val="nil"/>
                    <w:tr2bl w:val="nil"/>
                  </w:tcBorders>
                  <w:noWrap w:val="0"/>
                  <w:vAlign w:val="center"/>
                </w:tcPr>
                <w:p w14:paraId="2573EDD1">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lang w:val="en-US"/>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1"/>
                      <w:szCs w:val="21"/>
                      <w:highlight w:val="none"/>
                      <w:lang w:val="en-US" w:eastAsia="zh-CN"/>
                      <w14:textFill>
                        <w14:solidFill>
                          <w14:schemeClr w14:val="tx1"/>
                        </w14:solidFill>
                      </w14:textFill>
                    </w:rPr>
                    <w:t>核定排放增减量</w:t>
                  </w:r>
                </w:p>
              </w:tc>
            </w:tr>
            <w:tr w14:paraId="321902C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7" w:type="pct"/>
                  <w:tcBorders>
                    <w:tl2br w:val="nil"/>
                    <w:tr2bl w:val="nil"/>
                  </w:tcBorders>
                  <w:noWrap w:val="0"/>
                  <w:vAlign w:val="center"/>
                </w:tcPr>
                <w:p w14:paraId="2F37CC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1"/>
                      <w:szCs w:val="21"/>
                      <w:highlight w:val="none"/>
                      <w:lang w:val="en-US" w:eastAsia="zh-CN"/>
                      <w14:textFill>
                        <w14:solidFill>
                          <w14:schemeClr w14:val="tx1"/>
                        </w14:solidFill>
                      </w14:textFill>
                    </w:rPr>
                    <w:t>颗粒物</w:t>
                  </w:r>
                </w:p>
              </w:tc>
              <w:tc>
                <w:tcPr>
                  <w:tcW w:w="999" w:type="pct"/>
                  <w:tcBorders>
                    <w:tl2br w:val="nil"/>
                    <w:tr2bl w:val="nil"/>
                  </w:tcBorders>
                  <w:shd w:val="clear" w:color="auto" w:fill="auto"/>
                  <w:noWrap w:val="0"/>
                  <w:vAlign w:val="center"/>
                </w:tcPr>
                <w:p w14:paraId="5C8899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0.5</w:t>
                  </w:r>
                </w:p>
              </w:tc>
              <w:tc>
                <w:tcPr>
                  <w:tcW w:w="999" w:type="pct"/>
                  <w:tcBorders>
                    <w:tl2br w:val="nil"/>
                    <w:tr2bl w:val="nil"/>
                  </w:tcBorders>
                  <w:noWrap w:val="0"/>
                  <w:vAlign w:val="center"/>
                </w:tcPr>
                <w:p w14:paraId="4A7213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pacing w:val="0"/>
                      <w:kern w:val="2"/>
                      <w:sz w:val="21"/>
                      <w:szCs w:val="21"/>
                      <w:highlight w:val="none"/>
                      <w:lang w:val="en-US" w:eastAsia="zh-CN" w:bidi="ar-SA"/>
                      <w14:textFill>
                        <w14:solidFill>
                          <w14:schemeClr w14:val="tx1"/>
                        </w14:solidFill>
                      </w14:textFill>
                    </w:rPr>
                    <w:t>0.726</w:t>
                  </w:r>
                </w:p>
              </w:tc>
              <w:tc>
                <w:tcPr>
                  <w:tcW w:w="999" w:type="pct"/>
                  <w:tcBorders>
                    <w:tl2br w:val="nil"/>
                    <w:tr2bl w:val="nil"/>
                  </w:tcBorders>
                  <w:noWrap w:val="0"/>
                  <w:vAlign w:val="center"/>
                </w:tcPr>
                <w:p w14:paraId="0FD03B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1.226</w:t>
                  </w:r>
                </w:p>
              </w:tc>
              <w:tc>
                <w:tcPr>
                  <w:tcW w:w="1004" w:type="pct"/>
                  <w:tcBorders>
                    <w:tl2br w:val="nil"/>
                    <w:tr2bl w:val="nil"/>
                  </w:tcBorders>
                  <w:noWrap w:val="0"/>
                  <w:vAlign w:val="center"/>
                </w:tcPr>
                <w:p w14:paraId="0BBF13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w:t>
                  </w:r>
                  <w:r>
                    <w:rPr>
                      <w:rFonts w:hint="eastAsia" w:cs="Times New Roman"/>
                      <w:b w:val="0"/>
                      <w:bCs w:val="0"/>
                      <w:color w:val="000000" w:themeColor="text1"/>
                      <w:spacing w:val="0"/>
                      <w:kern w:val="2"/>
                      <w:sz w:val="21"/>
                      <w:szCs w:val="21"/>
                      <w:highlight w:val="none"/>
                      <w:lang w:val="en-US" w:eastAsia="zh-CN" w:bidi="ar-SA"/>
                      <w14:textFill>
                        <w14:solidFill>
                          <w14:schemeClr w14:val="tx1"/>
                        </w14:solidFill>
                      </w14:textFill>
                    </w:rPr>
                    <w:t>0.726</w:t>
                  </w:r>
                </w:p>
              </w:tc>
            </w:tr>
            <w:tr w14:paraId="0FD6C1F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7" w:type="pct"/>
                  <w:tcBorders>
                    <w:tl2br w:val="nil"/>
                    <w:tr2bl w:val="nil"/>
                  </w:tcBorders>
                  <w:noWrap w:val="0"/>
                  <w:vAlign w:val="center"/>
                </w:tcPr>
                <w:p w14:paraId="784BF24B">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1"/>
                      <w:szCs w:val="21"/>
                      <w:highlight w:val="none"/>
                      <w14:textFill>
                        <w14:solidFill>
                          <w14:schemeClr w14:val="tx1"/>
                        </w14:solidFill>
                      </w14:textFill>
                    </w:rPr>
                    <w:t>二氧化硫</w:t>
                  </w:r>
                </w:p>
              </w:tc>
              <w:tc>
                <w:tcPr>
                  <w:tcW w:w="999" w:type="pct"/>
                  <w:tcBorders>
                    <w:tl2br w:val="nil"/>
                    <w:tr2bl w:val="nil"/>
                  </w:tcBorders>
                  <w:shd w:val="clear" w:color="auto" w:fill="auto"/>
                  <w:noWrap w:val="0"/>
                  <w:vAlign w:val="center"/>
                </w:tcPr>
                <w:p w14:paraId="798777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999" w:type="pct"/>
                  <w:tcBorders>
                    <w:tl2br w:val="nil"/>
                    <w:tr2bl w:val="nil"/>
                  </w:tcBorders>
                  <w:noWrap w:val="0"/>
                  <w:vAlign w:val="center"/>
                </w:tcPr>
                <w:p w14:paraId="5174B7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pacing w:val="0"/>
                      <w:kern w:val="2"/>
                      <w:sz w:val="21"/>
                      <w:szCs w:val="21"/>
                      <w:highlight w:val="none"/>
                      <w:lang w:val="en-US" w:eastAsia="zh-CN" w:bidi="ar-SA"/>
                      <w14:textFill>
                        <w14:solidFill>
                          <w14:schemeClr w14:val="tx1"/>
                        </w14:solidFill>
                      </w14:textFill>
                    </w:rPr>
                    <w:t>3.484</w:t>
                  </w:r>
                </w:p>
              </w:tc>
              <w:tc>
                <w:tcPr>
                  <w:tcW w:w="999" w:type="pct"/>
                  <w:tcBorders>
                    <w:tl2br w:val="nil"/>
                    <w:tr2bl w:val="nil"/>
                  </w:tcBorders>
                  <w:shd w:val="clear" w:color="auto" w:fill="auto"/>
                  <w:noWrap w:val="0"/>
                  <w:vAlign w:val="center"/>
                </w:tcPr>
                <w:p w14:paraId="08FB61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pacing w:val="0"/>
                      <w:kern w:val="2"/>
                      <w:sz w:val="21"/>
                      <w:szCs w:val="21"/>
                      <w:highlight w:val="none"/>
                      <w:lang w:val="en-US" w:eastAsia="zh-CN" w:bidi="ar-SA"/>
                      <w14:textFill>
                        <w14:solidFill>
                          <w14:schemeClr w14:val="tx1"/>
                        </w14:solidFill>
                      </w14:textFill>
                    </w:rPr>
                    <w:t>3.484</w:t>
                  </w:r>
                </w:p>
              </w:tc>
              <w:tc>
                <w:tcPr>
                  <w:tcW w:w="1004" w:type="pct"/>
                  <w:tcBorders>
                    <w:tl2br w:val="nil"/>
                    <w:tr2bl w:val="nil"/>
                  </w:tcBorders>
                  <w:noWrap w:val="0"/>
                  <w:vAlign w:val="center"/>
                </w:tcPr>
                <w:p w14:paraId="2AA3D0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t>+</w:t>
                  </w:r>
                  <w:r>
                    <w:rPr>
                      <w:rFonts w:hint="eastAsia" w:cs="Times New Roman"/>
                      <w:b w:val="0"/>
                      <w:bCs w:val="0"/>
                      <w:color w:val="000000" w:themeColor="text1"/>
                      <w:spacing w:val="0"/>
                      <w:kern w:val="2"/>
                      <w:sz w:val="21"/>
                      <w:szCs w:val="21"/>
                      <w:highlight w:val="none"/>
                      <w:lang w:val="en-US" w:eastAsia="zh-CN" w:bidi="ar-SA"/>
                      <w14:textFill>
                        <w14:solidFill>
                          <w14:schemeClr w14:val="tx1"/>
                        </w14:solidFill>
                      </w14:textFill>
                    </w:rPr>
                    <w:t>3.484</w:t>
                  </w:r>
                </w:p>
              </w:tc>
            </w:tr>
            <w:tr w14:paraId="77B775A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7" w:type="pct"/>
                  <w:tcBorders>
                    <w:tl2br w:val="nil"/>
                    <w:tr2bl w:val="nil"/>
                  </w:tcBorders>
                  <w:noWrap w:val="0"/>
                  <w:vAlign w:val="center"/>
                </w:tcPr>
                <w:p w14:paraId="66FD0A15">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1"/>
                      <w:szCs w:val="21"/>
                      <w:highlight w:val="none"/>
                      <w14:textFill>
                        <w14:solidFill>
                          <w14:schemeClr w14:val="tx1"/>
                        </w14:solidFill>
                      </w14:textFill>
                    </w:rPr>
                    <w:t>氮氧化物</w:t>
                  </w:r>
                </w:p>
              </w:tc>
              <w:tc>
                <w:tcPr>
                  <w:tcW w:w="999" w:type="pct"/>
                  <w:tcBorders>
                    <w:tl2br w:val="nil"/>
                    <w:tr2bl w:val="nil"/>
                  </w:tcBorders>
                  <w:shd w:val="clear" w:color="auto" w:fill="auto"/>
                  <w:noWrap w:val="0"/>
                  <w:vAlign w:val="center"/>
                </w:tcPr>
                <w:p w14:paraId="5B9B11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999" w:type="pct"/>
                  <w:tcBorders>
                    <w:tl2br w:val="nil"/>
                    <w:tr2bl w:val="nil"/>
                  </w:tcBorders>
                  <w:noWrap w:val="0"/>
                  <w:vAlign w:val="center"/>
                </w:tcPr>
                <w:p w14:paraId="753AFD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pacing w:val="0"/>
                      <w:kern w:val="2"/>
                      <w:sz w:val="21"/>
                      <w:szCs w:val="21"/>
                      <w:highlight w:val="none"/>
                      <w:lang w:val="en-US" w:eastAsia="zh-CN" w:bidi="ar-SA"/>
                      <w14:textFill>
                        <w14:solidFill>
                          <w14:schemeClr w14:val="tx1"/>
                        </w14:solidFill>
                      </w14:textFill>
                    </w:rPr>
                    <w:t>4.355</w:t>
                  </w:r>
                </w:p>
              </w:tc>
              <w:tc>
                <w:tcPr>
                  <w:tcW w:w="999" w:type="pct"/>
                  <w:tcBorders>
                    <w:tl2br w:val="nil"/>
                    <w:tr2bl w:val="nil"/>
                  </w:tcBorders>
                  <w:shd w:val="clear" w:color="auto" w:fill="auto"/>
                  <w:noWrap w:val="0"/>
                  <w:vAlign w:val="center"/>
                </w:tcPr>
                <w:p w14:paraId="30CD0E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pacing w:val="0"/>
                      <w:kern w:val="2"/>
                      <w:sz w:val="21"/>
                      <w:szCs w:val="21"/>
                      <w:highlight w:val="none"/>
                      <w:lang w:val="en-US" w:eastAsia="zh-CN" w:bidi="ar-SA"/>
                      <w14:textFill>
                        <w14:solidFill>
                          <w14:schemeClr w14:val="tx1"/>
                        </w14:solidFill>
                      </w14:textFill>
                    </w:rPr>
                    <w:t>4.355</w:t>
                  </w:r>
                </w:p>
              </w:tc>
              <w:tc>
                <w:tcPr>
                  <w:tcW w:w="1004" w:type="pct"/>
                  <w:tcBorders>
                    <w:tl2br w:val="nil"/>
                    <w:tr2bl w:val="nil"/>
                  </w:tcBorders>
                  <w:noWrap w:val="0"/>
                  <w:vAlign w:val="center"/>
                </w:tcPr>
                <w:p w14:paraId="2B077B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t>+</w:t>
                  </w:r>
                  <w:r>
                    <w:rPr>
                      <w:rFonts w:hint="eastAsia" w:cs="Times New Roman"/>
                      <w:b w:val="0"/>
                      <w:bCs w:val="0"/>
                      <w:color w:val="000000" w:themeColor="text1"/>
                      <w:spacing w:val="0"/>
                      <w:kern w:val="2"/>
                      <w:sz w:val="21"/>
                      <w:szCs w:val="21"/>
                      <w:highlight w:val="none"/>
                      <w:lang w:val="en-US" w:eastAsia="zh-CN" w:bidi="ar-SA"/>
                      <w14:textFill>
                        <w14:solidFill>
                          <w14:schemeClr w14:val="tx1"/>
                        </w14:solidFill>
                      </w14:textFill>
                    </w:rPr>
                    <w:t>4.355</w:t>
                  </w:r>
                </w:p>
              </w:tc>
            </w:tr>
            <w:tr w14:paraId="64C79DA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7" w:type="pct"/>
                  <w:tcBorders>
                    <w:tl2br w:val="nil"/>
                    <w:tr2bl w:val="nil"/>
                  </w:tcBorders>
                  <w:noWrap w:val="0"/>
                  <w:vAlign w:val="center"/>
                </w:tcPr>
                <w:p w14:paraId="222AA043">
                  <w:pPr>
                    <w:keepLines w:val="0"/>
                    <w:pageBreakBefore w:val="0"/>
                    <w:widowControl w:val="0"/>
                    <w:kinsoku/>
                    <w:wordWrap/>
                    <w:overflowPunct/>
                    <w:topLinePunct w:val="0"/>
                    <w:autoSpaceDE/>
                    <w:autoSpaceDN/>
                    <w:bidi w:val="0"/>
                    <w:snapToGrid/>
                    <w:ind w:left="0" w:right="0" w:firstLine="0"/>
                    <w:jc w:val="center"/>
                    <w:rPr>
                      <w:rFonts w:hint="default" w:ascii="Times New Roman" w:hAnsi="Times New Roman" w:eastAsia="宋体"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1"/>
                      <w:szCs w:val="21"/>
                      <w:highlight w:val="none"/>
                      <w:lang w:val="en-US" w:eastAsia="zh-CN"/>
                      <w14:textFill>
                        <w14:solidFill>
                          <w14:schemeClr w14:val="tx1"/>
                        </w14:solidFill>
                      </w14:textFill>
                    </w:rPr>
                    <w:t>挥发性有机物</w:t>
                  </w:r>
                </w:p>
              </w:tc>
              <w:tc>
                <w:tcPr>
                  <w:tcW w:w="999" w:type="pct"/>
                  <w:tcBorders>
                    <w:tl2br w:val="nil"/>
                    <w:tr2bl w:val="nil"/>
                  </w:tcBorders>
                  <w:shd w:val="clear" w:color="auto" w:fill="auto"/>
                  <w:noWrap w:val="0"/>
                  <w:vAlign w:val="center"/>
                </w:tcPr>
                <w:p w14:paraId="277D26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0.0474</w:t>
                  </w:r>
                </w:p>
              </w:tc>
              <w:tc>
                <w:tcPr>
                  <w:tcW w:w="999" w:type="pct"/>
                  <w:tcBorders>
                    <w:tl2br w:val="nil"/>
                    <w:tr2bl w:val="nil"/>
                  </w:tcBorders>
                  <w:noWrap w:val="0"/>
                  <w:vAlign w:val="center"/>
                </w:tcPr>
                <w:p w14:paraId="5BFE0E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999" w:type="pct"/>
                  <w:tcBorders>
                    <w:tl2br w:val="nil"/>
                    <w:tr2bl w:val="nil"/>
                  </w:tcBorders>
                  <w:noWrap w:val="0"/>
                  <w:vAlign w:val="center"/>
                </w:tcPr>
                <w:p w14:paraId="726E3A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0.0474</w:t>
                  </w:r>
                </w:p>
              </w:tc>
              <w:tc>
                <w:tcPr>
                  <w:tcW w:w="1004" w:type="pct"/>
                  <w:tcBorders>
                    <w:tl2br w:val="nil"/>
                    <w:tr2bl w:val="nil"/>
                  </w:tcBorders>
                  <w:noWrap w:val="0"/>
                  <w:vAlign w:val="center"/>
                </w:tcPr>
                <w:p w14:paraId="6148C3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r>
          </w:tbl>
          <w:p w14:paraId="2FB2D51A">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p>
        </w:tc>
      </w:tr>
    </w:tbl>
    <w:p w14:paraId="01B8F05A">
      <w:pPr>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r>
        <w:rPr>
          <w:rFonts w:hint="default" w:ascii="Times New Roman" w:hAnsi="Times New Roman" w:eastAsia="黑体" w:cs="Times New Roman"/>
          <w:snapToGrid w:val="0"/>
          <w:color w:val="000000" w:themeColor="text1"/>
          <w:sz w:val="36"/>
          <w:szCs w:val="36"/>
          <w:highlight w:val="none"/>
          <w14:textFill>
            <w14:solidFill>
              <w14:schemeClr w14:val="tx1"/>
            </w14:solidFill>
          </w14:textFill>
        </w:rPr>
        <w:br w:type="page"/>
      </w:r>
      <w:bookmarkStart w:id="12" w:name="_Toc11279"/>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四、主要环境影响和保护措施</w:t>
      </w:r>
      <w:bookmarkEnd w:id="12"/>
    </w:p>
    <w:tbl>
      <w:tblPr>
        <w:tblStyle w:val="13"/>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1"/>
        <w:gridCol w:w="8310"/>
      </w:tblGrid>
      <w:tr w14:paraId="4089B4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700" w:hRule="atLeast"/>
          <w:jc w:val="center"/>
        </w:trPr>
        <w:tc>
          <w:tcPr>
            <w:tcW w:w="671" w:type="dxa"/>
            <w:noWrap w:val="0"/>
            <w:tcMar>
              <w:left w:w="28" w:type="dxa"/>
              <w:right w:w="28" w:type="dxa"/>
            </w:tcMar>
            <w:vAlign w:val="center"/>
          </w:tcPr>
          <w:p w14:paraId="44376A7E">
            <w:pPr>
              <w:bidi w:val="0"/>
              <w:jc w:val="cente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施工</w:t>
            </w:r>
          </w:p>
          <w:p w14:paraId="5C538D28">
            <w:pPr>
              <w:bidi w:val="0"/>
              <w:jc w:val="cente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期环</w:t>
            </w:r>
          </w:p>
          <w:p w14:paraId="7399D0DF">
            <w:pPr>
              <w:bidi w:val="0"/>
              <w:jc w:val="cente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境保</w:t>
            </w:r>
          </w:p>
          <w:p w14:paraId="796C4BB3">
            <w:pPr>
              <w:bidi w:val="0"/>
              <w:jc w:val="cente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护措</w:t>
            </w:r>
          </w:p>
          <w:p w14:paraId="5C744DA5">
            <w:pPr>
              <w:adjustRightInd w:val="0"/>
              <w:snapToGrid w:val="0"/>
              <w:spacing w:before="0" w:beforeAutospacing="0" w:after="0" w:afterAutospacing="0"/>
              <w:jc w:val="center"/>
              <w:rPr>
                <w:rFonts w:hint="default" w:ascii="Times New Roman" w:hAnsi="Times New Roman" w:cs="Times New Roman"/>
                <w:bCs/>
                <w:color w:val="000000" w:themeColor="text1"/>
                <w:spacing w:val="0"/>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sz w:val="24"/>
                <w:szCs w:val="24"/>
                <w:highlight w:val="none"/>
                <w14:textFill>
                  <w14:solidFill>
                    <w14:schemeClr w14:val="tx1"/>
                  </w14:solidFill>
                </w14:textFill>
              </w:rPr>
              <w:t>施</w:t>
            </w:r>
          </w:p>
        </w:tc>
        <w:tc>
          <w:tcPr>
            <w:tcW w:w="8310" w:type="dxa"/>
            <w:noWrap w:val="0"/>
            <w:vAlign w:val="center"/>
          </w:tcPr>
          <w:p w14:paraId="46090E87">
            <w:pPr>
              <w:adjustRightInd w:val="0"/>
              <w:snapToGrid w:val="0"/>
              <w:spacing w:line="360" w:lineRule="auto"/>
              <w:ind w:firstLine="480" w:firstLineChars="200"/>
              <w:rPr>
                <w:rFonts w:hint="default" w:ascii="Times New Roman" w:hAnsi="Times New Roman" w:eastAsia="宋体" w:cs="Times New Roman"/>
                <w:bCs/>
                <w:color w:val="000000" w:themeColor="text1"/>
                <w:spacing w:val="0"/>
                <w:szCs w:val="21"/>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本项目施工期的主要工作内容是安装</w:t>
            </w:r>
            <w:r>
              <w:rPr>
                <w:rFonts w:hint="eastAsia"/>
                <w:color w:val="000000" w:themeColor="text1"/>
                <w:sz w:val="24"/>
                <w:szCs w:val="24"/>
                <w:highlight w:val="none"/>
                <w:lang w:val="en-US" w:eastAsia="zh-CN"/>
                <w14:textFill>
                  <w14:solidFill>
                    <w14:schemeClr w14:val="tx1"/>
                  </w14:solidFill>
                </w14:textFill>
              </w:rPr>
              <w:t>锅炉及配套废气处理设施</w:t>
            </w:r>
            <w:r>
              <w:rPr>
                <w:rFonts w:hint="eastAsia"/>
                <w:color w:val="000000" w:themeColor="text1"/>
                <w:sz w:val="24"/>
                <w:szCs w:val="24"/>
                <w:highlight w:val="none"/>
                <w14:textFill>
                  <w14:solidFill>
                    <w14:schemeClr w14:val="tx1"/>
                  </w14:solidFill>
                </w14:textFill>
              </w:rPr>
              <w:t>，施工期间会产生少量的生活污水、施工噪声和固体废物，本项目的施工工程量较小，施工期持续时间短，伴随着施工期的结束，施工期的环境影响也将随之消失。故，在此不对施工期的环境影响进行评述。</w:t>
            </w:r>
          </w:p>
        </w:tc>
      </w:tr>
      <w:tr w14:paraId="68A482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62" w:hRule="atLeast"/>
          <w:jc w:val="center"/>
        </w:trPr>
        <w:tc>
          <w:tcPr>
            <w:tcW w:w="671" w:type="dxa"/>
            <w:shd w:val="clear" w:color="auto" w:fill="auto"/>
            <w:noWrap w:val="0"/>
            <w:tcMar>
              <w:left w:w="28" w:type="dxa"/>
              <w:right w:w="28" w:type="dxa"/>
            </w:tcMar>
            <w:vAlign w:val="center"/>
          </w:tcPr>
          <w:p w14:paraId="1D78B66F">
            <w:pPr>
              <w:adjustRightInd w:val="0"/>
              <w:snapToGrid w:val="0"/>
              <w:jc w:val="center"/>
              <w:rPr>
                <w:rFonts w:hint="default" w:ascii="Times New Roman" w:hAnsi="Times New Roman" w:eastAsia="宋体" w:cs="Times New Roman"/>
                <w:bCs/>
                <w:color w:val="000000" w:themeColor="text1"/>
                <w:spacing w:val="0"/>
                <w:szCs w:val="21"/>
                <w:highlight w:val="none"/>
                <w14:textFill>
                  <w14:solidFill>
                    <w14:schemeClr w14:val="tx1"/>
                  </w14:solidFill>
                </w14:textFill>
              </w:rPr>
            </w:pPr>
            <w:r>
              <w:rPr>
                <w:rFonts w:hint="default" w:ascii="Times New Roman" w:hAnsi="Times New Roman" w:eastAsia="宋体" w:cs="Times New Roman"/>
                <w:bCs/>
                <w:color w:val="000000" w:themeColor="text1"/>
                <w:spacing w:val="0"/>
                <w:szCs w:val="21"/>
                <w:highlight w:val="none"/>
                <w14:textFill>
                  <w14:solidFill>
                    <w14:schemeClr w14:val="tx1"/>
                  </w14:solidFill>
                </w14:textFill>
              </w:rPr>
              <w:t>运营</w:t>
            </w:r>
          </w:p>
          <w:p w14:paraId="0761B758">
            <w:pPr>
              <w:adjustRightInd w:val="0"/>
              <w:snapToGrid w:val="0"/>
              <w:jc w:val="center"/>
              <w:rPr>
                <w:rFonts w:hint="default" w:ascii="Times New Roman" w:hAnsi="Times New Roman" w:eastAsia="宋体" w:cs="Times New Roman"/>
                <w:bCs/>
                <w:color w:val="000000" w:themeColor="text1"/>
                <w:spacing w:val="0"/>
                <w:szCs w:val="21"/>
                <w:highlight w:val="none"/>
                <w14:textFill>
                  <w14:solidFill>
                    <w14:schemeClr w14:val="tx1"/>
                  </w14:solidFill>
                </w14:textFill>
              </w:rPr>
            </w:pPr>
            <w:r>
              <w:rPr>
                <w:rFonts w:hint="default" w:ascii="Times New Roman" w:hAnsi="Times New Roman" w:eastAsia="宋体" w:cs="Times New Roman"/>
                <w:bCs/>
                <w:color w:val="000000" w:themeColor="text1"/>
                <w:spacing w:val="0"/>
                <w:szCs w:val="21"/>
                <w:highlight w:val="none"/>
                <w14:textFill>
                  <w14:solidFill>
                    <w14:schemeClr w14:val="tx1"/>
                  </w14:solidFill>
                </w14:textFill>
              </w:rPr>
              <w:t>期环</w:t>
            </w:r>
          </w:p>
          <w:p w14:paraId="45736104">
            <w:pPr>
              <w:adjustRightInd w:val="0"/>
              <w:snapToGrid w:val="0"/>
              <w:jc w:val="center"/>
              <w:rPr>
                <w:rFonts w:hint="default" w:ascii="Times New Roman" w:hAnsi="Times New Roman" w:eastAsia="宋体" w:cs="Times New Roman"/>
                <w:bCs/>
                <w:color w:val="000000" w:themeColor="text1"/>
                <w:spacing w:val="0"/>
                <w:szCs w:val="21"/>
                <w:highlight w:val="none"/>
                <w14:textFill>
                  <w14:solidFill>
                    <w14:schemeClr w14:val="tx1"/>
                  </w14:solidFill>
                </w14:textFill>
              </w:rPr>
            </w:pPr>
            <w:r>
              <w:rPr>
                <w:rFonts w:hint="default" w:ascii="Times New Roman" w:hAnsi="Times New Roman" w:eastAsia="宋体" w:cs="Times New Roman"/>
                <w:bCs/>
                <w:color w:val="000000" w:themeColor="text1"/>
                <w:spacing w:val="0"/>
                <w:szCs w:val="21"/>
                <w:highlight w:val="none"/>
                <w14:textFill>
                  <w14:solidFill>
                    <w14:schemeClr w14:val="tx1"/>
                  </w14:solidFill>
                </w14:textFill>
              </w:rPr>
              <w:t>境影</w:t>
            </w:r>
          </w:p>
          <w:p w14:paraId="008A7613">
            <w:pPr>
              <w:adjustRightInd w:val="0"/>
              <w:snapToGrid w:val="0"/>
              <w:jc w:val="center"/>
              <w:rPr>
                <w:rFonts w:hint="default" w:ascii="Times New Roman" w:hAnsi="Times New Roman" w:eastAsia="宋体" w:cs="Times New Roman"/>
                <w:bCs/>
                <w:color w:val="000000" w:themeColor="text1"/>
                <w:spacing w:val="0"/>
                <w:szCs w:val="21"/>
                <w:highlight w:val="none"/>
                <w14:textFill>
                  <w14:solidFill>
                    <w14:schemeClr w14:val="tx1"/>
                  </w14:solidFill>
                </w14:textFill>
              </w:rPr>
            </w:pPr>
            <w:r>
              <w:rPr>
                <w:rFonts w:hint="default" w:ascii="Times New Roman" w:hAnsi="Times New Roman" w:eastAsia="宋体" w:cs="Times New Roman"/>
                <w:bCs/>
                <w:color w:val="000000" w:themeColor="text1"/>
                <w:spacing w:val="0"/>
                <w:szCs w:val="21"/>
                <w:highlight w:val="none"/>
                <w14:textFill>
                  <w14:solidFill>
                    <w14:schemeClr w14:val="tx1"/>
                  </w14:solidFill>
                </w14:textFill>
              </w:rPr>
              <w:t>响和</w:t>
            </w:r>
          </w:p>
          <w:p w14:paraId="7E59C1BE">
            <w:pPr>
              <w:adjustRightInd w:val="0"/>
              <w:snapToGrid w:val="0"/>
              <w:jc w:val="center"/>
              <w:rPr>
                <w:rFonts w:hint="default" w:ascii="Times New Roman" w:hAnsi="Times New Roman" w:eastAsia="宋体" w:cs="Times New Roman"/>
                <w:bCs/>
                <w:color w:val="000000" w:themeColor="text1"/>
                <w:spacing w:val="0"/>
                <w:szCs w:val="21"/>
                <w:highlight w:val="none"/>
                <w14:textFill>
                  <w14:solidFill>
                    <w14:schemeClr w14:val="tx1"/>
                  </w14:solidFill>
                </w14:textFill>
              </w:rPr>
            </w:pPr>
            <w:r>
              <w:rPr>
                <w:rFonts w:hint="default" w:ascii="Times New Roman" w:hAnsi="Times New Roman" w:eastAsia="宋体" w:cs="Times New Roman"/>
                <w:bCs/>
                <w:color w:val="000000" w:themeColor="text1"/>
                <w:spacing w:val="0"/>
                <w:szCs w:val="21"/>
                <w:highlight w:val="none"/>
                <w14:textFill>
                  <w14:solidFill>
                    <w14:schemeClr w14:val="tx1"/>
                  </w14:solidFill>
                </w14:textFill>
              </w:rPr>
              <w:t>保护</w:t>
            </w:r>
          </w:p>
          <w:p w14:paraId="063E77E3">
            <w:pPr>
              <w:adjustRightInd w:val="0"/>
              <w:snapToGrid w:val="0"/>
              <w:jc w:val="center"/>
              <w:rPr>
                <w:rFonts w:hint="default" w:ascii="Times New Roman" w:hAnsi="Times New Roman" w:eastAsia="宋体" w:cs="Times New Roman"/>
                <w:bCs/>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pacing w:val="0"/>
                <w:szCs w:val="21"/>
                <w:highlight w:val="none"/>
                <w14:textFill>
                  <w14:solidFill>
                    <w14:schemeClr w14:val="tx1"/>
                  </w14:solidFill>
                </w14:textFill>
              </w:rPr>
              <w:t>措施</w:t>
            </w:r>
          </w:p>
        </w:tc>
        <w:tc>
          <w:tcPr>
            <w:tcW w:w="8310" w:type="dxa"/>
            <w:shd w:val="clear" w:color="auto" w:fill="auto"/>
            <w:noWrap w:val="0"/>
            <w:vAlign w:val="center"/>
          </w:tcPr>
          <w:p w14:paraId="65078A08">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pPr>
            <w:r>
              <w:rPr>
                <w:rFonts w:hint="eastAsia" w:cs="Times New Roman"/>
                <w:b/>
                <w:bCs w:val="0"/>
                <w:color w:val="000000" w:themeColor="text1"/>
                <w:spacing w:val="0"/>
                <w:sz w:val="24"/>
                <w:szCs w:val="24"/>
                <w:highlight w:val="none"/>
                <w:lang w:val="en-US" w:eastAsia="zh-CN"/>
                <w14:textFill>
                  <w14:solidFill>
                    <w14:schemeClr w14:val="tx1"/>
                  </w14:solidFill>
                </w14:textFill>
              </w:rPr>
              <w:t>1.</w:t>
            </w:r>
            <w: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t>废气</w:t>
            </w:r>
          </w:p>
          <w:p w14:paraId="76237DF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（1）本项目废气产污节点及污染治理设施详情见表4-1。</w:t>
            </w:r>
          </w:p>
          <w:p w14:paraId="5CA7106A">
            <w:pPr>
              <w:adjustRightInd w:val="0"/>
              <w:snapToGrid w:val="0"/>
              <w:jc w:val="cente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t>表4-1废气产污节点及污染治理设施</w:t>
            </w:r>
            <w:r>
              <w:rPr>
                <w:rFonts w:hint="eastAsia" w:cs="Times New Roman"/>
                <w:b/>
                <w:bCs w:val="0"/>
                <w:color w:val="000000" w:themeColor="text1"/>
                <w:spacing w:val="0"/>
                <w:sz w:val="24"/>
                <w:szCs w:val="24"/>
                <w:highlight w:val="none"/>
                <w:lang w:val="en-US" w:eastAsia="zh-CN"/>
                <w14:textFill>
                  <w14:solidFill>
                    <w14:schemeClr w14:val="tx1"/>
                  </w14:solidFill>
                </w14:textFill>
              </w:rPr>
              <w:t>一览表</w:t>
            </w:r>
          </w:p>
          <w:tbl>
            <w:tblPr>
              <w:tblStyle w:val="13"/>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317"/>
              <w:gridCol w:w="1324"/>
              <w:gridCol w:w="1187"/>
              <w:gridCol w:w="1420"/>
              <w:gridCol w:w="1420"/>
              <w:gridCol w:w="1423"/>
            </w:tblGrid>
            <w:tr w14:paraId="7E2ED87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1293" w:type="dxa"/>
                  <w:vMerge w:val="restart"/>
                  <w:tcBorders>
                    <w:tl2br w:val="nil"/>
                    <w:tr2bl w:val="nil"/>
                  </w:tcBorders>
                  <w:noWrap w:val="0"/>
                  <w:vAlign w:val="center"/>
                </w:tcPr>
                <w:p w14:paraId="2A83DCAE">
                  <w:pPr>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产污环节</w:t>
                  </w:r>
                </w:p>
              </w:tc>
              <w:tc>
                <w:tcPr>
                  <w:tcW w:w="1300" w:type="dxa"/>
                  <w:vMerge w:val="restart"/>
                  <w:tcBorders>
                    <w:tl2br w:val="nil"/>
                    <w:tr2bl w:val="nil"/>
                  </w:tcBorders>
                  <w:noWrap w:val="0"/>
                  <w:vAlign w:val="center"/>
                </w:tcPr>
                <w:p w14:paraId="4082C673">
                  <w:pPr>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污染物种类</w:t>
                  </w:r>
                </w:p>
              </w:tc>
              <w:tc>
                <w:tcPr>
                  <w:tcW w:w="1165" w:type="dxa"/>
                  <w:vMerge w:val="restart"/>
                  <w:tcBorders>
                    <w:tl2br w:val="nil"/>
                    <w:tr2bl w:val="nil"/>
                  </w:tcBorders>
                  <w:noWrap w:val="0"/>
                  <w:vAlign w:val="center"/>
                </w:tcPr>
                <w:p w14:paraId="4FF9DAAF">
                  <w:pPr>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排放形式</w:t>
                  </w:r>
                </w:p>
              </w:tc>
              <w:tc>
                <w:tcPr>
                  <w:tcW w:w="4185" w:type="dxa"/>
                  <w:gridSpan w:val="3"/>
                  <w:tcBorders>
                    <w:tl2br w:val="nil"/>
                    <w:tr2bl w:val="nil"/>
                  </w:tcBorders>
                  <w:noWrap w:val="0"/>
                  <w:vAlign w:val="center"/>
                </w:tcPr>
                <w:p w14:paraId="2907C5AE">
                  <w:pPr>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污染防治设施</w:t>
                  </w:r>
                </w:p>
              </w:tc>
            </w:tr>
            <w:tr w14:paraId="672411F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1293" w:type="dxa"/>
                  <w:vMerge w:val="continue"/>
                  <w:tcBorders>
                    <w:tl2br w:val="nil"/>
                    <w:tr2bl w:val="nil"/>
                  </w:tcBorders>
                  <w:noWrap w:val="0"/>
                  <w:vAlign w:val="center"/>
                </w:tcPr>
                <w:p w14:paraId="0E65F3AC">
                  <w:pPr>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p>
              </w:tc>
              <w:tc>
                <w:tcPr>
                  <w:tcW w:w="1300" w:type="dxa"/>
                  <w:vMerge w:val="continue"/>
                  <w:tcBorders>
                    <w:tl2br w:val="nil"/>
                    <w:tr2bl w:val="nil"/>
                  </w:tcBorders>
                  <w:noWrap w:val="0"/>
                  <w:vAlign w:val="center"/>
                </w:tcPr>
                <w:p w14:paraId="59D3554D">
                  <w:pPr>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p>
              </w:tc>
              <w:tc>
                <w:tcPr>
                  <w:tcW w:w="1165" w:type="dxa"/>
                  <w:vMerge w:val="continue"/>
                  <w:tcBorders>
                    <w:tl2br w:val="nil"/>
                    <w:tr2bl w:val="nil"/>
                  </w:tcBorders>
                  <w:noWrap w:val="0"/>
                  <w:vAlign w:val="center"/>
                </w:tcPr>
                <w:p w14:paraId="682D0F93">
                  <w:pPr>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p>
              </w:tc>
              <w:tc>
                <w:tcPr>
                  <w:tcW w:w="1394" w:type="dxa"/>
                  <w:tcBorders>
                    <w:tl2br w:val="nil"/>
                    <w:tr2bl w:val="nil"/>
                  </w:tcBorders>
                  <w:noWrap w:val="0"/>
                  <w:vAlign w:val="center"/>
                </w:tcPr>
                <w:p w14:paraId="57A14A47">
                  <w:pPr>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污染防治设施名称</w:t>
                  </w:r>
                </w:p>
              </w:tc>
              <w:tc>
                <w:tcPr>
                  <w:tcW w:w="1394" w:type="dxa"/>
                  <w:tcBorders>
                    <w:tl2br w:val="nil"/>
                    <w:tr2bl w:val="nil"/>
                  </w:tcBorders>
                  <w:noWrap w:val="0"/>
                  <w:vAlign w:val="center"/>
                </w:tcPr>
                <w:p w14:paraId="642E26BC">
                  <w:pPr>
                    <w:jc w:val="cente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去除率</w:t>
                  </w:r>
                </w:p>
              </w:tc>
              <w:tc>
                <w:tcPr>
                  <w:tcW w:w="1397" w:type="dxa"/>
                  <w:tcBorders>
                    <w:tl2br w:val="nil"/>
                    <w:tr2bl w:val="nil"/>
                  </w:tcBorders>
                  <w:noWrap w:val="0"/>
                  <w:vAlign w:val="center"/>
                </w:tcPr>
                <w:p w14:paraId="4A3C3606">
                  <w:pPr>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是否为可行技术</w:t>
                  </w:r>
                </w:p>
              </w:tc>
            </w:tr>
            <w:tr w14:paraId="288B3A7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1293" w:type="dxa"/>
                  <w:vMerge w:val="restart"/>
                  <w:tcBorders>
                    <w:tl2br w:val="nil"/>
                    <w:tr2bl w:val="nil"/>
                  </w:tcBorders>
                  <w:noWrap w:val="0"/>
                  <w:vAlign w:val="center"/>
                </w:tcPr>
                <w:p w14:paraId="6FCE25E5">
                  <w:pPr>
                    <w:jc w:val="cente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锅炉</w:t>
                  </w:r>
                </w:p>
              </w:tc>
              <w:tc>
                <w:tcPr>
                  <w:tcW w:w="1300" w:type="dxa"/>
                  <w:tcBorders>
                    <w:tl2br w:val="nil"/>
                    <w:tr2bl w:val="nil"/>
                  </w:tcBorders>
                  <w:noWrap w:val="0"/>
                  <w:vAlign w:val="center"/>
                </w:tcPr>
                <w:p w14:paraId="00C5500D">
                  <w:pPr>
                    <w:jc w:val="cente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eastAsia="zh-CN"/>
                      <w14:textFill>
                        <w14:solidFill>
                          <w14:schemeClr w14:val="tx1"/>
                        </w14:solidFill>
                      </w14:textFill>
                    </w:rPr>
                    <w:t>颗粒物</w:t>
                  </w:r>
                </w:p>
              </w:tc>
              <w:tc>
                <w:tcPr>
                  <w:tcW w:w="1165" w:type="dxa"/>
                  <w:tcBorders>
                    <w:tl2br w:val="nil"/>
                    <w:tr2bl w:val="nil"/>
                  </w:tcBorders>
                  <w:noWrap w:val="0"/>
                  <w:vAlign w:val="center"/>
                </w:tcPr>
                <w:p w14:paraId="6FCC6B43">
                  <w:pPr>
                    <w:jc w:val="cente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eastAsia="zh-CN"/>
                      <w14:textFill>
                        <w14:solidFill>
                          <w14:schemeClr w14:val="tx1"/>
                        </w14:solidFill>
                      </w14:textFill>
                    </w:rPr>
                    <w:t>有组织</w:t>
                  </w:r>
                </w:p>
              </w:tc>
              <w:tc>
                <w:tcPr>
                  <w:tcW w:w="1394" w:type="dxa"/>
                  <w:tcBorders>
                    <w:tl2br w:val="nil"/>
                    <w:tr2bl w:val="nil"/>
                  </w:tcBorders>
                  <w:noWrap w:val="0"/>
                  <w:vAlign w:val="center"/>
                </w:tcPr>
                <w:p w14:paraId="407277CA">
                  <w:pPr>
                    <w:jc w:val="center"/>
                    <w:rPr>
                      <w:rFonts w:hint="default" w:ascii="Times New Roman" w:hAnsi="Times New Roman" w:cs="Times New Roman"/>
                      <w:color w:val="000000" w:themeColor="text1"/>
                      <w:spacing w:val="0"/>
                      <w:sz w:val="21"/>
                      <w:szCs w:val="21"/>
                      <w:highlight w:val="none"/>
                      <w:lang w:eastAsia="zh-CN"/>
                      <w14:textFill>
                        <w14:solidFill>
                          <w14:schemeClr w14:val="tx1"/>
                        </w14:solidFill>
                      </w14:textFill>
                    </w:rPr>
                  </w:pPr>
                  <w:r>
                    <w:rPr>
                      <w:rFonts w:hint="eastAsia" w:cs="Times New Roman"/>
                      <w:color w:val="000000" w:themeColor="text1"/>
                      <w:spacing w:val="0"/>
                      <w:sz w:val="21"/>
                      <w:szCs w:val="21"/>
                      <w:highlight w:val="none"/>
                      <w:lang w:val="en-US" w:eastAsia="zh-CN"/>
                      <w14:textFill>
                        <w14:solidFill>
                          <w14:schemeClr w14:val="tx1"/>
                        </w14:solidFill>
                      </w14:textFill>
                    </w:rPr>
                    <w:t>旋风除尘器+袋式除尘器</w:t>
                  </w:r>
                </w:p>
              </w:tc>
              <w:tc>
                <w:tcPr>
                  <w:tcW w:w="1394" w:type="dxa"/>
                  <w:tcBorders>
                    <w:tl2br w:val="nil"/>
                    <w:tr2bl w:val="nil"/>
                  </w:tcBorders>
                  <w:noWrap w:val="0"/>
                  <w:vAlign w:val="center"/>
                </w:tcPr>
                <w:p w14:paraId="71709462">
                  <w:pPr>
                    <w:jc w:val="cente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99.5</w:t>
                  </w:r>
                  <w:r>
                    <w:rPr>
                      <w:rFonts w:hint="eastAsia" w:cs="Times New Roman"/>
                      <w:color w:val="000000" w:themeColor="text1"/>
                      <w:spacing w:val="0"/>
                      <w:sz w:val="21"/>
                      <w:szCs w:val="21"/>
                      <w:highlight w:val="none"/>
                      <w:lang w:val="en-US" w:eastAsia="zh-CN"/>
                      <w14:textFill>
                        <w14:solidFill>
                          <w14:schemeClr w14:val="tx1"/>
                        </w14:solidFill>
                      </w14:textFill>
                    </w:rPr>
                    <w:t>%</w:t>
                  </w:r>
                </w:p>
              </w:tc>
              <w:tc>
                <w:tcPr>
                  <w:tcW w:w="1397" w:type="dxa"/>
                  <w:tcBorders>
                    <w:tl2br w:val="nil"/>
                    <w:tr2bl w:val="nil"/>
                  </w:tcBorders>
                  <w:noWrap w:val="0"/>
                  <w:vAlign w:val="center"/>
                </w:tcPr>
                <w:p w14:paraId="34571934">
                  <w:pPr>
                    <w:jc w:val="center"/>
                    <w:rPr>
                      <w:rFonts w:hint="default" w:ascii="Times New Roman" w:hAnsi="Times New Roman" w:cs="Times New Roman"/>
                      <w:color w:val="000000" w:themeColor="text1"/>
                      <w:spacing w:val="0"/>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是</w:t>
                  </w:r>
                </w:p>
              </w:tc>
            </w:tr>
            <w:tr w14:paraId="19AF01E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1293" w:type="dxa"/>
                  <w:vMerge w:val="continue"/>
                  <w:tcBorders>
                    <w:tl2br w:val="nil"/>
                    <w:tr2bl w:val="nil"/>
                  </w:tcBorders>
                  <w:noWrap w:val="0"/>
                  <w:vAlign w:val="center"/>
                </w:tcPr>
                <w:p w14:paraId="0FF2AF6E">
                  <w:pPr>
                    <w:jc w:val="cente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pPr>
                </w:p>
              </w:tc>
              <w:tc>
                <w:tcPr>
                  <w:tcW w:w="1300" w:type="dxa"/>
                  <w:tcBorders>
                    <w:tl2br w:val="nil"/>
                    <w:tr2bl w:val="nil"/>
                  </w:tcBorders>
                  <w:noWrap w:val="0"/>
                  <w:vAlign w:val="center"/>
                </w:tcPr>
                <w:p w14:paraId="4AF9A1C8">
                  <w:pPr>
                    <w:jc w:val="center"/>
                    <w:rPr>
                      <w:rFonts w:hint="default" w:ascii="Times New Roman" w:hAnsi="Times New Roman" w:cs="Times New Roman"/>
                      <w:color w:val="000000" w:themeColor="text1"/>
                      <w:spacing w:val="0"/>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SO</w:t>
                  </w:r>
                  <w:r>
                    <w:rPr>
                      <w:rFonts w:hint="default" w:ascii="Times New Roman" w:hAnsi="Times New Roman" w:cs="Times New Roman"/>
                      <w:color w:val="000000" w:themeColor="text1"/>
                      <w:spacing w:val="0"/>
                      <w:sz w:val="21"/>
                      <w:szCs w:val="21"/>
                      <w:highlight w:val="none"/>
                      <w:vertAlign w:val="subscript"/>
                      <w:lang w:val="en-US" w:eastAsia="zh-CN"/>
                      <w14:textFill>
                        <w14:solidFill>
                          <w14:schemeClr w14:val="tx1"/>
                        </w14:solidFill>
                      </w14:textFill>
                    </w:rPr>
                    <w:t>2</w:t>
                  </w: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、NO</w:t>
                  </w:r>
                  <w:r>
                    <w:rPr>
                      <w:rFonts w:hint="default" w:ascii="Times New Roman" w:hAnsi="Times New Roman" w:cs="Times New Roman"/>
                      <w:color w:val="000000" w:themeColor="text1"/>
                      <w:spacing w:val="0"/>
                      <w:sz w:val="21"/>
                      <w:szCs w:val="21"/>
                      <w:highlight w:val="none"/>
                      <w:vertAlign w:val="subscript"/>
                      <w:lang w:val="en-US" w:eastAsia="zh-CN"/>
                      <w14:textFill>
                        <w14:solidFill>
                          <w14:schemeClr w14:val="tx1"/>
                        </w14:solidFill>
                      </w14:textFill>
                    </w:rPr>
                    <w:t>X</w:t>
                  </w: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、烟气黑度</w:t>
                  </w:r>
                </w:p>
              </w:tc>
              <w:tc>
                <w:tcPr>
                  <w:tcW w:w="1165" w:type="dxa"/>
                  <w:tcBorders>
                    <w:tl2br w:val="nil"/>
                    <w:tr2bl w:val="nil"/>
                  </w:tcBorders>
                  <w:noWrap w:val="0"/>
                  <w:vAlign w:val="center"/>
                </w:tcPr>
                <w:p w14:paraId="085CADC0">
                  <w:pPr>
                    <w:jc w:val="cente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有组织</w:t>
                  </w:r>
                </w:p>
              </w:tc>
              <w:tc>
                <w:tcPr>
                  <w:tcW w:w="1394" w:type="dxa"/>
                  <w:tcBorders>
                    <w:tl2br w:val="nil"/>
                    <w:tr2bl w:val="nil"/>
                  </w:tcBorders>
                  <w:noWrap w:val="0"/>
                  <w:vAlign w:val="center"/>
                </w:tcPr>
                <w:p w14:paraId="357F91DA">
                  <w:pPr>
                    <w:jc w:val="cente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w:t>
                  </w:r>
                </w:p>
              </w:tc>
              <w:tc>
                <w:tcPr>
                  <w:tcW w:w="1394" w:type="dxa"/>
                  <w:tcBorders>
                    <w:tl2br w:val="nil"/>
                    <w:tr2bl w:val="nil"/>
                  </w:tcBorders>
                  <w:noWrap w:val="0"/>
                  <w:vAlign w:val="center"/>
                </w:tcPr>
                <w:p w14:paraId="40656444">
                  <w:pPr>
                    <w:jc w:val="cente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w:t>
                  </w:r>
                </w:p>
              </w:tc>
              <w:tc>
                <w:tcPr>
                  <w:tcW w:w="1397" w:type="dxa"/>
                  <w:tcBorders>
                    <w:tl2br w:val="nil"/>
                    <w:tr2bl w:val="nil"/>
                  </w:tcBorders>
                  <w:noWrap w:val="0"/>
                  <w:vAlign w:val="center"/>
                </w:tcPr>
                <w:p w14:paraId="6D6334EF">
                  <w:pPr>
                    <w:jc w:val="cente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w:t>
                  </w:r>
                </w:p>
              </w:tc>
            </w:tr>
          </w:tbl>
          <w:p w14:paraId="1F22C475">
            <w:pPr>
              <w:keepNext w:val="0"/>
              <w:keepLines w:val="0"/>
              <w:pageBreakBefore w:val="0"/>
              <w:widowControl w:val="0"/>
              <w:numPr>
                <w:ilvl w:val="0"/>
                <w:numId w:val="2"/>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项目废气污染源</w:t>
            </w:r>
          </w:p>
          <w:p w14:paraId="50DB7AFF">
            <w:pPr>
              <w:adjustRightInd w:val="0"/>
              <w:snapToGrid w:val="0"/>
              <w:jc w:val="cente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t>表4-2废气源强核算表</w:t>
            </w:r>
          </w:p>
          <w:tbl>
            <w:tblPr>
              <w:tblStyle w:val="13"/>
              <w:tblW w:w="0" w:type="auto"/>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9"/>
              <w:gridCol w:w="576"/>
              <w:gridCol w:w="450"/>
              <w:gridCol w:w="845"/>
              <w:gridCol w:w="689"/>
              <w:gridCol w:w="667"/>
              <w:gridCol w:w="517"/>
              <w:gridCol w:w="594"/>
              <w:gridCol w:w="656"/>
              <w:gridCol w:w="822"/>
              <w:gridCol w:w="687"/>
              <w:gridCol w:w="674"/>
            </w:tblGrid>
            <w:tr w14:paraId="51390DD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9" w:type="dxa"/>
                  <w:vMerge w:val="restart"/>
                  <w:tcBorders>
                    <w:tl2br w:val="nil"/>
                    <w:tr2bl w:val="nil"/>
                  </w:tcBorders>
                  <w:noWrap w:val="0"/>
                  <w:vAlign w:val="center"/>
                </w:tcPr>
                <w:p w14:paraId="355FE8F7">
                  <w:pPr>
                    <w:keepNext w:val="0"/>
                    <w:keepLines w:val="0"/>
                    <w:pageBreakBefore w:val="0"/>
                    <w:widowControl w:val="0"/>
                    <w:kinsoku/>
                    <w:wordWrap/>
                    <w:overflowPunct/>
                    <w:topLinePunct w:val="0"/>
                    <w:autoSpaceDE/>
                    <w:autoSpaceDN/>
                    <w:bidi w:val="0"/>
                    <w:adjustRightInd/>
                    <w:snapToGrid/>
                    <w:ind w:firstLine="0"/>
                    <w:jc w:val="both"/>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污染源</w:t>
                  </w:r>
                </w:p>
              </w:tc>
              <w:tc>
                <w:tcPr>
                  <w:tcW w:w="576" w:type="dxa"/>
                  <w:vMerge w:val="restart"/>
                  <w:tcBorders>
                    <w:tl2br w:val="nil"/>
                    <w:tr2bl w:val="nil"/>
                  </w:tcBorders>
                  <w:noWrap w:val="0"/>
                  <w:vAlign w:val="center"/>
                </w:tcPr>
                <w:p w14:paraId="5C84E7AE">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0"/>
                      <w:kern w:val="0"/>
                      <w:sz w:val="21"/>
                      <w:szCs w:val="21"/>
                      <w:highlight w:val="none"/>
                      <w14:textFill>
                        <w14:solidFill>
                          <w14:schemeClr w14:val="tx1"/>
                        </w14:solidFill>
                      </w14:textFill>
                    </w:rPr>
                    <w:t>污染物</w:t>
                  </w:r>
                </w:p>
              </w:tc>
              <w:tc>
                <w:tcPr>
                  <w:tcW w:w="2651" w:type="dxa"/>
                  <w:gridSpan w:val="4"/>
                  <w:tcBorders>
                    <w:tl2br w:val="nil"/>
                    <w:tr2bl w:val="nil"/>
                  </w:tcBorders>
                  <w:noWrap w:val="0"/>
                  <w:vAlign w:val="center"/>
                </w:tcPr>
                <w:p w14:paraId="13406E32">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0"/>
                      <w:kern w:val="0"/>
                      <w:sz w:val="21"/>
                      <w:szCs w:val="21"/>
                      <w:highlight w:val="none"/>
                      <w14:textFill>
                        <w14:solidFill>
                          <w14:schemeClr w14:val="tx1"/>
                        </w14:solidFill>
                      </w14:textFill>
                    </w:rPr>
                    <w:t>污染物产生</w:t>
                  </w:r>
                </w:p>
              </w:tc>
              <w:tc>
                <w:tcPr>
                  <w:tcW w:w="1111" w:type="dxa"/>
                  <w:gridSpan w:val="2"/>
                  <w:tcBorders>
                    <w:tl2br w:val="nil"/>
                    <w:tr2bl w:val="nil"/>
                  </w:tcBorders>
                  <w:noWrap w:val="0"/>
                  <w:vAlign w:val="center"/>
                </w:tcPr>
                <w:p w14:paraId="5B267D45">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0"/>
                      <w:kern w:val="0"/>
                      <w:sz w:val="21"/>
                      <w:szCs w:val="21"/>
                      <w:highlight w:val="none"/>
                      <w14:textFill>
                        <w14:solidFill>
                          <w14:schemeClr w14:val="tx1"/>
                        </w14:solidFill>
                      </w14:textFill>
                    </w:rPr>
                    <w:t>治理措施</w:t>
                  </w:r>
                </w:p>
              </w:tc>
              <w:tc>
                <w:tcPr>
                  <w:tcW w:w="2839" w:type="dxa"/>
                  <w:gridSpan w:val="4"/>
                  <w:tcBorders>
                    <w:tl2br w:val="nil"/>
                    <w:tr2bl w:val="nil"/>
                  </w:tcBorders>
                  <w:noWrap w:val="0"/>
                  <w:vAlign w:val="center"/>
                </w:tcPr>
                <w:p w14:paraId="61BD7DBA">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0"/>
                      <w:kern w:val="0"/>
                      <w:sz w:val="21"/>
                      <w:szCs w:val="21"/>
                      <w:highlight w:val="none"/>
                      <w14:textFill>
                        <w14:solidFill>
                          <w14:schemeClr w14:val="tx1"/>
                        </w14:solidFill>
                      </w14:textFill>
                    </w:rPr>
                    <w:t>污染物排放</w:t>
                  </w:r>
                </w:p>
              </w:tc>
            </w:tr>
            <w:tr w14:paraId="317AABD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9" w:type="dxa"/>
                  <w:vMerge w:val="continue"/>
                  <w:tcBorders>
                    <w:tl2br w:val="nil"/>
                    <w:tr2bl w:val="nil"/>
                  </w:tcBorders>
                  <w:noWrap w:val="0"/>
                  <w:vAlign w:val="center"/>
                </w:tcPr>
                <w:p w14:paraId="7E081913">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000000" w:themeColor="text1"/>
                      <w:spacing w:val="0"/>
                      <w:sz w:val="21"/>
                      <w:szCs w:val="21"/>
                      <w:highlight w:val="none"/>
                      <w14:textFill>
                        <w14:solidFill>
                          <w14:schemeClr w14:val="tx1"/>
                        </w14:solidFill>
                      </w14:textFill>
                    </w:rPr>
                  </w:pPr>
                </w:p>
              </w:tc>
              <w:tc>
                <w:tcPr>
                  <w:tcW w:w="576" w:type="dxa"/>
                  <w:vMerge w:val="continue"/>
                  <w:tcBorders>
                    <w:tl2br w:val="nil"/>
                    <w:tr2bl w:val="nil"/>
                  </w:tcBorders>
                  <w:noWrap w:val="0"/>
                  <w:vAlign w:val="center"/>
                </w:tcPr>
                <w:p w14:paraId="1F2CE087">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000000" w:themeColor="text1"/>
                      <w:spacing w:val="0"/>
                      <w:sz w:val="21"/>
                      <w:szCs w:val="21"/>
                      <w:highlight w:val="none"/>
                      <w14:textFill>
                        <w14:solidFill>
                          <w14:schemeClr w14:val="tx1"/>
                        </w14:solidFill>
                      </w14:textFill>
                    </w:rPr>
                  </w:pPr>
                </w:p>
              </w:tc>
              <w:tc>
                <w:tcPr>
                  <w:tcW w:w="450" w:type="dxa"/>
                  <w:tcBorders>
                    <w:tl2br w:val="nil"/>
                    <w:tr2bl w:val="nil"/>
                  </w:tcBorders>
                  <w:noWrap w:val="0"/>
                  <w:vAlign w:val="center"/>
                </w:tcPr>
                <w:p w14:paraId="53EAC021">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0"/>
                      <w:kern w:val="0"/>
                      <w:sz w:val="21"/>
                      <w:szCs w:val="21"/>
                      <w:highlight w:val="none"/>
                      <w14:textFill>
                        <w14:solidFill>
                          <w14:schemeClr w14:val="tx1"/>
                        </w14:solidFill>
                      </w14:textFill>
                    </w:rPr>
                    <w:t>核算方法</w:t>
                  </w:r>
                </w:p>
              </w:tc>
              <w:tc>
                <w:tcPr>
                  <w:tcW w:w="845" w:type="dxa"/>
                  <w:tcBorders>
                    <w:tl2br w:val="nil"/>
                    <w:tr2bl w:val="nil"/>
                  </w:tcBorders>
                  <w:noWrap w:val="0"/>
                  <w:vAlign w:val="center"/>
                </w:tcPr>
                <w:p w14:paraId="285CF666">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0"/>
                      <w:kern w:val="0"/>
                      <w:sz w:val="21"/>
                      <w:szCs w:val="21"/>
                      <w:highlight w:val="none"/>
                      <w14:textFill>
                        <w14:solidFill>
                          <w14:schemeClr w14:val="tx1"/>
                        </w14:solidFill>
                      </w14:textFill>
                    </w:rPr>
                    <w:t>废气</w:t>
                  </w:r>
                  <w:r>
                    <w:rPr>
                      <w:rFonts w:hint="default" w:ascii="Times New Roman" w:hAnsi="Times New Roman" w:eastAsia="宋体" w:cs="Times New Roman"/>
                      <w:b w:val="0"/>
                      <w:bCs w:val="0"/>
                      <w:color w:val="000000" w:themeColor="text1"/>
                      <w:spacing w:val="0"/>
                      <w:kern w:val="0"/>
                      <w:sz w:val="21"/>
                      <w:szCs w:val="21"/>
                      <w:highlight w:val="none"/>
                      <w:lang w:eastAsia="zh-CN"/>
                      <w14:textFill>
                        <w14:solidFill>
                          <w14:schemeClr w14:val="tx1"/>
                        </w14:solidFill>
                      </w14:textFill>
                    </w:rPr>
                    <w:t>量</w:t>
                  </w:r>
                  <w:r>
                    <w:rPr>
                      <w:rFonts w:hint="default" w:ascii="Times New Roman" w:hAnsi="Times New Roman" w:eastAsia="宋体" w:cs="Times New Roman"/>
                      <w:b w:val="0"/>
                      <w:bCs w:val="0"/>
                      <w:color w:val="000000" w:themeColor="text1"/>
                      <w:spacing w:val="0"/>
                      <w:kern w:val="0"/>
                      <w:sz w:val="21"/>
                      <w:szCs w:val="21"/>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pacing w:val="0"/>
                      <w:kern w:val="0"/>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pacing w:val="0"/>
                      <w:kern w:val="0"/>
                      <w:sz w:val="21"/>
                      <w:szCs w:val="21"/>
                      <w:highlight w:val="none"/>
                      <w:lang w:val="en-US" w:eastAsia="zh-CN"/>
                      <w14:textFill>
                        <w14:solidFill>
                          <w14:schemeClr w14:val="tx1"/>
                        </w14:solidFill>
                      </w14:textFill>
                    </w:rPr>
                    <w:t>/h</w:t>
                  </w:r>
                </w:p>
              </w:tc>
              <w:tc>
                <w:tcPr>
                  <w:tcW w:w="689" w:type="dxa"/>
                  <w:tcBorders>
                    <w:tl2br w:val="nil"/>
                    <w:tr2bl w:val="nil"/>
                  </w:tcBorders>
                  <w:noWrap w:val="0"/>
                  <w:vAlign w:val="center"/>
                </w:tcPr>
                <w:p w14:paraId="04754C19">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0"/>
                      <w:kern w:val="0"/>
                      <w:sz w:val="21"/>
                      <w:szCs w:val="21"/>
                      <w:highlight w:val="none"/>
                      <w14:textFill>
                        <w14:solidFill>
                          <w14:schemeClr w14:val="tx1"/>
                        </w14:solidFill>
                      </w14:textFill>
                    </w:rPr>
                    <w:t>产生浓度</w:t>
                  </w:r>
                  <w:r>
                    <w:rPr>
                      <w:rFonts w:hint="default" w:ascii="Times New Roman" w:hAnsi="Times New Roman" w:eastAsia="宋体" w:cs="Times New Roman"/>
                      <w:b w:val="0"/>
                      <w:bCs w:val="0"/>
                      <w:color w:val="000000" w:themeColor="text1"/>
                      <w:spacing w:val="0"/>
                      <w:kern w:val="0"/>
                      <w:sz w:val="21"/>
                      <w:szCs w:val="21"/>
                      <w:highlight w:val="none"/>
                      <w:lang w:val="en-US" w:eastAsia="zh-CN"/>
                      <w14:textFill>
                        <w14:solidFill>
                          <w14:schemeClr w14:val="tx1"/>
                        </w14:solidFill>
                      </w14:textFill>
                    </w:rPr>
                    <w:t>mg/m</w:t>
                  </w:r>
                  <w:r>
                    <w:rPr>
                      <w:rFonts w:hint="default" w:ascii="Times New Roman" w:hAnsi="Times New Roman" w:eastAsia="宋体" w:cs="Times New Roman"/>
                      <w:b w:val="0"/>
                      <w:bCs w:val="0"/>
                      <w:color w:val="000000" w:themeColor="text1"/>
                      <w:spacing w:val="0"/>
                      <w:kern w:val="0"/>
                      <w:sz w:val="21"/>
                      <w:szCs w:val="21"/>
                      <w:highlight w:val="none"/>
                      <w:vertAlign w:val="superscript"/>
                      <w:lang w:val="en-US" w:eastAsia="zh-CN"/>
                      <w14:textFill>
                        <w14:solidFill>
                          <w14:schemeClr w14:val="tx1"/>
                        </w14:solidFill>
                      </w14:textFill>
                    </w:rPr>
                    <w:t>3</w:t>
                  </w:r>
                </w:p>
              </w:tc>
              <w:tc>
                <w:tcPr>
                  <w:tcW w:w="667" w:type="dxa"/>
                  <w:tcBorders>
                    <w:tl2br w:val="nil"/>
                    <w:tr2bl w:val="nil"/>
                  </w:tcBorders>
                  <w:noWrap w:val="0"/>
                  <w:vAlign w:val="center"/>
                </w:tcPr>
                <w:p w14:paraId="0AD91FC8">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0"/>
                      <w:kern w:val="0"/>
                      <w:sz w:val="21"/>
                      <w:szCs w:val="21"/>
                      <w:highlight w:val="none"/>
                      <w14:textFill>
                        <w14:solidFill>
                          <w14:schemeClr w14:val="tx1"/>
                        </w14:solidFill>
                      </w14:textFill>
                    </w:rPr>
                    <w:t>产生量</w:t>
                  </w:r>
                  <w:r>
                    <w:rPr>
                      <w:rFonts w:hint="default" w:ascii="Times New Roman" w:hAnsi="Times New Roman" w:eastAsia="宋体" w:cs="Times New Roman"/>
                      <w:b w:val="0"/>
                      <w:bCs w:val="0"/>
                      <w:color w:val="000000" w:themeColor="text1"/>
                      <w:spacing w:val="0"/>
                      <w:kern w:val="0"/>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pacing w:val="0"/>
                      <w:kern w:val="0"/>
                      <w:sz w:val="21"/>
                      <w:szCs w:val="21"/>
                      <w:highlight w:val="none"/>
                      <w14:textFill>
                        <w14:solidFill>
                          <w14:schemeClr w14:val="tx1"/>
                        </w14:solidFill>
                      </w14:textFill>
                    </w:rPr>
                    <w:t>/a</w:t>
                  </w:r>
                </w:p>
              </w:tc>
              <w:tc>
                <w:tcPr>
                  <w:tcW w:w="517" w:type="dxa"/>
                  <w:tcBorders>
                    <w:tl2br w:val="nil"/>
                    <w:tr2bl w:val="nil"/>
                  </w:tcBorders>
                  <w:noWrap w:val="0"/>
                  <w:vAlign w:val="center"/>
                </w:tcPr>
                <w:p w14:paraId="61B2D46D">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0"/>
                      <w:kern w:val="0"/>
                      <w:sz w:val="21"/>
                      <w:szCs w:val="21"/>
                      <w:highlight w:val="none"/>
                      <w14:textFill>
                        <w14:solidFill>
                          <w14:schemeClr w14:val="tx1"/>
                        </w14:solidFill>
                      </w14:textFill>
                    </w:rPr>
                    <w:t>工艺</w:t>
                  </w:r>
                </w:p>
              </w:tc>
              <w:tc>
                <w:tcPr>
                  <w:tcW w:w="594" w:type="dxa"/>
                  <w:tcBorders>
                    <w:tl2br w:val="nil"/>
                    <w:tr2bl w:val="nil"/>
                  </w:tcBorders>
                  <w:noWrap w:val="0"/>
                  <w:vAlign w:val="center"/>
                </w:tcPr>
                <w:p w14:paraId="7FFE4A04">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0"/>
                      <w:kern w:val="0"/>
                      <w:sz w:val="21"/>
                      <w:szCs w:val="21"/>
                      <w:highlight w:val="none"/>
                      <w14:textFill>
                        <w14:solidFill>
                          <w14:schemeClr w14:val="tx1"/>
                        </w14:solidFill>
                      </w14:textFill>
                    </w:rPr>
                    <w:t>效率（%）</w:t>
                  </w:r>
                </w:p>
              </w:tc>
              <w:tc>
                <w:tcPr>
                  <w:tcW w:w="656" w:type="dxa"/>
                  <w:tcBorders>
                    <w:tl2br w:val="nil"/>
                    <w:tr2bl w:val="nil"/>
                  </w:tcBorders>
                  <w:noWrap w:val="0"/>
                  <w:vAlign w:val="center"/>
                </w:tcPr>
                <w:p w14:paraId="4B9A51E5">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0"/>
                      <w:kern w:val="0"/>
                      <w:sz w:val="21"/>
                      <w:szCs w:val="21"/>
                      <w:highlight w:val="none"/>
                      <w14:textFill>
                        <w14:solidFill>
                          <w14:schemeClr w14:val="tx1"/>
                        </w14:solidFill>
                      </w14:textFill>
                    </w:rPr>
                    <w:t>核算方法</w:t>
                  </w:r>
                </w:p>
              </w:tc>
              <w:tc>
                <w:tcPr>
                  <w:tcW w:w="822" w:type="dxa"/>
                  <w:tcBorders>
                    <w:tl2br w:val="nil"/>
                    <w:tr2bl w:val="nil"/>
                  </w:tcBorders>
                  <w:noWrap w:val="0"/>
                  <w:vAlign w:val="center"/>
                </w:tcPr>
                <w:p w14:paraId="5E8D47C5">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0"/>
                      <w:kern w:val="0"/>
                      <w:sz w:val="21"/>
                      <w:szCs w:val="21"/>
                      <w:highlight w:val="none"/>
                      <w14:textFill>
                        <w14:solidFill>
                          <w14:schemeClr w14:val="tx1"/>
                        </w14:solidFill>
                      </w14:textFill>
                    </w:rPr>
                    <w:t>废气</w:t>
                  </w:r>
                  <w:r>
                    <w:rPr>
                      <w:rFonts w:hint="default" w:ascii="Times New Roman" w:hAnsi="Times New Roman" w:eastAsia="宋体" w:cs="Times New Roman"/>
                      <w:b w:val="0"/>
                      <w:bCs w:val="0"/>
                      <w:color w:val="000000" w:themeColor="text1"/>
                      <w:spacing w:val="0"/>
                      <w:kern w:val="0"/>
                      <w:sz w:val="21"/>
                      <w:szCs w:val="21"/>
                      <w:highlight w:val="none"/>
                      <w:lang w:eastAsia="zh-CN"/>
                      <w14:textFill>
                        <w14:solidFill>
                          <w14:schemeClr w14:val="tx1"/>
                        </w14:solidFill>
                      </w14:textFill>
                    </w:rPr>
                    <w:t>量</w:t>
                  </w:r>
                  <w:r>
                    <w:rPr>
                      <w:rFonts w:hint="default" w:ascii="Times New Roman" w:hAnsi="Times New Roman" w:eastAsia="宋体" w:cs="Times New Roman"/>
                      <w:b w:val="0"/>
                      <w:bCs w:val="0"/>
                      <w:color w:val="000000" w:themeColor="text1"/>
                      <w:spacing w:val="0"/>
                      <w:kern w:val="0"/>
                      <w:sz w:val="21"/>
                      <w:szCs w:val="21"/>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pacing w:val="0"/>
                      <w:kern w:val="0"/>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pacing w:val="0"/>
                      <w:kern w:val="0"/>
                      <w:sz w:val="21"/>
                      <w:szCs w:val="21"/>
                      <w:highlight w:val="none"/>
                      <w:lang w:val="en-US" w:eastAsia="zh-CN"/>
                      <w14:textFill>
                        <w14:solidFill>
                          <w14:schemeClr w14:val="tx1"/>
                        </w14:solidFill>
                      </w14:textFill>
                    </w:rPr>
                    <w:t>/h</w:t>
                  </w:r>
                </w:p>
              </w:tc>
              <w:tc>
                <w:tcPr>
                  <w:tcW w:w="687" w:type="dxa"/>
                  <w:tcBorders>
                    <w:tl2br w:val="nil"/>
                    <w:tr2bl w:val="nil"/>
                  </w:tcBorders>
                  <w:noWrap w:val="0"/>
                  <w:vAlign w:val="center"/>
                </w:tcPr>
                <w:p w14:paraId="290492E6">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0"/>
                      <w:kern w:val="0"/>
                      <w:sz w:val="21"/>
                      <w:szCs w:val="21"/>
                      <w:highlight w:val="none"/>
                      <w14:textFill>
                        <w14:solidFill>
                          <w14:schemeClr w14:val="tx1"/>
                        </w14:solidFill>
                      </w14:textFill>
                    </w:rPr>
                    <w:t>排放浓度</w:t>
                  </w:r>
                  <w:r>
                    <w:rPr>
                      <w:rFonts w:hint="default" w:ascii="Times New Roman" w:hAnsi="Times New Roman" w:eastAsia="宋体" w:cs="Times New Roman"/>
                      <w:b w:val="0"/>
                      <w:bCs w:val="0"/>
                      <w:color w:val="000000" w:themeColor="text1"/>
                      <w:spacing w:val="0"/>
                      <w:kern w:val="0"/>
                      <w:sz w:val="21"/>
                      <w:szCs w:val="21"/>
                      <w:highlight w:val="none"/>
                      <w:lang w:val="en-US" w:eastAsia="zh-CN"/>
                      <w14:textFill>
                        <w14:solidFill>
                          <w14:schemeClr w14:val="tx1"/>
                        </w14:solidFill>
                      </w14:textFill>
                    </w:rPr>
                    <w:t>mg/m</w:t>
                  </w:r>
                  <w:r>
                    <w:rPr>
                      <w:rFonts w:hint="default" w:ascii="Times New Roman" w:hAnsi="Times New Roman" w:eastAsia="宋体" w:cs="Times New Roman"/>
                      <w:b w:val="0"/>
                      <w:bCs w:val="0"/>
                      <w:color w:val="000000" w:themeColor="text1"/>
                      <w:spacing w:val="0"/>
                      <w:kern w:val="0"/>
                      <w:sz w:val="21"/>
                      <w:szCs w:val="21"/>
                      <w:highlight w:val="none"/>
                      <w:vertAlign w:val="superscript"/>
                      <w:lang w:val="en-US" w:eastAsia="zh-CN"/>
                      <w14:textFill>
                        <w14:solidFill>
                          <w14:schemeClr w14:val="tx1"/>
                        </w14:solidFill>
                      </w14:textFill>
                    </w:rPr>
                    <w:t>3</w:t>
                  </w:r>
                </w:p>
              </w:tc>
              <w:tc>
                <w:tcPr>
                  <w:tcW w:w="674" w:type="dxa"/>
                  <w:tcBorders>
                    <w:tl2br w:val="nil"/>
                    <w:tr2bl w:val="nil"/>
                  </w:tcBorders>
                  <w:noWrap w:val="0"/>
                  <w:vAlign w:val="center"/>
                </w:tcPr>
                <w:p w14:paraId="73E216D4">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0"/>
                      <w:kern w:val="0"/>
                      <w:sz w:val="21"/>
                      <w:szCs w:val="21"/>
                      <w:highlight w:val="none"/>
                      <w14:textFill>
                        <w14:solidFill>
                          <w14:schemeClr w14:val="tx1"/>
                        </w14:solidFill>
                      </w14:textFill>
                    </w:rPr>
                    <w:t>排放量</w:t>
                  </w:r>
                  <w:r>
                    <w:rPr>
                      <w:rFonts w:hint="default" w:ascii="Times New Roman" w:hAnsi="Times New Roman" w:eastAsia="宋体" w:cs="Times New Roman"/>
                      <w:b w:val="0"/>
                      <w:bCs w:val="0"/>
                      <w:color w:val="000000" w:themeColor="text1"/>
                      <w:spacing w:val="0"/>
                      <w:kern w:val="0"/>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pacing w:val="0"/>
                      <w:kern w:val="0"/>
                      <w:sz w:val="21"/>
                      <w:szCs w:val="21"/>
                      <w:highlight w:val="none"/>
                      <w14:textFill>
                        <w14:solidFill>
                          <w14:schemeClr w14:val="tx1"/>
                        </w14:solidFill>
                      </w14:textFill>
                    </w:rPr>
                    <w:t>/a</w:t>
                  </w:r>
                </w:p>
              </w:tc>
            </w:tr>
            <w:tr w14:paraId="72E62C0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769" w:type="dxa"/>
                  <w:vMerge w:val="restart"/>
                  <w:tcBorders>
                    <w:tl2br w:val="nil"/>
                    <w:tr2bl w:val="nil"/>
                  </w:tcBorders>
                  <w:noWrap w:val="0"/>
                  <w:vAlign w:val="center"/>
                </w:tcPr>
                <w:p w14:paraId="5FEF8C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DA001</w:t>
                  </w:r>
                </w:p>
              </w:tc>
              <w:tc>
                <w:tcPr>
                  <w:tcW w:w="576" w:type="dxa"/>
                  <w:tcBorders>
                    <w:tl2br w:val="nil"/>
                    <w:tr2bl w:val="nil"/>
                  </w:tcBorders>
                  <w:noWrap w:val="0"/>
                  <w:vAlign w:val="center"/>
                </w:tcPr>
                <w:p w14:paraId="5065C3E7">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cs="Times New Roman"/>
                      <w:b w:val="0"/>
                      <w:bCs w:val="0"/>
                      <w:color w:val="000000" w:themeColor="text1"/>
                      <w:spacing w:val="0"/>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eastAsia="zh-CN"/>
                      <w14:textFill>
                        <w14:solidFill>
                          <w14:schemeClr w14:val="tx1"/>
                        </w14:solidFill>
                      </w14:textFill>
                    </w:rPr>
                    <w:t>颗粒物</w:t>
                  </w:r>
                </w:p>
              </w:tc>
              <w:tc>
                <w:tcPr>
                  <w:tcW w:w="450" w:type="dxa"/>
                  <w:vMerge w:val="restart"/>
                  <w:tcBorders>
                    <w:tl2br w:val="nil"/>
                    <w:tr2bl w:val="nil"/>
                  </w:tcBorders>
                  <w:noWrap w:val="0"/>
                  <w:vAlign w:val="center"/>
                </w:tcPr>
                <w:p w14:paraId="136C825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t>物料衡算法</w:t>
                  </w:r>
                </w:p>
              </w:tc>
              <w:tc>
                <w:tcPr>
                  <w:tcW w:w="845" w:type="dxa"/>
                  <w:vMerge w:val="restart"/>
                  <w:tcBorders>
                    <w:tl2br w:val="nil"/>
                    <w:tr2bl w:val="nil"/>
                  </w:tcBorders>
                  <w:noWrap w:val="0"/>
                  <w:vAlign w:val="center"/>
                </w:tcPr>
                <w:p w14:paraId="1C74B9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3360.15</w:t>
                  </w:r>
                </w:p>
              </w:tc>
              <w:tc>
                <w:tcPr>
                  <w:tcW w:w="689" w:type="dxa"/>
                  <w:tcBorders>
                    <w:tl2br w:val="nil"/>
                    <w:tr2bl w:val="nil"/>
                  </w:tcBorders>
                  <w:noWrap w:val="0"/>
                  <w:vAlign w:val="center"/>
                </w:tcPr>
                <w:p w14:paraId="18454C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4938.77</w:t>
                  </w:r>
                </w:p>
              </w:tc>
              <w:tc>
                <w:tcPr>
                  <w:tcW w:w="667" w:type="dxa"/>
                  <w:tcBorders>
                    <w:tl2br w:val="nil"/>
                    <w:tr2bl w:val="nil"/>
                  </w:tcBorders>
                  <w:noWrap w:val="0"/>
                  <w:vAlign w:val="center"/>
                </w:tcPr>
                <w:p w14:paraId="25BFDC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73.291</w:t>
                  </w:r>
                </w:p>
              </w:tc>
              <w:tc>
                <w:tcPr>
                  <w:tcW w:w="517" w:type="dxa"/>
                  <w:tcBorders>
                    <w:tl2br w:val="nil"/>
                    <w:tr2bl w:val="nil"/>
                  </w:tcBorders>
                  <w:noWrap w:val="0"/>
                  <w:vAlign w:val="center"/>
                </w:tcPr>
                <w:p w14:paraId="54E505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r>
                    <w:rPr>
                      <w:rFonts w:hint="eastAsia" w:cs="Times New Roman"/>
                      <w:b w:val="0"/>
                      <w:bCs w:val="0"/>
                      <w:color w:val="000000" w:themeColor="text1"/>
                      <w:spacing w:val="0"/>
                      <w:sz w:val="21"/>
                      <w:szCs w:val="21"/>
                      <w:highlight w:val="none"/>
                      <w:lang w:val="en-US" w:eastAsia="zh-CN"/>
                      <w14:textFill>
                        <w14:solidFill>
                          <w14:schemeClr w14:val="tx1"/>
                        </w14:solidFill>
                      </w14:textFill>
                    </w:rPr>
                    <w:t>旋风除尘器+袋式除尘器</w:t>
                  </w:r>
                </w:p>
              </w:tc>
              <w:tc>
                <w:tcPr>
                  <w:tcW w:w="594" w:type="dxa"/>
                  <w:tcBorders>
                    <w:tl2br w:val="nil"/>
                    <w:tr2bl w:val="nil"/>
                  </w:tcBorders>
                  <w:noWrap w:val="0"/>
                  <w:vAlign w:val="center"/>
                </w:tcPr>
                <w:p w14:paraId="110910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99.5</w:t>
                  </w:r>
                </w:p>
              </w:tc>
              <w:tc>
                <w:tcPr>
                  <w:tcW w:w="656" w:type="dxa"/>
                  <w:vMerge w:val="restart"/>
                  <w:tcBorders>
                    <w:tl2br w:val="nil"/>
                    <w:tr2bl w:val="nil"/>
                  </w:tcBorders>
                  <w:noWrap w:val="0"/>
                  <w:vAlign w:val="center"/>
                </w:tcPr>
                <w:p w14:paraId="4E050F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t>物料衡算法</w:t>
                  </w:r>
                </w:p>
              </w:tc>
              <w:tc>
                <w:tcPr>
                  <w:tcW w:w="822" w:type="dxa"/>
                  <w:vMerge w:val="restart"/>
                  <w:tcBorders>
                    <w:tl2br w:val="nil"/>
                    <w:tr2bl w:val="nil"/>
                  </w:tcBorders>
                  <w:noWrap w:val="0"/>
                  <w:vAlign w:val="center"/>
                </w:tcPr>
                <w:p w14:paraId="48AE07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3360.15</w:t>
                  </w:r>
                </w:p>
              </w:tc>
              <w:tc>
                <w:tcPr>
                  <w:tcW w:w="687" w:type="dxa"/>
                  <w:tcBorders>
                    <w:tl2br w:val="nil"/>
                    <w:tr2bl w:val="nil"/>
                  </w:tcBorders>
                  <w:noWrap w:val="0"/>
                  <w:vAlign w:val="center"/>
                </w:tcPr>
                <w:p w14:paraId="601DD0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24.69</w:t>
                  </w:r>
                </w:p>
              </w:tc>
              <w:tc>
                <w:tcPr>
                  <w:tcW w:w="674" w:type="dxa"/>
                  <w:tcBorders>
                    <w:tl2br w:val="nil"/>
                    <w:tr2bl w:val="nil"/>
                  </w:tcBorders>
                  <w:noWrap w:val="0"/>
                  <w:vAlign w:val="center"/>
                </w:tcPr>
                <w:p w14:paraId="5A6254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0.366</w:t>
                  </w:r>
                </w:p>
              </w:tc>
            </w:tr>
            <w:tr w14:paraId="47FD03F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9" w:type="dxa"/>
                  <w:vMerge w:val="continue"/>
                  <w:tcBorders>
                    <w:tl2br w:val="nil"/>
                    <w:tr2bl w:val="nil"/>
                  </w:tcBorders>
                  <w:noWrap w:val="0"/>
                  <w:vAlign w:val="center"/>
                </w:tcPr>
                <w:p w14:paraId="290225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p>
              </w:tc>
              <w:tc>
                <w:tcPr>
                  <w:tcW w:w="576" w:type="dxa"/>
                  <w:tcBorders>
                    <w:tl2br w:val="nil"/>
                    <w:tr2bl w:val="nil"/>
                  </w:tcBorders>
                  <w:noWrap w:val="0"/>
                  <w:vAlign w:val="center"/>
                </w:tcPr>
                <w:p w14:paraId="591C06EB">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SO</w:t>
                  </w:r>
                  <w:r>
                    <w:rPr>
                      <w:rFonts w:hint="default" w:ascii="Times New Roman" w:hAnsi="Times New Roman" w:cs="Times New Roman"/>
                      <w:b w:val="0"/>
                      <w:bCs w:val="0"/>
                      <w:color w:val="000000" w:themeColor="text1"/>
                      <w:spacing w:val="0"/>
                      <w:sz w:val="21"/>
                      <w:szCs w:val="21"/>
                      <w:highlight w:val="none"/>
                      <w:vertAlign w:val="subscript"/>
                      <w:lang w:val="en-US" w:eastAsia="zh-CN"/>
                      <w14:textFill>
                        <w14:solidFill>
                          <w14:schemeClr w14:val="tx1"/>
                        </w14:solidFill>
                      </w14:textFill>
                    </w:rPr>
                    <w:t>2</w:t>
                  </w:r>
                </w:p>
              </w:tc>
              <w:tc>
                <w:tcPr>
                  <w:tcW w:w="450" w:type="dxa"/>
                  <w:vMerge w:val="continue"/>
                  <w:tcBorders>
                    <w:tl2br w:val="nil"/>
                    <w:tr2bl w:val="nil"/>
                  </w:tcBorders>
                  <w:noWrap w:val="0"/>
                  <w:vAlign w:val="center"/>
                </w:tcPr>
                <w:p w14:paraId="72F34C0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p>
              </w:tc>
              <w:tc>
                <w:tcPr>
                  <w:tcW w:w="845" w:type="dxa"/>
                  <w:vMerge w:val="continue"/>
                  <w:tcBorders>
                    <w:tl2br w:val="nil"/>
                    <w:tr2bl w:val="nil"/>
                  </w:tcBorders>
                  <w:noWrap w:val="0"/>
                  <w:vAlign w:val="center"/>
                </w:tcPr>
                <w:p w14:paraId="752BA8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p>
              </w:tc>
              <w:tc>
                <w:tcPr>
                  <w:tcW w:w="689" w:type="dxa"/>
                  <w:tcBorders>
                    <w:tl2br w:val="nil"/>
                    <w:tr2bl w:val="nil"/>
                  </w:tcBorders>
                  <w:noWrap w:val="0"/>
                  <w:vAlign w:val="center"/>
                </w:tcPr>
                <w:p w14:paraId="0D61CC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23.51</w:t>
                  </w:r>
                </w:p>
              </w:tc>
              <w:tc>
                <w:tcPr>
                  <w:tcW w:w="667" w:type="dxa"/>
                  <w:tcBorders>
                    <w:tl2br w:val="nil"/>
                    <w:tr2bl w:val="nil"/>
                  </w:tcBorders>
                  <w:noWrap w:val="0"/>
                  <w:vAlign w:val="center"/>
                </w:tcPr>
                <w:p w14:paraId="048D9F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0.342</w:t>
                  </w:r>
                </w:p>
              </w:tc>
              <w:tc>
                <w:tcPr>
                  <w:tcW w:w="517" w:type="dxa"/>
                  <w:tcBorders>
                    <w:tl2br w:val="nil"/>
                    <w:tr2bl w:val="nil"/>
                  </w:tcBorders>
                  <w:noWrap w:val="0"/>
                  <w:vAlign w:val="center"/>
                </w:tcPr>
                <w:p w14:paraId="2E8BDB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w:t>
                  </w:r>
                </w:p>
              </w:tc>
              <w:tc>
                <w:tcPr>
                  <w:tcW w:w="594" w:type="dxa"/>
                  <w:tcBorders>
                    <w:tl2br w:val="nil"/>
                    <w:tr2bl w:val="nil"/>
                  </w:tcBorders>
                  <w:noWrap w:val="0"/>
                  <w:vAlign w:val="center"/>
                </w:tcPr>
                <w:p w14:paraId="55BA1E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w:t>
                  </w:r>
                </w:p>
              </w:tc>
              <w:tc>
                <w:tcPr>
                  <w:tcW w:w="656" w:type="dxa"/>
                  <w:vMerge w:val="continue"/>
                  <w:tcBorders>
                    <w:tl2br w:val="nil"/>
                    <w:tr2bl w:val="nil"/>
                  </w:tcBorders>
                  <w:noWrap w:val="0"/>
                  <w:vAlign w:val="center"/>
                </w:tcPr>
                <w:p w14:paraId="4D53E5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p>
              </w:tc>
              <w:tc>
                <w:tcPr>
                  <w:tcW w:w="822" w:type="dxa"/>
                  <w:vMerge w:val="continue"/>
                  <w:tcBorders>
                    <w:tl2br w:val="nil"/>
                    <w:tr2bl w:val="nil"/>
                  </w:tcBorders>
                  <w:noWrap w:val="0"/>
                  <w:vAlign w:val="center"/>
                </w:tcPr>
                <w:p w14:paraId="63B669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p>
              </w:tc>
              <w:tc>
                <w:tcPr>
                  <w:tcW w:w="687" w:type="dxa"/>
                  <w:tcBorders>
                    <w:tl2br w:val="nil"/>
                    <w:tr2bl w:val="nil"/>
                  </w:tcBorders>
                  <w:noWrap w:val="0"/>
                  <w:vAlign w:val="center"/>
                </w:tcPr>
                <w:p w14:paraId="6BEFC6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23.51</w:t>
                  </w:r>
                </w:p>
              </w:tc>
              <w:tc>
                <w:tcPr>
                  <w:tcW w:w="674" w:type="dxa"/>
                  <w:tcBorders>
                    <w:tl2br w:val="nil"/>
                    <w:tr2bl w:val="nil"/>
                  </w:tcBorders>
                  <w:noWrap w:val="0"/>
                  <w:vAlign w:val="center"/>
                </w:tcPr>
                <w:p w14:paraId="7215C4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0.342</w:t>
                  </w:r>
                </w:p>
              </w:tc>
            </w:tr>
            <w:tr w14:paraId="2E63AF1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769" w:type="dxa"/>
                  <w:vMerge w:val="continue"/>
                  <w:tcBorders>
                    <w:tl2br w:val="nil"/>
                    <w:tr2bl w:val="nil"/>
                  </w:tcBorders>
                  <w:noWrap w:val="0"/>
                  <w:vAlign w:val="center"/>
                </w:tcPr>
                <w:p w14:paraId="117EFF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p>
              </w:tc>
              <w:tc>
                <w:tcPr>
                  <w:tcW w:w="576" w:type="dxa"/>
                  <w:tcBorders>
                    <w:tl2br w:val="nil"/>
                    <w:tr2bl w:val="nil"/>
                  </w:tcBorders>
                  <w:noWrap w:val="0"/>
                  <w:vAlign w:val="center"/>
                </w:tcPr>
                <w:p w14:paraId="34616F17">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NOx</w:t>
                  </w:r>
                </w:p>
              </w:tc>
              <w:tc>
                <w:tcPr>
                  <w:tcW w:w="450" w:type="dxa"/>
                  <w:tcBorders>
                    <w:tl2br w:val="nil"/>
                    <w:tr2bl w:val="nil"/>
                  </w:tcBorders>
                  <w:noWrap w:val="0"/>
                  <w:vAlign w:val="center"/>
                </w:tcPr>
                <w:p w14:paraId="1EECFA0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t>系数法</w:t>
                  </w:r>
                </w:p>
              </w:tc>
              <w:tc>
                <w:tcPr>
                  <w:tcW w:w="845" w:type="dxa"/>
                  <w:vMerge w:val="continue"/>
                  <w:tcBorders>
                    <w:tl2br w:val="nil"/>
                    <w:tr2bl w:val="nil"/>
                  </w:tcBorders>
                  <w:noWrap w:val="0"/>
                  <w:vAlign w:val="center"/>
                </w:tcPr>
                <w:p w14:paraId="3881AB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p>
              </w:tc>
              <w:tc>
                <w:tcPr>
                  <w:tcW w:w="689" w:type="dxa"/>
                  <w:tcBorders>
                    <w:tl2br w:val="nil"/>
                    <w:tr2bl w:val="nil"/>
                  </w:tcBorders>
                  <w:noWrap w:val="0"/>
                  <w:vAlign w:val="center"/>
                </w:tcPr>
                <w:p w14:paraId="6E0B6D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136.60</w:t>
                  </w:r>
                </w:p>
              </w:tc>
              <w:tc>
                <w:tcPr>
                  <w:tcW w:w="667" w:type="dxa"/>
                  <w:tcBorders>
                    <w:tl2br w:val="nil"/>
                    <w:tr2bl w:val="nil"/>
                  </w:tcBorders>
                  <w:noWrap w:val="0"/>
                  <w:vAlign w:val="center"/>
                </w:tcPr>
                <w:p w14:paraId="7063FC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1.983</w:t>
                  </w:r>
                </w:p>
              </w:tc>
              <w:tc>
                <w:tcPr>
                  <w:tcW w:w="517" w:type="dxa"/>
                  <w:tcBorders>
                    <w:tl2br w:val="nil"/>
                    <w:tr2bl w:val="nil"/>
                  </w:tcBorders>
                  <w:noWrap w:val="0"/>
                  <w:vAlign w:val="center"/>
                </w:tcPr>
                <w:p w14:paraId="6A7067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w:t>
                  </w:r>
                </w:p>
              </w:tc>
              <w:tc>
                <w:tcPr>
                  <w:tcW w:w="594" w:type="dxa"/>
                  <w:tcBorders>
                    <w:tl2br w:val="nil"/>
                    <w:tr2bl w:val="nil"/>
                  </w:tcBorders>
                  <w:noWrap w:val="0"/>
                  <w:vAlign w:val="center"/>
                </w:tcPr>
                <w:p w14:paraId="646EB5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w:t>
                  </w:r>
                </w:p>
              </w:tc>
              <w:tc>
                <w:tcPr>
                  <w:tcW w:w="656" w:type="dxa"/>
                  <w:vMerge w:val="continue"/>
                  <w:tcBorders>
                    <w:tl2br w:val="nil"/>
                    <w:tr2bl w:val="nil"/>
                  </w:tcBorders>
                  <w:noWrap w:val="0"/>
                  <w:vAlign w:val="center"/>
                </w:tcPr>
                <w:p w14:paraId="5FE964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p>
              </w:tc>
              <w:tc>
                <w:tcPr>
                  <w:tcW w:w="822" w:type="dxa"/>
                  <w:vMerge w:val="continue"/>
                  <w:tcBorders>
                    <w:tl2br w:val="nil"/>
                    <w:tr2bl w:val="nil"/>
                  </w:tcBorders>
                  <w:noWrap w:val="0"/>
                  <w:vAlign w:val="center"/>
                </w:tcPr>
                <w:p w14:paraId="30E36B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p>
              </w:tc>
              <w:tc>
                <w:tcPr>
                  <w:tcW w:w="687" w:type="dxa"/>
                  <w:tcBorders>
                    <w:tl2br w:val="nil"/>
                    <w:tr2bl w:val="nil"/>
                  </w:tcBorders>
                  <w:noWrap w:val="0"/>
                  <w:vAlign w:val="center"/>
                </w:tcPr>
                <w:p w14:paraId="47D442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136.60</w:t>
                  </w:r>
                </w:p>
              </w:tc>
              <w:tc>
                <w:tcPr>
                  <w:tcW w:w="674" w:type="dxa"/>
                  <w:tcBorders>
                    <w:tl2br w:val="nil"/>
                    <w:tr2bl w:val="nil"/>
                  </w:tcBorders>
                  <w:noWrap w:val="0"/>
                  <w:vAlign w:val="center"/>
                </w:tcPr>
                <w:p w14:paraId="6552AB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1.983</w:t>
                  </w:r>
                </w:p>
              </w:tc>
            </w:tr>
            <w:tr w14:paraId="0479B33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69" w:type="dxa"/>
                  <w:vMerge w:val="continue"/>
                  <w:tcBorders>
                    <w:tl2br w:val="nil"/>
                    <w:tr2bl w:val="nil"/>
                  </w:tcBorders>
                  <w:noWrap w:val="0"/>
                  <w:vAlign w:val="center"/>
                </w:tcPr>
                <w:p w14:paraId="5A317E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p>
              </w:tc>
              <w:tc>
                <w:tcPr>
                  <w:tcW w:w="576" w:type="dxa"/>
                  <w:tcBorders>
                    <w:tl2br w:val="nil"/>
                    <w:tr2bl w:val="nil"/>
                  </w:tcBorders>
                  <w:noWrap w:val="0"/>
                  <w:vAlign w:val="center"/>
                </w:tcPr>
                <w:p w14:paraId="1055E520">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烟气黑度</w:t>
                  </w:r>
                </w:p>
              </w:tc>
              <w:tc>
                <w:tcPr>
                  <w:tcW w:w="450" w:type="dxa"/>
                  <w:tcBorders>
                    <w:tl2br w:val="nil"/>
                    <w:tr2bl w:val="nil"/>
                  </w:tcBorders>
                  <w:noWrap w:val="0"/>
                  <w:vAlign w:val="center"/>
                </w:tcPr>
                <w:p w14:paraId="405D9DCC">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w:t>
                  </w:r>
                </w:p>
              </w:tc>
              <w:tc>
                <w:tcPr>
                  <w:tcW w:w="845" w:type="dxa"/>
                  <w:vMerge w:val="continue"/>
                  <w:tcBorders>
                    <w:tl2br w:val="nil"/>
                    <w:tr2bl w:val="nil"/>
                  </w:tcBorders>
                  <w:noWrap w:val="0"/>
                  <w:vAlign w:val="center"/>
                </w:tcPr>
                <w:p w14:paraId="7CB0AF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p>
              </w:tc>
              <w:tc>
                <w:tcPr>
                  <w:tcW w:w="689" w:type="dxa"/>
                  <w:tcBorders>
                    <w:tl2br w:val="nil"/>
                    <w:tr2bl w:val="nil"/>
                  </w:tcBorders>
                  <w:noWrap w:val="0"/>
                  <w:vAlign w:val="center"/>
                </w:tcPr>
                <w:p w14:paraId="16F8FD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≤1</w:t>
                  </w:r>
                </w:p>
              </w:tc>
              <w:tc>
                <w:tcPr>
                  <w:tcW w:w="667" w:type="dxa"/>
                  <w:tcBorders>
                    <w:tl2br w:val="nil"/>
                    <w:tr2bl w:val="nil"/>
                  </w:tcBorders>
                  <w:noWrap w:val="0"/>
                  <w:vAlign w:val="center"/>
                </w:tcPr>
                <w:p w14:paraId="1E92FA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w:t>
                  </w:r>
                </w:p>
              </w:tc>
              <w:tc>
                <w:tcPr>
                  <w:tcW w:w="517" w:type="dxa"/>
                  <w:tcBorders>
                    <w:tl2br w:val="nil"/>
                    <w:tr2bl w:val="nil"/>
                  </w:tcBorders>
                  <w:noWrap w:val="0"/>
                  <w:vAlign w:val="center"/>
                </w:tcPr>
                <w:p w14:paraId="056295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w:t>
                  </w:r>
                </w:p>
              </w:tc>
              <w:tc>
                <w:tcPr>
                  <w:tcW w:w="594" w:type="dxa"/>
                  <w:tcBorders>
                    <w:tl2br w:val="nil"/>
                    <w:tr2bl w:val="nil"/>
                  </w:tcBorders>
                  <w:noWrap w:val="0"/>
                  <w:vAlign w:val="center"/>
                </w:tcPr>
                <w:p w14:paraId="6A4801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w:t>
                  </w:r>
                </w:p>
              </w:tc>
              <w:tc>
                <w:tcPr>
                  <w:tcW w:w="656" w:type="dxa"/>
                  <w:tcBorders>
                    <w:tl2br w:val="nil"/>
                    <w:tr2bl w:val="nil"/>
                  </w:tcBorders>
                  <w:noWrap w:val="0"/>
                  <w:vAlign w:val="center"/>
                </w:tcPr>
                <w:p w14:paraId="6B8FA8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烟气黑度</w:t>
                  </w:r>
                </w:p>
              </w:tc>
              <w:tc>
                <w:tcPr>
                  <w:tcW w:w="822" w:type="dxa"/>
                  <w:vMerge w:val="continue"/>
                  <w:tcBorders>
                    <w:tl2br w:val="nil"/>
                    <w:tr2bl w:val="nil"/>
                  </w:tcBorders>
                  <w:noWrap w:val="0"/>
                  <w:vAlign w:val="center"/>
                </w:tcPr>
                <w:p w14:paraId="0A1055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p>
              </w:tc>
              <w:tc>
                <w:tcPr>
                  <w:tcW w:w="687" w:type="dxa"/>
                  <w:tcBorders>
                    <w:tl2br w:val="nil"/>
                    <w:tr2bl w:val="nil"/>
                  </w:tcBorders>
                  <w:noWrap w:val="0"/>
                  <w:vAlign w:val="center"/>
                </w:tcPr>
                <w:p w14:paraId="250968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≤1</w:t>
                  </w:r>
                </w:p>
              </w:tc>
              <w:tc>
                <w:tcPr>
                  <w:tcW w:w="674" w:type="dxa"/>
                  <w:tcBorders>
                    <w:tl2br w:val="nil"/>
                    <w:tr2bl w:val="nil"/>
                  </w:tcBorders>
                  <w:noWrap w:val="0"/>
                  <w:vAlign w:val="center"/>
                </w:tcPr>
                <w:p w14:paraId="49A79B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w:t>
                  </w:r>
                </w:p>
              </w:tc>
            </w:tr>
          </w:tbl>
          <w:p w14:paraId="39FF06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①</w:t>
            </w:r>
            <w:r>
              <w:rPr>
                <w:rFonts w:hint="default" w:ascii="Times New Roman" w:hAnsi="Times New Roman" w:cs="Times New Roman"/>
                <w:color w:val="000000" w:themeColor="text1"/>
                <w:spacing w:val="0"/>
                <w:sz w:val="24"/>
                <w:szCs w:val="24"/>
                <w:highlight w:val="none"/>
                <w:lang w:val="en-US" w:eastAsia="zh-CN"/>
                <w14:textFill>
                  <w14:solidFill>
                    <w14:schemeClr w14:val="tx1"/>
                  </w14:solidFill>
                </w14:textFill>
              </w:rPr>
              <w:t>锅炉废气</w:t>
            </w:r>
          </w:p>
          <w:p w14:paraId="3D2B9C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4"/>
                <w:szCs w:val="24"/>
                <w:highlight w:val="none"/>
                <w:lang w:val="en-US" w:eastAsia="zh-CN"/>
                <w14:textFill>
                  <w14:solidFill>
                    <w14:schemeClr w14:val="tx1"/>
                  </w14:solidFill>
                </w14:textFill>
              </w:rPr>
              <w:t>参照《污染源源强核算技术指南锅炉》，新建项目有组织废气核算因子核算方法的优先次序为物料衡算法、类比法、产污系数法。颗粒物、SO</w:t>
            </w:r>
            <w:r>
              <w:rPr>
                <w:rFonts w:hint="default" w:ascii="Times New Roman" w:hAnsi="Times New Roman" w:eastAsia="宋体" w:cs="Times New Roman"/>
                <w:bCs/>
                <w:color w:val="000000" w:themeColor="text1"/>
                <w:kern w:val="0"/>
                <w:sz w:val="24"/>
                <w:szCs w:val="24"/>
                <w:highlight w:val="none"/>
                <w:vertAlign w:val="subscript"/>
                <w:lang w:val="en-US" w:eastAsia="zh-CN"/>
                <w14:textFill>
                  <w14:solidFill>
                    <w14:schemeClr w14:val="tx1"/>
                  </w14:solidFill>
                </w14:textFill>
              </w:rPr>
              <w:t>2</w:t>
            </w:r>
            <w:r>
              <w:rPr>
                <w:rFonts w:hint="default" w:ascii="Times New Roman" w:hAnsi="Times New Roman" w:eastAsia="宋体" w:cs="Times New Roman"/>
                <w:bCs/>
                <w:color w:val="000000" w:themeColor="text1"/>
                <w:kern w:val="0"/>
                <w:sz w:val="24"/>
                <w:szCs w:val="24"/>
                <w:highlight w:val="none"/>
                <w:lang w:val="en-US" w:eastAsia="zh-CN"/>
                <w14:textFill>
                  <w14:solidFill>
                    <w14:schemeClr w14:val="tx1"/>
                  </w14:solidFill>
                </w14:textFill>
              </w:rPr>
              <w:t>源强采用物料衡算法进行计算，项目没有锅炉生产商提供的氮氧化物控制保证浓度值及类比资料，NOx源强采用产污系数法进行计算。</w:t>
            </w:r>
          </w:p>
          <w:p w14:paraId="0993D23A">
            <w:pPr>
              <w:spacing w:line="360" w:lineRule="auto"/>
              <w:ind w:firstLine="480" w:firstLineChars="200"/>
              <w:rPr>
                <w:rFonts w:hint="default" w:ascii="Times New Roman" w:hAnsi="Times New Roman" w:cs="Times New Roman"/>
                <w:bCs/>
                <w:color w:val="000000" w:themeColor="text1"/>
                <w:kern w:val="0"/>
                <w:sz w:val="24"/>
                <w:szCs w:val="24"/>
                <w:highlight w:val="none"/>
                <w14:textFill>
                  <w14:solidFill>
                    <w14:schemeClr w14:val="tx1"/>
                  </w14:solidFill>
                </w14:textFill>
              </w:rPr>
            </w:pPr>
            <w:r>
              <w:rPr>
                <w:rFonts w:hint="default" w:ascii="Times New Roman" w:hAnsi="Times New Roman" w:cs="Times New Roman"/>
                <w:bCs/>
                <w:color w:val="000000" w:themeColor="text1"/>
                <w:kern w:val="0"/>
                <w:sz w:val="24"/>
                <w:szCs w:val="24"/>
                <w:highlight w:val="none"/>
                <w14:textFill>
                  <w14:solidFill>
                    <w14:schemeClr w14:val="tx1"/>
                  </w14:solidFill>
                </w14:textFill>
              </w:rPr>
              <w:t>烟气量的计算：</w:t>
            </w:r>
          </w:p>
          <w:p w14:paraId="548B8EF7">
            <w:pPr>
              <w:spacing w:line="360" w:lineRule="auto"/>
              <w:ind w:firstLine="480" w:firstLineChars="200"/>
              <w:outlineLvl w:val="0"/>
              <w:rPr>
                <w:rFonts w:hint="default" w:ascii="Times New Roman" w:hAnsi="Times New Roman" w:cs="Times New Roman"/>
                <w:color w:val="000000" w:themeColor="text1"/>
                <w:sz w:val="24"/>
                <w:szCs w:val="24"/>
                <w:highlight w:val="none"/>
                <w14:textFill>
                  <w14:solidFill>
                    <w14:schemeClr w14:val="tx1"/>
                  </w14:solidFill>
                </w14:textFill>
              </w:rPr>
            </w:pPr>
            <w:bookmarkStart w:id="13" w:name="_Toc30251"/>
            <w:bookmarkStart w:id="14" w:name="_Toc22966"/>
            <w:bookmarkStart w:id="15" w:name="_Toc27064"/>
            <w:bookmarkStart w:id="16" w:name="_Toc11268"/>
            <w:r>
              <w:rPr>
                <w:rFonts w:hint="default" w:ascii="Times New Roman" w:hAnsi="Times New Roman" w:cs="Times New Roman"/>
                <w:color w:val="000000" w:themeColor="text1"/>
                <w:sz w:val="24"/>
                <w:szCs w:val="24"/>
                <w:highlight w:val="none"/>
                <w14:textFill>
                  <w14:solidFill>
                    <w14:schemeClr w14:val="tx1"/>
                  </w14:solidFill>
                </w14:textFill>
              </w:rPr>
              <w:t>根据《污染源源强核算技术指南锅炉》（HJ991-2018）</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中</w:t>
            </w:r>
            <w:r>
              <w:rPr>
                <w:rFonts w:hint="default" w:ascii="Times New Roman" w:hAnsi="Times New Roman" w:cs="Times New Roman"/>
                <w:color w:val="000000" w:themeColor="text1"/>
                <w:sz w:val="24"/>
                <w:szCs w:val="24"/>
                <w:highlight w:val="none"/>
                <w14:textFill>
                  <w14:solidFill>
                    <w14:schemeClr w14:val="tx1"/>
                  </w14:solidFill>
                </w14:textFill>
              </w:rPr>
              <w:t>C</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5没有元素分析时，按照HJ953进行计算，本项目采取《排污许可证申请与核发技术规范锅炉》（HJ953-2018）中经验公式估算法。</w:t>
            </w:r>
            <w:bookmarkEnd w:id="13"/>
            <w:bookmarkEnd w:id="14"/>
            <w:bookmarkEnd w:id="15"/>
            <w:bookmarkEnd w:id="16"/>
          </w:p>
          <w:p w14:paraId="7631BE9E">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基准烟气量=0.393Q</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net，ar</w:t>
            </w:r>
            <w:r>
              <w:rPr>
                <w:rFonts w:hint="default" w:ascii="Times New Roman" w:hAnsi="Times New Roman" w:cs="Times New Roman"/>
                <w:color w:val="000000" w:themeColor="text1"/>
                <w:sz w:val="24"/>
                <w:szCs w:val="24"/>
                <w:highlight w:val="none"/>
                <w14:textFill>
                  <w14:solidFill>
                    <w14:schemeClr w14:val="tx1"/>
                  </w14:solidFill>
                </w14:textFill>
              </w:rPr>
              <w:t>+0.876=0.393×16.77+0.876=7.467Nm</w:t>
            </w:r>
            <w:r>
              <w:rPr>
                <w:rFonts w:hint="default" w:ascii="Times New Roman" w:hAnsi="Times New Roman"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eastAsia" w:cs="Times New Roman"/>
                <w:color w:val="000000" w:themeColor="text1"/>
                <w:sz w:val="24"/>
                <w:szCs w:val="24"/>
                <w:highlight w:val="none"/>
                <w:lang w:eastAsia="zh-CN"/>
                <w14:textFill>
                  <w14:solidFill>
                    <w14:schemeClr w14:val="tx1"/>
                  </w14:solidFill>
                </w14:textFill>
              </w:rPr>
              <w:t>kg</w:t>
            </w:r>
          </w:p>
          <w:p w14:paraId="0AD0F280">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000000" w:themeColor="text1"/>
                <w:sz w:val="24"/>
                <w:szCs w:val="24"/>
                <w:highlight w:val="none"/>
                <w:vertAlign w:val="superscript"/>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总烟气量=7.467</w:t>
            </w:r>
            <w:r>
              <w:rPr>
                <w:rFonts w:hint="default" w:ascii="Times New Roman" w:hAnsi="Times New Roman" w:cs="Times New Roman"/>
                <w:color w:val="000000" w:themeColor="text1"/>
                <w:sz w:val="24"/>
                <w:szCs w:val="24"/>
                <w:highlight w:val="none"/>
                <w14:textFill>
                  <w14:solidFill>
                    <w14:schemeClr w14:val="tx1"/>
                  </w14:solidFill>
                </w14:textFill>
              </w:rPr>
              <w:t>Nm</w:t>
            </w:r>
            <w:r>
              <w:rPr>
                <w:rFonts w:hint="default" w:ascii="Times New Roman" w:hAnsi="Times New Roman"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eastAsia" w:cs="Times New Roman"/>
                <w:color w:val="000000" w:themeColor="text1"/>
                <w:sz w:val="24"/>
                <w:szCs w:val="24"/>
                <w:highlight w:val="none"/>
                <w:lang w:eastAsia="zh-CN"/>
                <w14:textFill>
                  <w14:solidFill>
                    <w14:schemeClr w14:val="tx1"/>
                  </w14:solidFill>
                </w14:textFill>
              </w:rPr>
              <w:t>kg</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1944</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=14515848</w:t>
            </w:r>
            <w:r>
              <w:rPr>
                <w:rFonts w:hint="default" w:ascii="Times New Roman" w:hAnsi="Times New Roman" w:cs="Times New Roman"/>
                <w:color w:val="000000" w:themeColor="text1"/>
                <w:sz w:val="24"/>
                <w:szCs w:val="24"/>
                <w:highlight w:val="none"/>
                <w14:textFill>
                  <w14:solidFill>
                    <w14:schemeClr w14:val="tx1"/>
                  </w14:solidFill>
                </w14:textFill>
              </w:rPr>
              <w:t>Nm</w:t>
            </w:r>
            <w:r>
              <w:rPr>
                <w:rFonts w:hint="default" w:ascii="Times New Roman" w:hAnsi="Times New Roman" w:cs="Times New Roman"/>
                <w:color w:val="000000" w:themeColor="text1"/>
                <w:sz w:val="24"/>
                <w:szCs w:val="24"/>
                <w:highlight w:val="none"/>
                <w:vertAlign w:val="superscript"/>
                <w14:textFill>
                  <w14:solidFill>
                    <w14:schemeClr w14:val="tx1"/>
                  </w14:solidFill>
                </w14:textFill>
              </w:rPr>
              <w:t>3</w:t>
            </w:r>
          </w:p>
          <w:p w14:paraId="10988262">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烟尘排放量按下</w:t>
            </w:r>
            <w:r>
              <w:rPr>
                <w:rFonts w:hint="eastAsia" w:cs="Times New Roman"/>
                <w:color w:val="000000" w:themeColor="text1"/>
                <w:sz w:val="24"/>
                <w:szCs w:val="24"/>
                <w:highlight w:val="none"/>
                <w:vertAlign w:val="baseline"/>
                <w:lang w:val="en-US" w:eastAsia="zh-CN"/>
                <w14:textFill>
                  <w14:solidFill>
                    <w14:schemeClr w14:val="tx1"/>
                  </w14:solidFill>
                </w14:textFill>
              </w:rPr>
              <w:t>式</w:t>
            </w: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计算：</w:t>
            </w:r>
          </w:p>
          <w:p w14:paraId="681E254F">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jc w:val="center"/>
              <w:textAlignment w:val="auto"/>
              <w:rPr>
                <w:rFonts w:hint="default" w:ascii="Times New Roman" w:hAnsi="Times New Roman" w:eastAsia="宋体" w:cs="Times New Roman"/>
                <w:bCs w:val="0"/>
                <w:color w:val="000000" w:themeColor="text1"/>
                <w:spacing w:val="0"/>
                <w:kern w:val="0"/>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drawing>
                <wp:inline distT="0" distB="0" distL="114300" distR="114300">
                  <wp:extent cx="4248150" cy="1295400"/>
                  <wp:effectExtent l="0" t="0" r="0" b="0"/>
                  <wp:docPr id="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4"/>
                          <pic:cNvPicPr>
                            <a:picLocks noChangeAspect="1"/>
                          </pic:cNvPicPr>
                        </pic:nvPicPr>
                        <pic:blipFill>
                          <a:blip r:embed="rId19"/>
                          <a:stretch>
                            <a:fillRect/>
                          </a:stretch>
                        </pic:blipFill>
                        <pic:spPr>
                          <a:xfrm>
                            <a:off x="0" y="0"/>
                            <a:ext cx="4248150" cy="1295400"/>
                          </a:xfrm>
                          <a:prstGeom prst="rect">
                            <a:avLst/>
                          </a:prstGeom>
                          <a:noFill/>
                          <a:ln>
                            <a:noFill/>
                          </a:ln>
                        </pic:spPr>
                      </pic:pic>
                    </a:graphicData>
                  </a:graphic>
                </wp:inline>
              </w:drawing>
            </w:r>
          </w:p>
          <w:p w14:paraId="15803363">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式中：E</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A</w:t>
            </w:r>
            <w:r>
              <w:rPr>
                <w:rFonts w:hint="default" w:ascii="Times New Roman" w:hAnsi="Times New Roman" w:cs="Times New Roman"/>
                <w:color w:val="000000" w:themeColor="text1"/>
                <w:sz w:val="24"/>
                <w:szCs w:val="24"/>
                <w:highlight w:val="none"/>
                <w14:textFill>
                  <w14:solidFill>
                    <w14:schemeClr w14:val="tx1"/>
                  </w14:solidFill>
                </w14:textFill>
              </w:rPr>
              <w:t>—核算时段内烟尘排放量，t；</w:t>
            </w:r>
          </w:p>
          <w:p w14:paraId="23CDC0B9">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R—核算时段内锅炉燃料耗量，t；</w:t>
            </w:r>
          </w:p>
          <w:p w14:paraId="06AA88A9">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η</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c</w:t>
            </w:r>
            <w:r>
              <w:rPr>
                <w:rFonts w:hint="default" w:ascii="Times New Roman" w:hAnsi="Times New Roman" w:cs="Times New Roman"/>
                <w:color w:val="000000" w:themeColor="text1"/>
                <w:sz w:val="24"/>
                <w:szCs w:val="24"/>
                <w:highlight w:val="none"/>
                <w14:textFill>
                  <w14:solidFill>
                    <w14:schemeClr w14:val="tx1"/>
                  </w14:solidFill>
                </w14:textFill>
              </w:rPr>
              <w:t>—综合除尘效率；本次</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评价</w:t>
            </w:r>
            <w:r>
              <w:rPr>
                <w:rFonts w:hint="default" w:ascii="Times New Roman" w:hAnsi="Times New Roman" w:cs="Times New Roman"/>
                <w:color w:val="000000" w:themeColor="text1"/>
                <w:sz w:val="24"/>
                <w:szCs w:val="24"/>
                <w:highlight w:val="none"/>
                <w14:textFill>
                  <w14:solidFill>
                    <w14:schemeClr w14:val="tx1"/>
                  </w14:solidFill>
                </w14:textFill>
              </w:rPr>
              <w:t>取</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99.5；</w:t>
            </w:r>
          </w:p>
          <w:p w14:paraId="7A7ACE62">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Aar—收到基灰分的质量分数，</w:t>
            </w:r>
            <w:r>
              <w:rPr>
                <w:rFonts w:hint="default" w:ascii="Times New Roman" w:hAnsi="Times New Roman" w:cs="Times New Roman"/>
                <w:color w:val="FF0000"/>
                <w:sz w:val="24"/>
                <w:szCs w:val="24"/>
                <w:highlight w:val="none"/>
              </w:rPr>
              <w:t>本次</w:t>
            </w:r>
            <w:r>
              <w:rPr>
                <w:rFonts w:hint="default" w:ascii="Times New Roman" w:hAnsi="Times New Roman" w:cs="Times New Roman"/>
                <w:color w:val="FF0000"/>
                <w:sz w:val="24"/>
                <w:szCs w:val="24"/>
                <w:highlight w:val="none"/>
                <w:lang w:val="en-US" w:eastAsia="zh-CN"/>
              </w:rPr>
              <w:t>评价</w:t>
            </w:r>
            <w:r>
              <w:rPr>
                <w:rFonts w:hint="default" w:ascii="Times New Roman" w:hAnsi="Times New Roman" w:cs="Times New Roman"/>
                <w:color w:val="FF0000"/>
                <w:sz w:val="24"/>
                <w:szCs w:val="24"/>
                <w:highlight w:val="none"/>
              </w:rPr>
              <w:t>取</w:t>
            </w:r>
            <w:r>
              <w:rPr>
                <w:rFonts w:hint="default" w:ascii="Times New Roman" w:hAnsi="Times New Roman" w:cs="Times New Roman"/>
                <w:color w:val="FF0000"/>
                <w:sz w:val="24"/>
                <w:szCs w:val="24"/>
                <w:highlight w:val="none"/>
                <w:lang w:val="en-US" w:eastAsia="zh-CN"/>
              </w:rPr>
              <w:t>6.5</w:t>
            </w:r>
            <w:r>
              <w:rPr>
                <w:rFonts w:hint="eastAsia" w:cs="Times New Roman"/>
                <w:color w:val="FF0000"/>
                <w:sz w:val="24"/>
                <w:szCs w:val="24"/>
                <w:highlight w:val="none"/>
                <w:lang w:val="en-US" w:eastAsia="zh-CN"/>
              </w:rPr>
              <w:t>9</w:t>
            </w:r>
            <w:r>
              <w:rPr>
                <w:rFonts w:hint="default" w:ascii="Times New Roman" w:hAnsi="Times New Roman" w:cs="Times New Roman"/>
                <w:color w:val="FF0000"/>
                <w:sz w:val="24"/>
                <w:szCs w:val="24"/>
                <w:highlight w:val="none"/>
              </w:rPr>
              <w:t>；</w:t>
            </w:r>
          </w:p>
          <w:p w14:paraId="39D906B4">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d</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fh</w:t>
            </w:r>
            <w:r>
              <w:rPr>
                <w:rFonts w:hint="default" w:ascii="Times New Roman" w:hAnsi="Times New Roman" w:cs="Times New Roman"/>
                <w:color w:val="000000" w:themeColor="text1"/>
                <w:sz w:val="24"/>
                <w:szCs w:val="24"/>
                <w:highlight w:val="none"/>
                <w14:textFill>
                  <w14:solidFill>
                    <w14:schemeClr w14:val="tx1"/>
                  </w14:solidFill>
                </w14:textFill>
              </w:rPr>
              <w:t>—锅炉烟气带出的飞灰份额，%；本次</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评价</w:t>
            </w:r>
            <w:r>
              <w:rPr>
                <w:rFonts w:hint="default" w:ascii="Times New Roman" w:hAnsi="Times New Roman" w:cs="Times New Roman"/>
                <w:color w:val="000000" w:themeColor="text1"/>
                <w:sz w:val="24"/>
                <w:szCs w:val="24"/>
                <w:highlight w:val="none"/>
                <w14:textFill>
                  <w14:solidFill>
                    <w14:schemeClr w14:val="tx1"/>
                  </w14:solidFill>
                </w14:textFill>
              </w:rPr>
              <w:t>取</w:t>
            </w:r>
            <w:r>
              <w:rPr>
                <w:rFonts w:hint="default" w:ascii="Times New Roman" w:hAnsi="Times New Roman" w:cs="Times New Roman"/>
                <w:color w:val="000000" w:themeColor="text1"/>
                <w:spacing w:val="0"/>
                <w:sz w:val="24"/>
                <w:szCs w:val="24"/>
                <w:highlight w:val="none"/>
                <w:lang w:val="en-US" w:eastAsia="zh-CN"/>
                <w14:textFill>
                  <w14:solidFill>
                    <w14:schemeClr w14:val="tx1"/>
                  </w14:solidFill>
                </w14:textFill>
              </w:rPr>
              <w:t>50</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p>
          <w:p w14:paraId="7556FC66">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C</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fh</w:t>
            </w:r>
            <w:r>
              <w:rPr>
                <w:rFonts w:hint="default" w:ascii="Times New Roman" w:hAnsi="Times New Roman" w:cs="Times New Roman"/>
                <w:color w:val="000000" w:themeColor="text1"/>
                <w:sz w:val="24"/>
                <w:szCs w:val="24"/>
                <w:highlight w:val="none"/>
                <w14:textFill>
                  <w14:solidFill>
                    <w14:schemeClr w14:val="tx1"/>
                  </w14:solidFill>
                </w14:textFill>
              </w:rPr>
              <w:t>—飞灰中的可燃物含量，%；本次</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评价</w:t>
            </w:r>
            <w:r>
              <w:rPr>
                <w:rFonts w:hint="default" w:ascii="Times New Roman" w:hAnsi="Times New Roman" w:cs="Times New Roman"/>
                <w:color w:val="000000" w:themeColor="text1"/>
                <w:sz w:val="24"/>
                <w:szCs w:val="24"/>
                <w:highlight w:val="none"/>
                <w14:textFill>
                  <w14:solidFill>
                    <w14:schemeClr w14:val="tx1"/>
                  </w14:solidFill>
                </w14:textFill>
              </w:rPr>
              <w:t>取1</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422C3BA4">
            <w:pPr>
              <w:keepNext w:val="0"/>
              <w:keepLines w:val="0"/>
              <w:pageBreakBefore w:val="0"/>
              <w:kinsoku/>
              <w:wordWrap/>
              <w:overflowPunct/>
              <w:topLinePunct w:val="0"/>
              <w:bidi w:val="0"/>
              <w:spacing w:line="360" w:lineRule="auto"/>
              <w:ind w:firstLine="480" w:firstLineChars="200"/>
              <w:textAlignment w:val="auto"/>
              <w:rPr>
                <w:rFonts w:hint="default" w:ascii="Times New Roman" w:hAnsi="Times New Roman" w:eastAsia="宋体" w:cs="Times New Roman"/>
                <w:i w:val="0"/>
                <w:color w:val="FF0000"/>
                <w:kern w:val="0"/>
                <w:sz w:val="24"/>
                <w:szCs w:val="24"/>
                <w:highlight w:val="none"/>
                <w:u w:val="none"/>
                <w:lang w:val="en-US" w:eastAsia="zh-CN" w:bidi="ar"/>
              </w:rPr>
            </w:pPr>
            <w:r>
              <w:rPr>
                <w:rFonts w:hint="default" w:ascii="Times New Roman" w:hAnsi="Times New Roman" w:eastAsia="宋体" w:cs="Times New Roman"/>
                <w:color w:val="FF0000"/>
                <w:sz w:val="24"/>
                <w:szCs w:val="24"/>
                <w:highlight w:val="none"/>
                <w:lang w:val="en-US" w:eastAsia="zh-CN"/>
              </w:rPr>
              <w:t>经计算，本项目锅炉烟尘产生浓度为</w:t>
            </w:r>
            <w:r>
              <w:rPr>
                <w:rFonts w:hint="eastAsia" w:ascii="Times New Roman" w:hAnsi="Times New Roman" w:eastAsia="宋体" w:cs="Times New Roman"/>
                <w:color w:val="FF0000"/>
                <w:sz w:val="24"/>
                <w:szCs w:val="24"/>
                <w:highlight w:val="none"/>
                <w:lang w:val="en-US" w:eastAsia="zh-CN"/>
              </w:rPr>
              <w:t>4938.77</w:t>
            </w:r>
            <w:r>
              <w:rPr>
                <w:rFonts w:hint="default" w:ascii="Times New Roman" w:hAnsi="Times New Roman" w:eastAsia="宋体" w:cs="Times New Roman"/>
                <w:color w:val="FF0000"/>
                <w:sz w:val="24"/>
                <w:szCs w:val="24"/>
                <w:highlight w:val="none"/>
              </w:rPr>
              <w:t>mg/m</w:t>
            </w:r>
            <w:r>
              <w:rPr>
                <w:rFonts w:hint="default" w:ascii="Times New Roman" w:hAnsi="Times New Roman" w:eastAsia="宋体" w:cs="Times New Roman"/>
                <w:color w:val="FF0000"/>
                <w:sz w:val="24"/>
                <w:szCs w:val="24"/>
                <w:highlight w:val="none"/>
                <w:vertAlign w:val="superscript"/>
              </w:rPr>
              <w:t>3</w:t>
            </w:r>
            <w:r>
              <w:rPr>
                <w:rFonts w:hint="default" w:ascii="Times New Roman" w:hAnsi="Times New Roman" w:eastAsia="宋体" w:cs="Times New Roman"/>
                <w:color w:val="FF0000"/>
                <w:sz w:val="24"/>
                <w:szCs w:val="24"/>
                <w:highlight w:val="none"/>
                <w:lang w:val="en-US" w:eastAsia="zh-CN"/>
              </w:rPr>
              <w:t>，产生量为</w:t>
            </w:r>
            <w:r>
              <w:rPr>
                <w:rFonts w:hint="eastAsia" w:ascii="Times New Roman" w:hAnsi="Times New Roman" w:eastAsia="宋体" w:cs="Times New Roman"/>
                <w:color w:val="FF0000"/>
                <w:sz w:val="24"/>
                <w:szCs w:val="24"/>
                <w:highlight w:val="none"/>
                <w:lang w:val="en-US" w:eastAsia="zh-CN"/>
              </w:rPr>
              <w:t>16.595</w:t>
            </w:r>
            <w:r>
              <w:rPr>
                <w:rFonts w:hint="default" w:ascii="Times New Roman" w:hAnsi="Times New Roman" w:eastAsia="宋体" w:cs="Times New Roman"/>
                <w:i w:val="0"/>
                <w:color w:val="FF0000"/>
                <w:kern w:val="0"/>
                <w:sz w:val="24"/>
                <w:szCs w:val="24"/>
                <w:highlight w:val="none"/>
                <w:u w:val="none"/>
                <w:lang w:val="en-US" w:eastAsia="zh-CN" w:bidi="ar"/>
              </w:rPr>
              <w:t>kg/h</w:t>
            </w:r>
            <w:r>
              <w:rPr>
                <w:rFonts w:hint="default" w:ascii="Times New Roman" w:hAnsi="Times New Roman" w:eastAsia="宋体" w:cs="Times New Roman"/>
                <w:color w:val="FF0000"/>
                <w:sz w:val="24"/>
                <w:szCs w:val="24"/>
                <w:highlight w:val="none"/>
                <w:lang w:val="en-US" w:eastAsia="zh-CN"/>
              </w:rPr>
              <w:t>，</w:t>
            </w:r>
            <w:r>
              <w:rPr>
                <w:rFonts w:hint="eastAsia" w:ascii="Times New Roman" w:hAnsi="Times New Roman" w:eastAsia="宋体" w:cs="Times New Roman"/>
                <w:i w:val="0"/>
                <w:color w:val="FF0000"/>
                <w:kern w:val="0"/>
                <w:sz w:val="24"/>
                <w:szCs w:val="24"/>
                <w:highlight w:val="none"/>
                <w:u w:val="none"/>
                <w:lang w:val="en-US" w:eastAsia="zh-CN" w:bidi="ar"/>
              </w:rPr>
              <w:t>73.291</w:t>
            </w:r>
            <w:r>
              <w:rPr>
                <w:rFonts w:hint="default" w:ascii="Times New Roman" w:hAnsi="Times New Roman" w:eastAsia="宋体" w:cs="Times New Roman"/>
                <w:i w:val="0"/>
                <w:color w:val="FF0000"/>
                <w:kern w:val="0"/>
                <w:sz w:val="24"/>
                <w:szCs w:val="24"/>
                <w:highlight w:val="none"/>
                <w:u w:val="none"/>
                <w:lang w:val="en-US" w:eastAsia="zh-CN" w:bidi="ar"/>
              </w:rPr>
              <w:t>t/a；</w:t>
            </w:r>
            <w:r>
              <w:rPr>
                <w:rFonts w:hint="default" w:ascii="Times New Roman" w:hAnsi="Times New Roman" w:eastAsia="宋体" w:cs="Times New Roman"/>
                <w:color w:val="FF0000"/>
                <w:sz w:val="24"/>
                <w:szCs w:val="24"/>
                <w:highlight w:val="none"/>
                <w:lang w:val="en-US" w:eastAsia="zh-CN"/>
              </w:rPr>
              <w:t>排放浓度为</w:t>
            </w:r>
            <w:r>
              <w:rPr>
                <w:rFonts w:hint="eastAsia" w:ascii="Times New Roman" w:hAnsi="Times New Roman" w:eastAsia="宋体" w:cs="Times New Roman"/>
                <w:color w:val="FF0000"/>
                <w:sz w:val="24"/>
                <w:szCs w:val="24"/>
                <w:highlight w:val="none"/>
                <w:lang w:val="en-US" w:eastAsia="zh-CN"/>
              </w:rPr>
              <w:t>24.69</w:t>
            </w:r>
            <w:r>
              <w:rPr>
                <w:rFonts w:hint="default" w:ascii="Times New Roman" w:hAnsi="Times New Roman" w:eastAsia="宋体" w:cs="Times New Roman"/>
                <w:color w:val="FF0000"/>
                <w:sz w:val="24"/>
                <w:szCs w:val="24"/>
                <w:highlight w:val="none"/>
              </w:rPr>
              <w:t>mg/m</w:t>
            </w:r>
            <w:r>
              <w:rPr>
                <w:rFonts w:hint="default" w:ascii="Times New Roman" w:hAnsi="Times New Roman" w:eastAsia="宋体" w:cs="Times New Roman"/>
                <w:color w:val="FF0000"/>
                <w:sz w:val="24"/>
                <w:szCs w:val="24"/>
                <w:highlight w:val="none"/>
                <w:vertAlign w:val="superscript"/>
              </w:rPr>
              <w:t>3</w:t>
            </w:r>
            <w:r>
              <w:rPr>
                <w:rFonts w:hint="default" w:ascii="Times New Roman" w:hAnsi="Times New Roman" w:eastAsia="宋体" w:cs="Times New Roman"/>
                <w:color w:val="FF0000"/>
                <w:sz w:val="24"/>
                <w:szCs w:val="24"/>
                <w:highlight w:val="none"/>
                <w:lang w:val="en-US" w:eastAsia="zh-CN"/>
              </w:rPr>
              <w:t>，排放量为</w:t>
            </w:r>
            <w:r>
              <w:rPr>
                <w:rFonts w:hint="eastAsia" w:ascii="Times New Roman" w:hAnsi="Times New Roman" w:eastAsia="宋体" w:cs="Times New Roman"/>
                <w:color w:val="FF0000"/>
                <w:sz w:val="24"/>
                <w:szCs w:val="24"/>
                <w:highlight w:val="none"/>
                <w:lang w:val="en-US" w:eastAsia="zh-CN"/>
              </w:rPr>
              <w:t>0.083</w:t>
            </w:r>
            <w:r>
              <w:rPr>
                <w:rFonts w:hint="default" w:ascii="Times New Roman" w:hAnsi="Times New Roman" w:eastAsia="宋体" w:cs="Times New Roman"/>
                <w:i w:val="0"/>
                <w:color w:val="FF0000"/>
                <w:kern w:val="0"/>
                <w:sz w:val="24"/>
                <w:szCs w:val="24"/>
                <w:highlight w:val="none"/>
                <w:u w:val="none"/>
                <w:lang w:val="en-US" w:eastAsia="zh-CN" w:bidi="ar"/>
              </w:rPr>
              <w:t>kg/h</w:t>
            </w:r>
            <w:r>
              <w:rPr>
                <w:rFonts w:hint="default" w:ascii="Times New Roman" w:hAnsi="Times New Roman" w:eastAsia="宋体"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0.366</w:t>
            </w:r>
            <w:r>
              <w:rPr>
                <w:rFonts w:hint="default" w:ascii="Times New Roman" w:hAnsi="Times New Roman" w:eastAsia="宋体" w:cs="Times New Roman"/>
                <w:i w:val="0"/>
                <w:color w:val="FF0000"/>
                <w:kern w:val="0"/>
                <w:sz w:val="24"/>
                <w:szCs w:val="24"/>
                <w:highlight w:val="none"/>
                <w:u w:val="none"/>
                <w:lang w:val="en-US" w:eastAsia="zh-CN" w:bidi="ar"/>
              </w:rPr>
              <w:t>t/a。</w:t>
            </w:r>
          </w:p>
          <w:p w14:paraId="0CE7F4A3">
            <w:pPr>
              <w:keepNext w:val="0"/>
              <w:keepLines w:val="0"/>
              <w:pageBreakBefore w:val="0"/>
              <w:kinsoku/>
              <w:wordWrap/>
              <w:overflowPunct/>
              <w:topLinePunct w:val="0"/>
              <w:bidi w:val="0"/>
              <w:spacing w:line="360" w:lineRule="auto"/>
              <w:ind w:firstLine="480" w:firstLineChars="200"/>
              <w:textAlignment w:val="auto"/>
              <w:rPr>
                <w:rFonts w:hint="default" w:ascii="Times New Roman" w:hAnsi="Times New Roman" w:cs="Times New Roman"/>
                <w:color w:val="000000" w:themeColor="text1"/>
                <w:sz w:val="24"/>
                <w:szCs w:val="24"/>
                <w:highlight w:val="none"/>
                <w:lang w:bidi="zh-CN"/>
                <w14:textFill>
                  <w14:solidFill>
                    <w14:schemeClr w14:val="tx1"/>
                  </w14:solidFill>
                </w14:textFill>
              </w:rPr>
            </w:pPr>
            <w:r>
              <w:rPr>
                <w:rFonts w:hint="default" w:ascii="Times New Roman" w:hAnsi="Times New Roman" w:cs="Times New Roman"/>
                <w:color w:val="000000" w:themeColor="text1"/>
                <w:sz w:val="24"/>
                <w:szCs w:val="24"/>
                <w:highlight w:val="none"/>
                <w:lang w:bidi="zh-CN"/>
                <w14:textFill>
                  <w14:solidFill>
                    <w14:schemeClr w14:val="tx1"/>
                  </w14:solidFill>
                </w14:textFill>
              </w:rPr>
              <w:t>二氧化硫计算：</w:t>
            </w:r>
          </w:p>
          <w:p w14:paraId="23C64AA2">
            <w:pPr>
              <w:keepNext w:val="0"/>
              <w:keepLines w:val="0"/>
              <w:pageBreakBefore w:val="0"/>
              <w:kinsoku/>
              <w:wordWrap/>
              <w:overflowPunct/>
              <w:topLinePunct w:val="0"/>
              <w:bidi w:val="0"/>
              <w:adjustRightInd w:val="0"/>
              <w:snapToGrid w:val="0"/>
              <w:spacing w:line="360" w:lineRule="auto"/>
              <w:ind w:firstLine="480" w:firstLineChars="200"/>
              <w:jc w:val="center"/>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drawing>
                <wp:inline distT="0" distB="0" distL="114300" distR="114300">
                  <wp:extent cx="3466465" cy="554990"/>
                  <wp:effectExtent l="0" t="0" r="635" b="16510"/>
                  <wp:docPr id="15" name="图片 116" descr="15775857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6" descr="1577585754(1)"/>
                          <pic:cNvPicPr>
                            <a:picLocks noChangeAspect="1"/>
                          </pic:cNvPicPr>
                        </pic:nvPicPr>
                        <pic:blipFill>
                          <a:blip r:embed="rId20"/>
                          <a:stretch>
                            <a:fillRect/>
                          </a:stretch>
                        </pic:blipFill>
                        <pic:spPr>
                          <a:xfrm>
                            <a:off x="0" y="0"/>
                            <a:ext cx="3466465" cy="554990"/>
                          </a:xfrm>
                          <a:prstGeom prst="rect">
                            <a:avLst/>
                          </a:prstGeom>
                          <a:noFill/>
                          <a:ln>
                            <a:noFill/>
                          </a:ln>
                        </pic:spPr>
                      </pic:pic>
                    </a:graphicData>
                  </a:graphic>
                </wp:inline>
              </w:drawing>
            </w:r>
          </w:p>
          <w:p w14:paraId="01840490">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式中：E</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SO2</w:t>
            </w:r>
            <w:r>
              <w:rPr>
                <w:rFonts w:hint="default" w:ascii="Times New Roman" w:hAnsi="Times New Roman" w:cs="Times New Roman"/>
                <w:color w:val="000000" w:themeColor="text1"/>
                <w:sz w:val="24"/>
                <w:szCs w:val="24"/>
                <w:highlight w:val="none"/>
                <w14:textFill>
                  <w14:solidFill>
                    <w14:schemeClr w14:val="tx1"/>
                  </w14:solidFill>
                </w14:textFill>
              </w:rPr>
              <w:t>—核算时段内二氧化硫排放量，t；</w:t>
            </w:r>
          </w:p>
          <w:p w14:paraId="2978618F">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R—核算时段内锅炉燃料耗量，t；</w:t>
            </w:r>
          </w:p>
          <w:p w14:paraId="1C706359">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q</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4</w:t>
            </w:r>
            <w:r>
              <w:rPr>
                <w:rFonts w:hint="default" w:ascii="Times New Roman" w:hAnsi="Times New Roman" w:cs="Times New Roman"/>
                <w:color w:val="000000" w:themeColor="text1"/>
                <w:sz w:val="24"/>
                <w:szCs w:val="24"/>
                <w:highlight w:val="none"/>
                <w14:textFill>
                  <w14:solidFill>
                    <w14:schemeClr w14:val="tx1"/>
                  </w14:solidFill>
                </w14:textFill>
              </w:rPr>
              <w:t>—锅炉机械不完全燃烧热损失，</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本次评价取12</w:t>
            </w:r>
            <w:r>
              <w:rPr>
                <w:rFonts w:hint="default" w:ascii="Times New Roman" w:hAnsi="Times New Roman" w:cs="Times New Roman"/>
                <w:color w:val="000000" w:themeColor="text1"/>
                <w:sz w:val="24"/>
                <w:szCs w:val="24"/>
                <w:highlight w:val="none"/>
                <w14:textFill>
                  <w14:solidFill>
                    <w14:schemeClr w14:val="tx1"/>
                  </w14:solidFill>
                </w14:textFill>
              </w:rPr>
              <w:t>；</w:t>
            </w:r>
          </w:p>
          <w:p w14:paraId="5EBD5278">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S</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ar</w:t>
            </w:r>
            <w:r>
              <w:rPr>
                <w:rFonts w:hint="default" w:ascii="Times New Roman" w:hAnsi="Times New Roman" w:cs="Times New Roman"/>
                <w:color w:val="000000" w:themeColor="text1"/>
                <w:sz w:val="24"/>
                <w:szCs w:val="24"/>
                <w:highlight w:val="none"/>
                <w14:textFill>
                  <w14:solidFill>
                    <w14:schemeClr w14:val="tx1"/>
                  </w14:solidFill>
                </w14:textFill>
              </w:rPr>
              <w:t>—收到基硫的质量分数，本次</w:t>
            </w:r>
            <w:r>
              <w:rPr>
                <w:rFonts w:hint="default" w:ascii="Times New Roman" w:hAnsi="Times New Roman" w:eastAsia="宋体" w:cs="Times New Roman"/>
                <w:i w:val="0"/>
                <w:color w:val="000000" w:themeColor="text1"/>
                <w:kern w:val="0"/>
                <w:sz w:val="24"/>
                <w:szCs w:val="24"/>
                <w:highlight w:val="none"/>
                <w:lang w:val="en-US" w:eastAsia="zh-CN" w:bidi="ar"/>
                <w14:textFill>
                  <w14:solidFill>
                    <w14:schemeClr w14:val="tx1"/>
                  </w14:solidFill>
                </w14:textFill>
              </w:rPr>
              <w:t>评价取</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0.02</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p>
          <w:p w14:paraId="785BDEC9">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ƞs——脱硫效率，</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0</w:t>
            </w:r>
            <w:r>
              <w:rPr>
                <w:rFonts w:hint="default" w:ascii="Times New Roman" w:hAnsi="Times New Roman" w:cs="Times New Roman"/>
                <w:color w:val="000000" w:themeColor="text1"/>
                <w:sz w:val="24"/>
                <w:szCs w:val="24"/>
                <w:highlight w:val="none"/>
                <w14:textFill>
                  <w14:solidFill>
                    <w14:schemeClr w14:val="tx1"/>
                  </w14:solidFill>
                </w14:textFill>
              </w:rPr>
              <w:t>；</w:t>
            </w:r>
          </w:p>
          <w:p w14:paraId="21A9FD47">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K—燃料中硫燃烧后氧化成二氧化硫的</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份额，本次评价取0.5。</w:t>
            </w:r>
          </w:p>
          <w:p w14:paraId="2F43E648">
            <w:pPr>
              <w:keepNext w:val="0"/>
              <w:keepLines w:val="0"/>
              <w:pageBreakBefore w:val="0"/>
              <w:kinsoku/>
              <w:wordWrap/>
              <w:overflowPunct/>
              <w:topLinePunct w:val="0"/>
              <w:bidi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经计算，本项目锅炉二氧化硫产生浓度为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23.51</w:t>
            </w:r>
            <w:r>
              <w:rPr>
                <w:rFonts w:hint="default" w:ascii="Times New Roman" w:hAnsi="Times New Roman" w:eastAsia="宋体" w:cs="Times New Roman"/>
                <w:color w:val="000000" w:themeColor="text1"/>
                <w:sz w:val="24"/>
                <w:szCs w:val="24"/>
                <w:highlight w:val="none"/>
                <w14:textFill>
                  <w14:solidFill>
                    <w14:schemeClr w14:val="tx1"/>
                  </w14:solidFill>
                </w14:textFill>
              </w:rPr>
              <w:t>mg/m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，产生量为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0.079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kg/h，</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0.342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t/a；二氧化硫排放浓度为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23.51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，排放量为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0.079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kg/h，</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0.342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t/a。</w:t>
            </w:r>
          </w:p>
          <w:p w14:paraId="67F354A7">
            <w:pPr>
              <w:keepNext w:val="0"/>
              <w:keepLines w:val="0"/>
              <w:pageBreakBefore w:val="0"/>
              <w:kinsoku/>
              <w:wordWrap/>
              <w:overflowPunct/>
              <w:topLinePunct w:val="0"/>
              <w:bidi w:val="0"/>
              <w:spacing w:line="360" w:lineRule="auto"/>
              <w:ind w:firstLine="480" w:firstLineChars="200"/>
              <w:textAlignment w:val="auto"/>
              <w:rPr>
                <w:rFonts w:hint="default" w:ascii="Times New Roman" w:hAnsi="Times New Roman" w:cs="Times New Roman"/>
                <w:color w:val="000000" w:themeColor="text1"/>
                <w:sz w:val="24"/>
                <w:szCs w:val="24"/>
                <w:highlight w:val="none"/>
                <w:lang w:bidi="zh-CN"/>
                <w14:textFill>
                  <w14:solidFill>
                    <w14:schemeClr w14:val="tx1"/>
                  </w14:solidFill>
                </w14:textFill>
              </w:rPr>
            </w:pPr>
            <w:r>
              <w:rPr>
                <w:rFonts w:hint="default" w:ascii="Times New Roman" w:hAnsi="Times New Roman" w:cs="Times New Roman"/>
                <w:color w:val="000000" w:themeColor="text1"/>
                <w:sz w:val="24"/>
                <w:szCs w:val="24"/>
                <w:highlight w:val="none"/>
                <w:lang w:bidi="zh-CN"/>
                <w14:textFill>
                  <w14:solidFill>
                    <w14:schemeClr w14:val="tx1"/>
                  </w14:solidFill>
                </w14:textFill>
              </w:rPr>
              <w:t>氮氧化物：</w:t>
            </w:r>
          </w:p>
          <w:p w14:paraId="63F7A8B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4"/>
                <w:szCs w:val="24"/>
                <w:highlight w:val="none"/>
                <w:lang w:val="en-US" w:eastAsia="zh-CN"/>
                <w14:textFill>
                  <w14:solidFill>
                    <w14:schemeClr w14:val="tx1"/>
                  </w14:solidFill>
                </w14:textFill>
              </w:rPr>
              <w:t>氮氧化物</w:t>
            </w:r>
            <w:r>
              <w:rPr>
                <w:rFonts w:hint="default" w:ascii="Times New Roman" w:hAnsi="Times New Roman" w:eastAsia="宋体" w:cs="Times New Roman"/>
                <w:bCs/>
                <w:color w:val="000000" w:themeColor="text1"/>
                <w:kern w:val="0"/>
                <w:sz w:val="24"/>
                <w:szCs w:val="24"/>
                <w:highlight w:val="none"/>
                <w:lang w:eastAsia="zh-CN"/>
                <w14:textFill>
                  <w14:solidFill>
                    <w14:schemeClr w14:val="tx1"/>
                  </w14:solidFill>
                </w14:textFill>
              </w:rPr>
              <w:t>参照《排放源统计调查产排污核算方法和系数手册》，表“4430工业锅炉（热力生产和供应行业）产污系数表-工业锅炉”计算，产污系数见表</w:t>
            </w:r>
            <w:r>
              <w:rPr>
                <w:rFonts w:hint="default" w:ascii="Times New Roman" w:hAnsi="Times New Roman" w:eastAsia="宋体" w:cs="Times New Roman"/>
                <w:bCs/>
                <w:color w:val="000000" w:themeColor="text1"/>
                <w:kern w:val="0"/>
                <w:sz w:val="24"/>
                <w:szCs w:val="24"/>
                <w:highlight w:val="none"/>
                <w:lang w:val="en-US" w:eastAsia="zh-CN"/>
                <w14:textFill>
                  <w14:solidFill>
                    <w14:schemeClr w14:val="tx1"/>
                  </w14:solidFill>
                </w14:textFill>
              </w:rPr>
              <w:t>4-3。</w:t>
            </w:r>
          </w:p>
          <w:p w14:paraId="1CEB0102">
            <w:pPr>
              <w:adjustRightInd w:val="0"/>
              <w:snapToGrid w:val="0"/>
              <w:spacing w:line="240" w:lineRule="auto"/>
              <w:ind w:firstLine="482" w:firstLineChars="200"/>
              <w:jc w:val="cente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表</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4-3</w:t>
            </w: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热力生产和供应行业产污系数表-燃煤工业锅炉</w:t>
            </w:r>
          </w:p>
          <w:tbl>
            <w:tblPr>
              <w:tblStyle w:val="13"/>
              <w:tblW w:w="4998"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1124"/>
              <w:gridCol w:w="1147"/>
              <w:gridCol w:w="1704"/>
              <w:gridCol w:w="1636"/>
              <w:gridCol w:w="1171"/>
            </w:tblGrid>
            <w:tr w14:paraId="4EB1FCB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9" w:type="pct"/>
                  <w:tcBorders>
                    <w:tl2br w:val="nil"/>
                    <w:tr2bl w:val="nil"/>
                  </w:tcBorders>
                  <w:noWrap w:val="0"/>
                  <w:vAlign w:val="center"/>
                </w:tcPr>
                <w:p w14:paraId="1CEDEB73">
                  <w:pPr>
                    <w:adjustRightInd w:val="0"/>
                    <w:snapToGrid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产品名称</w:t>
                  </w:r>
                </w:p>
              </w:tc>
              <w:tc>
                <w:tcPr>
                  <w:tcW w:w="694" w:type="pct"/>
                  <w:tcBorders>
                    <w:tl2br w:val="nil"/>
                    <w:tr2bl w:val="nil"/>
                  </w:tcBorders>
                  <w:noWrap w:val="0"/>
                  <w:vAlign w:val="center"/>
                </w:tcPr>
                <w:p w14:paraId="2C58D0CB">
                  <w:pPr>
                    <w:adjustRightInd w:val="0"/>
                    <w:snapToGrid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原料名称</w:t>
                  </w:r>
                </w:p>
              </w:tc>
              <w:tc>
                <w:tcPr>
                  <w:tcW w:w="708" w:type="pct"/>
                  <w:tcBorders>
                    <w:tl2br w:val="nil"/>
                    <w:tr2bl w:val="nil"/>
                  </w:tcBorders>
                  <w:noWrap w:val="0"/>
                  <w:vAlign w:val="center"/>
                </w:tcPr>
                <w:p w14:paraId="03AC31E3">
                  <w:pPr>
                    <w:adjustRightInd w:val="0"/>
                    <w:snapToGrid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规模等级</w:t>
                  </w:r>
                </w:p>
              </w:tc>
              <w:tc>
                <w:tcPr>
                  <w:tcW w:w="1052" w:type="pct"/>
                  <w:tcBorders>
                    <w:tl2br w:val="nil"/>
                    <w:tr2bl w:val="nil"/>
                  </w:tcBorders>
                  <w:noWrap w:val="0"/>
                  <w:vAlign w:val="center"/>
                </w:tcPr>
                <w:p w14:paraId="441CE44D">
                  <w:pPr>
                    <w:adjustRightInd w:val="0"/>
                    <w:snapToGrid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污染物指标</w:t>
                  </w:r>
                </w:p>
              </w:tc>
              <w:tc>
                <w:tcPr>
                  <w:tcW w:w="1010" w:type="pct"/>
                  <w:tcBorders>
                    <w:tl2br w:val="nil"/>
                    <w:tr2bl w:val="nil"/>
                  </w:tcBorders>
                  <w:noWrap w:val="0"/>
                  <w:vAlign w:val="center"/>
                </w:tcPr>
                <w:p w14:paraId="1C53B29E">
                  <w:pPr>
                    <w:adjustRightInd w:val="0"/>
                    <w:snapToGrid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单位</w:t>
                  </w:r>
                </w:p>
              </w:tc>
              <w:tc>
                <w:tcPr>
                  <w:tcW w:w="723" w:type="pct"/>
                  <w:tcBorders>
                    <w:tl2br w:val="nil"/>
                    <w:tr2bl w:val="nil"/>
                  </w:tcBorders>
                  <w:noWrap w:val="0"/>
                  <w:vAlign w:val="center"/>
                </w:tcPr>
                <w:p w14:paraId="03DFD9B2">
                  <w:pPr>
                    <w:adjustRightInd w:val="0"/>
                    <w:snapToGrid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产污系数</w:t>
                  </w:r>
                </w:p>
              </w:tc>
            </w:tr>
            <w:tr w14:paraId="2E805B1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9" w:type="pct"/>
                  <w:tcBorders>
                    <w:tl2br w:val="nil"/>
                    <w:tr2bl w:val="nil"/>
                  </w:tcBorders>
                  <w:noWrap w:val="0"/>
                  <w:vAlign w:val="center"/>
                </w:tcPr>
                <w:p w14:paraId="23A66ACB">
                  <w:pPr>
                    <w:adjustRightInd w:val="0"/>
                    <w:snapToGrid w:val="0"/>
                    <w:spacing w:line="240" w:lineRule="auto"/>
                    <w:ind w:firstLine="0" w:firstLineChars="0"/>
                    <w:jc w:val="cente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蒸汽/热水/其他</w:t>
                  </w:r>
                </w:p>
              </w:tc>
              <w:tc>
                <w:tcPr>
                  <w:tcW w:w="694" w:type="pct"/>
                  <w:tcBorders>
                    <w:tl2br w:val="nil"/>
                    <w:tr2bl w:val="nil"/>
                  </w:tcBorders>
                  <w:noWrap w:val="0"/>
                  <w:vAlign w:val="center"/>
                </w:tcPr>
                <w:p w14:paraId="4353D4E2">
                  <w:pPr>
                    <w:adjustRightInd w:val="0"/>
                    <w:snapToGrid w:val="0"/>
                    <w:spacing w:line="240" w:lineRule="auto"/>
                    <w:ind w:firstLine="0" w:firstLineChars="0"/>
                    <w:jc w:val="cente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生物质燃料</w:t>
                  </w:r>
                </w:p>
              </w:tc>
              <w:tc>
                <w:tcPr>
                  <w:tcW w:w="708" w:type="pct"/>
                  <w:tcBorders>
                    <w:tl2br w:val="nil"/>
                    <w:tr2bl w:val="nil"/>
                  </w:tcBorders>
                  <w:noWrap w:val="0"/>
                  <w:vAlign w:val="center"/>
                </w:tcPr>
                <w:p w14:paraId="0D8D030B">
                  <w:pPr>
                    <w:adjustRightInd w:val="0"/>
                    <w:snapToGrid w:val="0"/>
                    <w:spacing w:line="240" w:lineRule="auto"/>
                    <w:ind w:firstLine="0" w:firstLineChars="0"/>
                    <w:jc w:val="cente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所有规模</w:t>
                  </w:r>
                </w:p>
              </w:tc>
              <w:tc>
                <w:tcPr>
                  <w:tcW w:w="1052" w:type="pct"/>
                  <w:tcBorders>
                    <w:tl2br w:val="nil"/>
                    <w:tr2bl w:val="nil"/>
                  </w:tcBorders>
                  <w:noWrap w:val="0"/>
                  <w:vAlign w:val="center"/>
                </w:tcPr>
                <w:p w14:paraId="55F1AF39">
                  <w:pPr>
                    <w:adjustRightInd w:val="0"/>
                    <w:snapToGrid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氮氧化物</w:t>
                  </w:r>
                </w:p>
              </w:tc>
              <w:tc>
                <w:tcPr>
                  <w:tcW w:w="1010" w:type="pct"/>
                  <w:tcBorders>
                    <w:tl2br w:val="nil"/>
                    <w:tr2bl w:val="nil"/>
                  </w:tcBorders>
                  <w:noWrap w:val="0"/>
                  <w:vAlign w:val="center"/>
                </w:tcPr>
                <w:p w14:paraId="11D5CAAE">
                  <w:pPr>
                    <w:adjustRightInd w:val="0"/>
                    <w:snapToGrid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千克/吨-原料</w:t>
                  </w:r>
                </w:p>
              </w:tc>
              <w:tc>
                <w:tcPr>
                  <w:tcW w:w="723" w:type="pct"/>
                  <w:tcBorders>
                    <w:tl2br w:val="nil"/>
                    <w:tr2bl w:val="nil"/>
                  </w:tcBorders>
                  <w:noWrap w:val="0"/>
                  <w:vAlign w:val="center"/>
                </w:tcPr>
                <w:p w14:paraId="67ABF94A">
                  <w:pPr>
                    <w:adjustRightInd w:val="0"/>
                    <w:snapToGrid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1.02</w:t>
                  </w:r>
                </w:p>
              </w:tc>
            </w:tr>
          </w:tbl>
          <w:p w14:paraId="4BADD45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经计算，本项目锅炉氮氧化物产生浓度为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136.60</w:t>
            </w:r>
            <w:r>
              <w:rPr>
                <w:rFonts w:hint="default" w:ascii="Times New Roman" w:hAnsi="Times New Roman" w:eastAsia="宋体" w:cs="Times New Roman"/>
                <w:color w:val="000000" w:themeColor="text1"/>
                <w:sz w:val="24"/>
                <w:szCs w:val="24"/>
                <w:highlight w:val="none"/>
                <w14:textFill>
                  <w14:solidFill>
                    <w14:schemeClr w14:val="tx1"/>
                  </w14:solidFill>
                </w14:textFill>
              </w:rPr>
              <w:t>mg/m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，产生量为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0.459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kg/h，</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1.983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t/a；氮氧化物排放浓度为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136.60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，排放量为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0.459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kg/h，</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1.983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t/a。</w:t>
            </w:r>
          </w:p>
          <w:p w14:paraId="35F595F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汞及其化合物：本项目燃烧生物质成型颗粒，</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分析报告中未给出汞的含量，根据《直接法测定固体生物质燃料中汞的试验研究》(煤质技术，2020年)可知，生物质汞含量为 15.47ng/g，生物质燃料汞合量极低，故本次不考虑汞的排放。</w:t>
            </w:r>
          </w:p>
          <w:p w14:paraId="3D7BC08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000000" w:themeColor="text1"/>
                <w:kern w:val="0"/>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②</w:t>
            </w:r>
            <w:r>
              <w:rPr>
                <w:rFonts w:hint="default" w:ascii="Times New Roman" w:hAnsi="Times New Roman" w:eastAsia="宋体" w:cs="Times New Roman"/>
                <w:bCs/>
                <w:color w:val="000000" w:themeColor="text1"/>
                <w:kern w:val="0"/>
                <w:sz w:val="24"/>
                <w:szCs w:val="24"/>
                <w:highlight w:val="none"/>
                <w:lang w:val="en-US" w:eastAsia="zh-CN"/>
                <w14:textFill>
                  <w14:solidFill>
                    <w14:schemeClr w14:val="tx1"/>
                  </w14:solidFill>
                </w14:textFill>
              </w:rPr>
              <w:t>锅炉</w:t>
            </w:r>
            <w:r>
              <w:rPr>
                <w:rFonts w:hint="default" w:ascii="Times New Roman" w:hAnsi="Times New Roman" w:eastAsia="宋体" w:cs="Times New Roman"/>
                <w:bCs/>
                <w:color w:val="000000" w:themeColor="text1"/>
                <w:kern w:val="0"/>
                <w:sz w:val="24"/>
                <w:szCs w:val="24"/>
                <w:highlight w:val="none"/>
                <w:lang w:eastAsia="zh-CN"/>
                <w14:textFill>
                  <w14:solidFill>
                    <w14:schemeClr w14:val="tx1"/>
                  </w14:solidFill>
                </w14:textFill>
              </w:rPr>
              <w:t>灰渣储运扬尘</w:t>
            </w:r>
          </w:p>
          <w:p w14:paraId="145B875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bCs/>
                <w:color w:val="FF0000"/>
                <w:kern w:val="0"/>
                <w:sz w:val="24"/>
                <w:szCs w:val="24"/>
                <w:highlight w:val="none"/>
                <w:lang w:eastAsia="zh-CN"/>
              </w:rPr>
              <w:t>本项目</w:t>
            </w:r>
            <w:r>
              <w:rPr>
                <w:rFonts w:hint="default" w:ascii="Times New Roman" w:hAnsi="Times New Roman" w:eastAsia="宋体" w:cs="Times New Roman"/>
                <w:bCs/>
                <w:color w:val="FF0000"/>
                <w:kern w:val="0"/>
                <w:sz w:val="24"/>
                <w:szCs w:val="24"/>
                <w:highlight w:val="none"/>
                <w:lang w:val="en-US" w:eastAsia="zh-CN"/>
              </w:rPr>
              <w:t>锅炉</w:t>
            </w:r>
            <w:r>
              <w:rPr>
                <w:rFonts w:hint="default" w:ascii="Times New Roman" w:hAnsi="Times New Roman" w:eastAsia="宋体" w:cs="Times New Roman"/>
                <w:bCs/>
                <w:color w:val="FF0000"/>
                <w:kern w:val="0"/>
                <w:sz w:val="24"/>
                <w:szCs w:val="24"/>
                <w:highlight w:val="none"/>
                <w:lang w:eastAsia="zh-CN"/>
              </w:rPr>
              <w:t>灰渣储存在</w:t>
            </w:r>
            <w:r>
              <w:rPr>
                <w:rFonts w:hint="default" w:ascii="Times New Roman" w:hAnsi="Times New Roman" w:eastAsia="宋体" w:cs="Times New Roman"/>
                <w:bCs/>
                <w:color w:val="FF0000"/>
                <w:kern w:val="0"/>
                <w:sz w:val="24"/>
                <w:szCs w:val="24"/>
                <w:highlight w:val="none"/>
                <w:lang w:val="en-US" w:eastAsia="zh-CN"/>
              </w:rPr>
              <w:t>库</w:t>
            </w:r>
            <w:r>
              <w:rPr>
                <w:rFonts w:hint="default" w:ascii="Times New Roman" w:hAnsi="Times New Roman" w:eastAsia="宋体" w:cs="Times New Roman"/>
                <w:bCs/>
                <w:color w:val="FF0000"/>
                <w:kern w:val="0"/>
                <w:sz w:val="24"/>
                <w:szCs w:val="24"/>
                <w:highlight w:val="none"/>
                <w:lang w:eastAsia="zh-CN"/>
              </w:rPr>
              <w:t>房内，灰渣储存及外运过程将产生扬尘，对灰渣暂存位置、灰渣装运过程采取洒水降尘措施，</w:t>
            </w:r>
            <w:r>
              <w:rPr>
                <w:rFonts w:hint="eastAsia" w:cs="Times New Roman"/>
                <w:bCs/>
                <w:color w:val="FF0000"/>
                <w:kern w:val="0"/>
                <w:sz w:val="24"/>
                <w:szCs w:val="24"/>
                <w:highlight w:val="none"/>
                <w:lang w:val="en-US" w:eastAsia="zh-CN"/>
              </w:rPr>
              <w:t>每天洒水5次，</w:t>
            </w:r>
            <w:r>
              <w:rPr>
                <w:rFonts w:hint="default" w:ascii="Times New Roman" w:hAnsi="Times New Roman" w:eastAsia="宋体" w:cs="Times New Roman"/>
                <w:bCs/>
                <w:color w:val="FF0000"/>
                <w:kern w:val="0"/>
                <w:sz w:val="24"/>
                <w:szCs w:val="24"/>
                <w:highlight w:val="none"/>
                <w:lang w:eastAsia="zh-CN"/>
              </w:rPr>
              <w:t>可有效控制扬尘污染，本次不对其进行定量分析。</w:t>
            </w:r>
          </w:p>
          <w:p w14:paraId="5332004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（3）排放口基本情况</w:t>
            </w:r>
          </w:p>
          <w:p w14:paraId="69CBD232">
            <w:pPr>
              <w:adjustRightInd w:val="0"/>
              <w:snapToGrid w:val="0"/>
              <w:jc w:val="cente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t>表4-</w:t>
            </w:r>
            <w:r>
              <w:rPr>
                <w:rFonts w:hint="default" w:ascii="Times New Roman" w:hAnsi="Times New Roman" w:cs="Times New Roman"/>
                <w:b/>
                <w:bCs w:val="0"/>
                <w:color w:val="000000" w:themeColor="text1"/>
                <w:spacing w:val="0"/>
                <w:sz w:val="24"/>
                <w:szCs w:val="24"/>
                <w:highlight w:val="none"/>
                <w:lang w:val="en-US" w:eastAsia="zh-CN"/>
                <w14:textFill>
                  <w14:solidFill>
                    <w14:schemeClr w14:val="tx1"/>
                  </w14:solidFill>
                </w14:textFill>
              </w:rPr>
              <w:t>4</w:t>
            </w:r>
            <w: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t>排放口基本情况表</w:t>
            </w:r>
          </w:p>
          <w:tbl>
            <w:tblPr>
              <w:tblStyle w:val="13"/>
              <w:tblW w:w="4996"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35"/>
              <w:gridCol w:w="545"/>
              <w:gridCol w:w="1182"/>
              <w:gridCol w:w="1132"/>
              <w:gridCol w:w="736"/>
              <w:gridCol w:w="736"/>
              <w:gridCol w:w="790"/>
              <w:gridCol w:w="571"/>
              <w:gridCol w:w="1761"/>
            </w:tblGrid>
            <w:tr w14:paraId="6D46A34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7" w:hRule="atLeast"/>
                <w:tblHeader/>
                <w:jc w:val="center"/>
              </w:trPr>
              <w:tc>
                <w:tcPr>
                  <w:tcW w:w="624" w:type="dxa"/>
                  <w:vMerge w:val="restart"/>
                  <w:tcBorders>
                    <w:tl2br w:val="nil"/>
                    <w:tr2bl w:val="nil"/>
                  </w:tcBorders>
                  <w:noWrap w:val="0"/>
                  <w:vAlign w:val="center"/>
                </w:tcPr>
                <w:p w14:paraId="636B37B2">
                  <w:pPr>
                    <w:jc w:val="cente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pPr>
                  <w: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t>排放口编号</w:t>
                  </w:r>
                </w:p>
              </w:tc>
              <w:tc>
                <w:tcPr>
                  <w:tcW w:w="536" w:type="dxa"/>
                  <w:vMerge w:val="restart"/>
                  <w:tcBorders>
                    <w:tl2br w:val="nil"/>
                    <w:tr2bl w:val="nil"/>
                  </w:tcBorders>
                  <w:noWrap w:val="0"/>
                  <w:vAlign w:val="center"/>
                </w:tcPr>
                <w:p w14:paraId="3D74038E">
                  <w:pPr>
                    <w:jc w:val="cente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pPr>
                  <w: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t>排放口名称</w:t>
                  </w:r>
                </w:p>
              </w:tc>
              <w:tc>
                <w:tcPr>
                  <w:tcW w:w="2275" w:type="dxa"/>
                  <w:gridSpan w:val="2"/>
                  <w:tcBorders>
                    <w:tl2br w:val="nil"/>
                    <w:tr2bl w:val="nil"/>
                  </w:tcBorders>
                  <w:noWrap w:val="0"/>
                  <w:vAlign w:val="center"/>
                </w:tcPr>
                <w:p w14:paraId="3594BE28">
                  <w:pPr>
                    <w:jc w:val="cente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pPr>
                  <w: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t>排放口地理坐标</w:t>
                  </w:r>
                </w:p>
              </w:tc>
              <w:tc>
                <w:tcPr>
                  <w:tcW w:w="724" w:type="dxa"/>
                  <w:vMerge w:val="restart"/>
                  <w:tcBorders>
                    <w:tl2br w:val="nil"/>
                    <w:tr2bl w:val="nil"/>
                  </w:tcBorders>
                  <w:noWrap w:val="0"/>
                  <w:vAlign w:val="center"/>
                </w:tcPr>
                <w:p w14:paraId="5A610523">
                  <w:pPr>
                    <w:jc w:val="cente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pPr>
                  <w: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t>排气筒高度（m）</w:t>
                  </w:r>
                </w:p>
              </w:tc>
              <w:tc>
                <w:tcPr>
                  <w:tcW w:w="724" w:type="dxa"/>
                  <w:vMerge w:val="restart"/>
                  <w:tcBorders>
                    <w:tl2br w:val="nil"/>
                    <w:tr2bl w:val="nil"/>
                  </w:tcBorders>
                  <w:noWrap w:val="0"/>
                  <w:vAlign w:val="center"/>
                </w:tcPr>
                <w:p w14:paraId="640C6B08">
                  <w:pPr>
                    <w:jc w:val="cente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pPr>
                  <w: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t>排气筒出口内径（m）</w:t>
                  </w:r>
                </w:p>
              </w:tc>
              <w:tc>
                <w:tcPr>
                  <w:tcW w:w="777" w:type="dxa"/>
                  <w:vMerge w:val="restart"/>
                  <w:tcBorders>
                    <w:tl2br w:val="nil"/>
                    <w:tr2bl w:val="nil"/>
                  </w:tcBorders>
                  <w:noWrap w:val="0"/>
                  <w:vAlign w:val="center"/>
                </w:tcPr>
                <w:p w14:paraId="282A724F">
                  <w:pPr>
                    <w:jc w:val="cente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pPr>
                  <w: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t>排气温度（℃）</w:t>
                  </w:r>
                </w:p>
              </w:tc>
              <w:tc>
                <w:tcPr>
                  <w:tcW w:w="561" w:type="dxa"/>
                  <w:vMerge w:val="restart"/>
                  <w:tcBorders>
                    <w:tl2br w:val="nil"/>
                    <w:tr2bl w:val="nil"/>
                  </w:tcBorders>
                  <w:noWrap w:val="0"/>
                  <w:vAlign w:val="center"/>
                </w:tcPr>
                <w:p w14:paraId="493AE83F">
                  <w:pPr>
                    <w:jc w:val="center"/>
                    <w:rPr>
                      <w:rFonts w:hint="default" w:ascii="Times New Roman" w:hAnsi="Times New Roman" w:eastAsia="宋体" w:cs="Times New Roman"/>
                      <w:color w:val="000000" w:themeColor="text1"/>
                      <w:spacing w:val="0"/>
                      <w:sz w:val="18"/>
                      <w:szCs w:val="18"/>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sz w:val="18"/>
                      <w:szCs w:val="18"/>
                      <w:highlight w:val="none"/>
                      <w:lang w:eastAsia="zh-CN"/>
                      <w14:textFill>
                        <w14:solidFill>
                          <w14:schemeClr w14:val="tx1"/>
                        </w14:solidFill>
                      </w14:textFill>
                    </w:rPr>
                    <w:t>类型</w:t>
                  </w:r>
                </w:p>
              </w:tc>
              <w:tc>
                <w:tcPr>
                  <w:tcW w:w="1732" w:type="dxa"/>
                  <w:vMerge w:val="restart"/>
                  <w:tcBorders>
                    <w:tl2br w:val="nil"/>
                    <w:tr2bl w:val="nil"/>
                  </w:tcBorders>
                  <w:noWrap w:val="0"/>
                  <w:vAlign w:val="center"/>
                </w:tcPr>
                <w:p w14:paraId="3DC64B71">
                  <w:pPr>
                    <w:jc w:val="center"/>
                    <w:rPr>
                      <w:rFonts w:hint="default" w:ascii="Times New Roman" w:hAnsi="Times New Roman" w:eastAsia="宋体" w:cs="Times New Roman"/>
                      <w:color w:val="000000" w:themeColor="text1"/>
                      <w:spacing w:val="0"/>
                      <w:sz w:val="18"/>
                      <w:szCs w:val="18"/>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sz w:val="18"/>
                      <w:szCs w:val="18"/>
                      <w:highlight w:val="none"/>
                      <w:lang w:eastAsia="zh-CN"/>
                      <w14:textFill>
                        <w14:solidFill>
                          <w14:schemeClr w14:val="tx1"/>
                        </w14:solidFill>
                      </w14:textFill>
                    </w:rPr>
                    <w:t>执行标准</w:t>
                  </w:r>
                </w:p>
              </w:tc>
            </w:tr>
            <w:tr w14:paraId="096EA83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2" w:hRule="atLeast"/>
                <w:tblHeader/>
                <w:jc w:val="center"/>
              </w:trPr>
              <w:tc>
                <w:tcPr>
                  <w:tcW w:w="624" w:type="dxa"/>
                  <w:vMerge w:val="continue"/>
                  <w:tcBorders>
                    <w:tl2br w:val="nil"/>
                    <w:tr2bl w:val="nil"/>
                  </w:tcBorders>
                  <w:noWrap w:val="0"/>
                  <w:vAlign w:val="center"/>
                </w:tcPr>
                <w:p w14:paraId="1DC3CDBC">
                  <w:pPr>
                    <w:jc w:val="cente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pPr>
                </w:p>
              </w:tc>
              <w:tc>
                <w:tcPr>
                  <w:tcW w:w="536" w:type="dxa"/>
                  <w:vMerge w:val="continue"/>
                  <w:tcBorders>
                    <w:tl2br w:val="nil"/>
                    <w:tr2bl w:val="nil"/>
                  </w:tcBorders>
                  <w:noWrap w:val="0"/>
                  <w:vAlign w:val="center"/>
                </w:tcPr>
                <w:p w14:paraId="68D594ED">
                  <w:pPr>
                    <w:jc w:val="cente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pPr>
                </w:p>
              </w:tc>
              <w:tc>
                <w:tcPr>
                  <w:tcW w:w="1162" w:type="dxa"/>
                  <w:tcBorders>
                    <w:tl2br w:val="nil"/>
                    <w:tr2bl w:val="nil"/>
                  </w:tcBorders>
                  <w:noWrap w:val="0"/>
                  <w:vAlign w:val="center"/>
                </w:tcPr>
                <w:p w14:paraId="2AE4BDB4">
                  <w:pPr>
                    <w:jc w:val="cente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pPr>
                  <w: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t>经度</w:t>
                  </w:r>
                </w:p>
              </w:tc>
              <w:tc>
                <w:tcPr>
                  <w:tcW w:w="1113" w:type="dxa"/>
                  <w:tcBorders>
                    <w:tl2br w:val="nil"/>
                    <w:tr2bl w:val="nil"/>
                  </w:tcBorders>
                  <w:noWrap w:val="0"/>
                  <w:vAlign w:val="center"/>
                </w:tcPr>
                <w:p w14:paraId="6048BC32">
                  <w:pPr>
                    <w:jc w:val="cente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pPr>
                  <w: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t>纬度</w:t>
                  </w:r>
                </w:p>
              </w:tc>
              <w:tc>
                <w:tcPr>
                  <w:tcW w:w="724" w:type="dxa"/>
                  <w:vMerge w:val="continue"/>
                  <w:tcBorders>
                    <w:tl2br w:val="nil"/>
                    <w:tr2bl w:val="nil"/>
                  </w:tcBorders>
                  <w:noWrap w:val="0"/>
                  <w:vAlign w:val="center"/>
                </w:tcPr>
                <w:p w14:paraId="44DD83A4">
                  <w:pPr>
                    <w:jc w:val="cente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pPr>
                </w:p>
              </w:tc>
              <w:tc>
                <w:tcPr>
                  <w:tcW w:w="724" w:type="dxa"/>
                  <w:vMerge w:val="continue"/>
                  <w:tcBorders>
                    <w:tl2br w:val="nil"/>
                    <w:tr2bl w:val="nil"/>
                  </w:tcBorders>
                  <w:noWrap w:val="0"/>
                  <w:vAlign w:val="center"/>
                </w:tcPr>
                <w:p w14:paraId="1E904486">
                  <w:pPr>
                    <w:jc w:val="cente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pPr>
                </w:p>
              </w:tc>
              <w:tc>
                <w:tcPr>
                  <w:tcW w:w="777" w:type="dxa"/>
                  <w:vMerge w:val="continue"/>
                  <w:tcBorders>
                    <w:tl2br w:val="nil"/>
                    <w:tr2bl w:val="nil"/>
                  </w:tcBorders>
                  <w:noWrap w:val="0"/>
                  <w:vAlign w:val="center"/>
                </w:tcPr>
                <w:p w14:paraId="35A8596D">
                  <w:pPr>
                    <w:jc w:val="cente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pPr>
                </w:p>
              </w:tc>
              <w:tc>
                <w:tcPr>
                  <w:tcW w:w="561" w:type="dxa"/>
                  <w:vMerge w:val="continue"/>
                  <w:tcBorders>
                    <w:tl2br w:val="nil"/>
                    <w:tr2bl w:val="nil"/>
                  </w:tcBorders>
                  <w:noWrap w:val="0"/>
                  <w:vAlign w:val="center"/>
                </w:tcPr>
                <w:p w14:paraId="38904AE0">
                  <w:pPr>
                    <w:jc w:val="cente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pPr>
                </w:p>
              </w:tc>
              <w:tc>
                <w:tcPr>
                  <w:tcW w:w="1732" w:type="dxa"/>
                  <w:vMerge w:val="continue"/>
                  <w:tcBorders>
                    <w:tl2br w:val="nil"/>
                    <w:tr2bl w:val="nil"/>
                  </w:tcBorders>
                  <w:noWrap w:val="0"/>
                  <w:vAlign w:val="center"/>
                </w:tcPr>
                <w:p w14:paraId="6C442C3C">
                  <w:pPr>
                    <w:jc w:val="center"/>
                    <w:rPr>
                      <w:rFonts w:hint="default" w:ascii="Times New Roman" w:hAnsi="Times New Roman" w:eastAsia="宋体" w:cs="Times New Roman"/>
                      <w:color w:val="000000" w:themeColor="text1"/>
                      <w:spacing w:val="0"/>
                      <w:sz w:val="18"/>
                      <w:szCs w:val="18"/>
                      <w:highlight w:val="none"/>
                      <w14:textFill>
                        <w14:solidFill>
                          <w14:schemeClr w14:val="tx1"/>
                        </w14:solidFill>
                      </w14:textFill>
                    </w:rPr>
                  </w:pPr>
                </w:p>
              </w:tc>
            </w:tr>
            <w:tr w14:paraId="28B1AF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2" w:hRule="atLeast"/>
                <w:tblHeader/>
                <w:jc w:val="center"/>
              </w:trPr>
              <w:tc>
                <w:tcPr>
                  <w:tcW w:w="624" w:type="dxa"/>
                  <w:tcBorders>
                    <w:tl2br w:val="nil"/>
                    <w:tr2bl w:val="nil"/>
                  </w:tcBorders>
                  <w:noWrap w:val="0"/>
                  <w:vAlign w:val="center"/>
                </w:tcPr>
                <w:p w14:paraId="14DC4EF0">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DA001</w:t>
                  </w:r>
                </w:p>
              </w:tc>
              <w:tc>
                <w:tcPr>
                  <w:tcW w:w="536" w:type="dxa"/>
                  <w:tcBorders>
                    <w:tl2br w:val="nil"/>
                    <w:tr2bl w:val="nil"/>
                  </w:tcBorders>
                  <w:noWrap w:val="0"/>
                  <w:vAlign w:val="center"/>
                </w:tcPr>
                <w:p w14:paraId="7075A0CF">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烟囱</w:t>
                  </w:r>
                </w:p>
              </w:tc>
              <w:tc>
                <w:tcPr>
                  <w:tcW w:w="1162" w:type="dxa"/>
                  <w:tcBorders>
                    <w:tl2br w:val="nil"/>
                    <w:tr2bl w:val="nil"/>
                  </w:tcBorders>
                  <w:noWrap w:val="0"/>
                  <w:vAlign w:val="center"/>
                </w:tcPr>
                <w:p w14:paraId="76BD39E0">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131.17224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1113" w:type="dxa"/>
                  <w:tcBorders>
                    <w:tl2br w:val="nil"/>
                    <w:tr2bl w:val="nil"/>
                  </w:tcBorders>
                  <w:noWrap w:val="0"/>
                  <w:vAlign w:val="center"/>
                </w:tcPr>
                <w:p w14:paraId="3FB4808C">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46.60381</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w:t>
                  </w:r>
                </w:p>
              </w:tc>
              <w:tc>
                <w:tcPr>
                  <w:tcW w:w="724" w:type="dxa"/>
                  <w:tcBorders>
                    <w:tl2br w:val="nil"/>
                    <w:tr2bl w:val="nil"/>
                  </w:tcBorders>
                  <w:noWrap w:val="0"/>
                  <w:vAlign w:val="center"/>
                </w:tcPr>
                <w:p w14:paraId="0538EC5B">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30</w:t>
                  </w:r>
                </w:p>
              </w:tc>
              <w:tc>
                <w:tcPr>
                  <w:tcW w:w="724" w:type="dxa"/>
                  <w:tcBorders>
                    <w:tl2br w:val="nil"/>
                    <w:tr2bl w:val="nil"/>
                  </w:tcBorders>
                  <w:noWrap w:val="0"/>
                  <w:vAlign w:val="center"/>
                </w:tcPr>
                <w:p w14:paraId="7F1DC5D8">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0.8</w:t>
                  </w:r>
                </w:p>
              </w:tc>
              <w:tc>
                <w:tcPr>
                  <w:tcW w:w="777" w:type="dxa"/>
                  <w:tcBorders>
                    <w:tl2br w:val="nil"/>
                    <w:tr2bl w:val="nil"/>
                  </w:tcBorders>
                  <w:noWrap w:val="0"/>
                  <w:vAlign w:val="center"/>
                </w:tcPr>
                <w:p w14:paraId="3159459A">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140</w:t>
                  </w:r>
                </w:p>
              </w:tc>
              <w:tc>
                <w:tcPr>
                  <w:tcW w:w="561" w:type="dxa"/>
                  <w:tcBorders>
                    <w:tl2br w:val="nil"/>
                    <w:tr2bl w:val="nil"/>
                  </w:tcBorders>
                  <w:noWrap w:val="0"/>
                  <w:vAlign w:val="center"/>
                </w:tcPr>
                <w:p w14:paraId="4A1403C9">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一般排放口</w:t>
                  </w:r>
                </w:p>
              </w:tc>
              <w:tc>
                <w:tcPr>
                  <w:tcW w:w="1732" w:type="dxa"/>
                  <w:tcBorders>
                    <w:tl2br w:val="nil"/>
                    <w:tr2bl w:val="nil"/>
                  </w:tcBorders>
                  <w:noWrap w:val="0"/>
                  <w:vAlign w:val="center"/>
                </w:tcPr>
                <w:p w14:paraId="30A9575E">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《锅炉大气污染物排放标准》（GB13271-2014）表</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2燃煤</w:t>
                  </w:r>
                </w:p>
              </w:tc>
            </w:tr>
          </w:tbl>
          <w:p w14:paraId="10A3B60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（4）监测要求</w:t>
            </w:r>
          </w:p>
          <w:p w14:paraId="5F3ACF9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pacing w:val="0"/>
                <w:sz w:val="24"/>
                <w:szCs w:val="24"/>
                <w:highlight w:val="none"/>
                <w:lang w:val="en-US" w:eastAsia="zh-CN"/>
                <w14:textFill>
                  <w14:solidFill>
                    <w14:schemeClr w14:val="tx1"/>
                  </w14:solidFill>
                </w14:textFill>
              </w:rPr>
              <w:t>锅炉参照《排污单位自行监测技术指南火力发电及锅炉》（HJ820-2017），</w:t>
            </w: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详见表4-</w:t>
            </w:r>
            <w:r>
              <w:rPr>
                <w:rFonts w:hint="default" w:ascii="Times New Roman" w:hAnsi="Times New Roman" w:cs="Times New Roman"/>
                <w:bCs/>
                <w:color w:val="000000" w:themeColor="text1"/>
                <w:spacing w:val="0"/>
                <w:sz w:val="24"/>
                <w:szCs w:val="24"/>
                <w:highlight w:val="none"/>
                <w:lang w:val="en-US" w:eastAsia="zh-CN"/>
                <w14:textFill>
                  <w14:solidFill>
                    <w14:schemeClr w14:val="tx1"/>
                  </w14:solidFill>
                </w14:textFill>
              </w:rPr>
              <w:t>5</w:t>
            </w: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w:t>
            </w:r>
          </w:p>
          <w:p w14:paraId="4575417D">
            <w:pPr>
              <w:adjustRightInd w:val="0"/>
              <w:snapToGrid w:val="0"/>
              <w:jc w:val="cente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t>表4-</w:t>
            </w:r>
            <w:r>
              <w:rPr>
                <w:rFonts w:hint="default" w:ascii="Times New Roman" w:hAnsi="Times New Roman" w:cs="Times New Roman"/>
                <w:b/>
                <w:bCs w:val="0"/>
                <w:color w:val="000000" w:themeColor="text1"/>
                <w:spacing w:val="0"/>
                <w:sz w:val="24"/>
                <w:szCs w:val="24"/>
                <w:highlight w:val="none"/>
                <w:lang w:val="en-US" w:eastAsia="zh-CN"/>
                <w14:textFill>
                  <w14:solidFill>
                    <w14:schemeClr w14:val="tx1"/>
                  </w14:solidFill>
                </w14:textFill>
              </w:rPr>
              <w:t>5</w:t>
            </w:r>
            <w: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t>监测要求</w:t>
            </w:r>
          </w:p>
          <w:tbl>
            <w:tblPr>
              <w:tblStyle w:val="13"/>
              <w:tblW w:w="0" w:type="auto"/>
              <w:tblInd w:w="5"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46"/>
              <w:gridCol w:w="2647"/>
              <w:gridCol w:w="2648"/>
            </w:tblGrid>
            <w:tr w14:paraId="3A3CA01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46" w:type="dxa"/>
                  <w:tcBorders>
                    <w:top w:val="single" w:color="auto" w:sz="8" w:space="0"/>
                    <w:bottom w:val="single" w:color="auto" w:sz="4" w:space="0"/>
                    <w:right w:val="single" w:color="auto" w:sz="4" w:space="0"/>
                    <w:tl2br w:val="nil"/>
                    <w:tr2bl w:val="nil"/>
                  </w:tcBorders>
                  <w:noWrap w:val="0"/>
                  <w:vAlign w:val="center"/>
                </w:tcPr>
                <w:p w14:paraId="731022B6">
                  <w:pPr>
                    <w:adjustRightInd w:val="0"/>
                    <w:snapToGrid w:val="0"/>
                    <w:jc w:val="cente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t>监测点位</w:t>
                  </w:r>
                </w:p>
              </w:tc>
              <w:tc>
                <w:tcPr>
                  <w:tcW w:w="2647" w:type="dxa"/>
                  <w:tcBorders>
                    <w:top w:val="single" w:color="auto" w:sz="8" w:space="0"/>
                    <w:left w:val="single" w:color="auto" w:sz="4" w:space="0"/>
                    <w:bottom w:val="single" w:color="auto" w:sz="4" w:space="0"/>
                    <w:right w:val="single" w:color="auto" w:sz="4" w:space="0"/>
                    <w:tl2br w:val="nil"/>
                    <w:tr2bl w:val="nil"/>
                  </w:tcBorders>
                  <w:noWrap w:val="0"/>
                  <w:vAlign w:val="center"/>
                </w:tcPr>
                <w:p w14:paraId="68BE7576">
                  <w:pPr>
                    <w:adjustRightInd w:val="0"/>
                    <w:snapToGrid w:val="0"/>
                    <w:jc w:val="cente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t>监测因子</w:t>
                  </w:r>
                </w:p>
              </w:tc>
              <w:tc>
                <w:tcPr>
                  <w:tcW w:w="2648" w:type="dxa"/>
                  <w:tcBorders>
                    <w:top w:val="single" w:color="auto" w:sz="8" w:space="0"/>
                    <w:left w:val="single" w:color="auto" w:sz="4" w:space="0"/>
                    <w:bottom w:val="single" w:color="auto" w:sz="4" w:space="0"/>
                    <w:tl2br w:val="nil"/>
                    <w:tr2bl w:val="nil"/>
                  </w:tcBorders>
                  <w:noWrap w:val="0"/>
                  <w:vAlign w:val="center"/>
                </w:tcPr>
                <w:p w14:paraId="75B0EEAA">
                  <w:pPr>
                    <w:adjustRightInd w:val="0"/>
                    <w:snapToGrid w:val="0"/>
                    <w:jc w:val="cente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t>监测频次</w:t>
                  </w:r>
                </w:p>
              </w:tc>
            </w:tr>
            <w:tr w14:paraId="0993981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46" w:type="dxa"/>
                  <w:tcBorders>
                    <w:top w:val="single" w:color="auto" w:sz="4" w:space="0"/>
                    <w:bottom w:val="single" w:color="auto" w:sz="4" w:space="0"/>
                    <w:right w:val="single" w:color="auto" w:sz="4" w:space="0"/>
                    <w:tl2br w:val="nil"/>
                    <w:tr2bl w:val="nil"/>
                  </w:tcBorders>
                  <w:noWrap w:val="0"/>
                  <w:vAlign w:val="center"/>
                </w:tcPr>
                <w:p w14:paraId="68EB19A8">
                  <w:pPr>
                    <w:adjustRightInd w:val="0"/>
                    <w:snapToGrid w:val="0"/>
                    <w:jc w:val="cente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0"/>
                      <w:sz w:val="21"/>
                      <w:szCs w:val="21"/>
                      <w:highlight w:val="none"/>
                      <w:vertAlign w:val="baseline"/>
                      <w:lang w:val="en-US" w:eastAsia="zh-CN"/>
                      <w14:textFill>
                        <w14:solidFill>
                          <w14:schemeClr w14:val="tx1"/>
                        </w14:solidFill>
                      </w14:textFill>
                    </w:rPr>
                    <w:t>DA001</w:t>
                  </w:r>
                </w:p>
              </w:tc>
              <w:tc>
                <w:tcPr>
                  <w:tcW w:w="264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D2B5D0F">
                  <w:pPr>
                    <w:adjustRightInd w:val="0"/>
                    <w:snapToGrid w:val="0"/>
                    <w:jc w:val="cente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t>颗粒物、SO</w:t>
                  </w:r>
                  <w:r>
                    <w:rPr>
                      <w:rFonts w:hint="default" w:ascii="Times New Roman" w:hAnsi="Times New Roman" w:eastAsia="宋体" w:cs="Times New Roman"/>
                      <w:bCs/>
                      <w:color w:val="000000" w:themeColor="text1"/>
                      <w:spacing w:val="0"/>
                      <w:sz w:val="21"/>
                      <w:szCs w:val="21"/>
                      <w:highlight w:val="none"/>
                      <w:vertAlign w:val="subscript"/>
                      <w:lang w:val="en-US" w:eastAsia="zh-CN"/>
                      <w14:textFill>
                        <w14:solidFill>
                          <w14:schemeClr w14:val="tx1"/>
                        </w14:solidFill>
                      </w14:textFill>
                    </w:rPr>
                    <w:t>2</w:t>
                  </w:r>
                  <w: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t>、NO</w:t>
                  </w:r>
                  <w:r>
                    <w:rPr>
                      <w:rFonts w:hint="default" w:ascii="Times New Roman" w:hAnsi="Times New Roman" w:eastAsia="宋体" w:cs="Times New Roman"/>
                      <w:bCs/>
                      <w:color w:val="000000" w:themeColor="text1"/>
                      <w:spacing w:val="0"/>
                      <w:sz w:val="21"/>
                      <w:szCs w:val="21"/>
                      <w:highlight w:val="none"/>
                      <w:vertAlign w:val="subscript"/>
                      <w:lang w:val="en-US" w:eastAsia="zh-CN"/>
                      <w14:textFill>
                        <w14:solidFill>
                          <w14:schemeClr w14:val="tx1"/>
                        </w14:solidFill>
                      </w14:textFill>
                    </w:rPr>
                    <w:t>X</w:t>
                  </w:r>
                  <w: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t>、烟气黑度</w:t>
                  </w:r>
                </w:p>
              </w:tc>
              <w:tc>
                <w:tcPr>
                  <w:tcW w:w="2648" w:type="dxa"/>
                  <w:tcBorders>
                    <w:top w:val="single" w:color="auto" w:sz="4" w:space="0"/>
                    <w:left w:val="single" w:color="auto" w:sz="4" w:space="0"/>
                    <w:bottom w:val="single" w:color="auto" w:sz="4" w:space="0"/>
                    <w:tl2br w:val="nil"/>
                    <w:tr2bl w:val="nil"/>
                  </w:tcBorders>
                  <w:noWrap w:val="0"/>
                  <w:vAlign w:val="center"/>
                </w:tcPr>
                <w:p w14:paraId="2D1A8CA2">
                  <w:pPr>
                    <w:adjustRightInd w:val="0"/>
                    <w:snapToGrid w:val="0"/>
                    <w:jc w:val="cente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t>1次/月</w:t>
                  </w:r>
                </w:p>
              </w:tc>
            </w:tr>
            <w:tr w14:paraId="335A425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46" w:type="dxa"/>
                  <w:tcBorders>
                    <w:top w:val="single" w:color="auto" w:sz="4" w:space="0"/>
                    <w:bottom w:val="single" w:color="auto" w:sz="4" w:space="0"/>
                    <w:right w:val="single" w:color="auto" w:sz="4" w:space="0"/>
                    <w:tl2br w:val="nil"/>
                    <w:tr2bl w:val="nil"/>
                  </w:tcBorders>
                  <w:noWrap w:val="0"/>
                  <w:vAlign w:val="center"/>
                </w:tcPr>
                <w:p w14:paraId="2E23F2AE">
                  <w:pPr>
                    <w:adjustRightInd w:val="0"/>
                    <w:snapToGrid w:val="0"/>
                    <w:jc w:val="center"/>
                    <w:rPr>
                      <w:rFonts w:hint="default" w:ascii="Times New Roman" w:hAnsi="Times New Roman" w:cs="Times New Roman"/>
                      <w:bCs/>
                      <w:color w:val="000000" w:themeColor="text1"/>
                      <w:spacing w:val="0"/>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0"/>
                      <w:sz w:val="21"/>
                      <w:szCs w:val="21"/>
                      <w:highlight w:val="none"/>
                      <w:vertAlign w:val="baseline"/>
                      <w:lang w:val="en-US" w:eastAsia="zh-CN"/>
                      <w14:textFill>
                        <w14:solidFill>
                          <w14:schemeClr w14:val="tx1"/>
                        </w14:solidFill>
                      </w14:textFill>
                    </w:rPr>
                    <w:t>厂界</w:t>
                  </w:r>
                </w:p>
              </w:tc>
              <w:tc>
                <w:tcPr>
                  <w:tcW w:w="264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F3BCF43">
                  <w:pPr>
                    <w:adjustRightInd w:val="0"/>
                    <w:snapToGrid w:val="0"/>
                    <w:jc w:val="cente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t>颗粒物</w:t>
                  </w:r>
                </w:p>
              </w:tc>
              <w:tc>
                <w:tcPr>
                  <w:tcW w:w="2648" w:type="dxa"/>
                  <w:tcBorders>
                    <w:top w:val="single" w:color="auto" w:sz="4" w:space="0"/>
                    <w:left w:val="single" w:color="auto" w:sz="4" w:space="0"/>
                    <w:bottom w:val="single" w:color="auto" w:sz="4" w:space="0"/>
                    <w:tl2br w:val="nil"/>
                    <w:tr2bl w:val="nil"/>
                  </w:tcBorders>
                  <w:noWrap w:val="0"/>
                  <w:vAlign w:val="center"/>
                </w:tcPr>
                <w:p w14:paraId="33E566A8">
                  <w:pPr>
                    <w:adjustRightInd w:val="0"/>
                    <w:snapToGrid w:val="0"/>
                    <w:jc w:val="cente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0"/>
                      <w:sz w:val="21"/>
                      <w:szCs w:val="21"/>
                      <w:highlight w:val="none"/>
                      <w:vertAlign w:val="baseline"/>
                      <w:lang w:val="en-US" w:eastAsia="zh-CN"/>
                      <w14:textFill>
                        <w14:solidFill>
                          <w14:schemeClr w14:val="tx1"/>
                        </w14:solidFill>
                      </w14:textFill>
                    </w:rPr>
                    <w:t>1次/季</w:t>
                  </w:r>
                </w:p>
              </w:tc>
            </w:tr>
          </w:tbl>
          <w:p w14:paraId="1964626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（5）非正常排放</w:t>
            </w:r>
          </w:p>
          <w:p w14:paraId="57B1EF37">
            <w:pPr>
              <w:keepNext w:val="0"/>
              <w:keepLines w:val="0"/>
              <w:pageBreakBefore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pacing w:val="0"/>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本项目非正常工况主要为</w:t>
            </w:r>
            <w:r>
              <w:rPr>
                <w:rFonts w:hint="eastAsia" w:cs="Times New Roman"/>
                <w:color w:val="000000" w:themeColor="text1"/>
                <w:spacing w:val="0"/>
                <w:sz w:val="24"/>
                <w:szCs w:val="24"/>
                <w:highlight w:val="none"/>
                <w:lang w:val="en-US" w:eastAsia="zh-CN"/>
                <w14:textFill>
                  <w14:solidFill>
                    <w14:schemeClr w14:val="tx1"/>
                  </w14:solidFill>
                </w14:textFill>
              </w:rPr>
              <w:t>旋风除尘器+袋式除尘器</w:t>
            </w:r>
            <w:r>
              <w:rPr>
                <w:rFonts w:hint="default"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损坏，除尘效率降至50％</w:t>
            </w:r>
            <w:r>
              <w:rPr>
                <w:rFonts w:hint="default" w:ascii="Times New Roman" w:hAnsi="Times New Roman" w:eastAsia="宋体" w:cs="Times New Roman"/>
                <w:color w:val="000000" w:themeColor="text1"/>
                <w:spacing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本项目非正常工况设定情景如下：</w:t>
            </w:r>
          </w:p>
          <w:p w14:paraId="07550513">
            <w:pPr>
              <w:spacing w:line="240" w:lineRule="auto"/>
              <w:ind w:firstLine="0" w:firstLineChars="0"/>
              <w:jc w:val="center"/>
              <w:rPr>
                <w:rFonts w:hint="default" w:ascii="Times New Roman" w:hAnsi="Times New Roman" w:eastAsia="宋体" w:cs="Times New Roman"/>
                <w:b/>
                <w:bCs/>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pacing w:val="0"/>
                <w:sz w:val="24"/>
                <w:szCs w:val="24"/>
                <w:highlight w:val="none"/>
                <w:lang w:val="en-US" w:eastAsia="zh-CN"/>
                <w14:textFill>
                  <w14:solidFill>
                    <w14:schemeClr w14:val="tx1"/>
                  </w14:solidFill>
                </w14:textFill>
              </w:rPr>
              <w:t>表4-6非正常排放参数表</w:t>
            </w:r>
          </w:p>
          <w:tbl>
            <w:tblPr>
              <w:tblStyle w:val="13"/>
              <w:tblW w:w="793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64"/>
              <w:gridCol w:w="2126"/>
              <w:gridCol w:w="1132"/>
              <w:gridCol w:w="1282"/>
              <w:gridCol w:w="993"/>
              <w:gridCol w:w="940"/>
            </w:tblGrid>
            <w:tr w14:paraId="2E752F9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64" w:type="dxa"/>
                  <w:tcBorders>
                    <w:tl2br w:val="nil"/>
                    <w:tr2bl w:val="nil"/>
                  </w:tcBorders>
                  <w:noWrap w:val="0"/>
                  <w:vAlign w:val="center"/>
                </w:tcPr>
                <w:p w14:paraId="51BB07B1">
                  <w:pPr>
                    <w:spacing w:line="240" w:lineRule="auto"/>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非正常排放源</w:t>
                  </w:r>
                </w:p>
              </w:tc>
              <w:tc>
                <w:tcPr>
                  <w:tcW w:w="2126" w:type="dxa"/>
                  <w:tcBorders>
                    <w:tl2br w:val="nil"/>
                    <w:tr2bl w:val="nil"/>
                  </w:tcBorders>
                  <w:noWrap w:val="0"/>
                  <w:vAlign w:val="center"/>
                </w:tcPr>
                <w:p w14:paraId="64F93EA1">
                  <w:pPr>
                    <w:spacing w:line="240" w:lineRule="auto"/>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非正常排放原因</w:t>
                  </w:r>
                </w:p>
              </w:tc>
              <w:tc>
                <w:tcPr>
                  <w:tcW w:w="1132" w:type="dxa"/>
                  <w:tcBorders>
                    <w:tl2br w:val="nil"/>
                    <w:tr2bl w:val="nil"/>
                  </w:tcBorders>
                  <w:noWrap w:val="0"/>
                  <w:vAlign w:val="center"/>
                </w:tcPr>
                <w:p w14:paraId="0BF1D859">
                  <w:pPr>
                    <w:spacing w:line="240" w:lineRule="auto"/>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0"/>
                      <w:sz w:val="21"/>
                      <w:szCs w:val="21"/>
                      <w:highlight w:val="none"/>
                      <w14:textFill>
                        <w14:solidFill>
                          <w14:schemeClr w14:val="tx1"/>
                        </w14:solidFill>
                      </w14:textFill>
                    </w:rPr>
                    <w:t>污染物</w:t>
                  </w:r>
                </w:p>
              </w:tc>
              <w:tc>
                <w:tcPr>
                  <w:tcW w:w="1282" w:type="dxa"/>
                  <w:tcBorders>
                    <w:tl2br w:val="nil"/>
                    <w:tr2bl w:val="nil"/>
                  </w:tcBorders>
                  <w:noWrap w:val="0"/>
                  <w:vAlign w:val="center"/>
                </w:tcPr>
                <w:p w14:paraId="3D2D1FB9">
                  <w:pPr>
                    <w:spacing w:line="240" w:lineRule="auto"/>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非正常排放速率/</w:t>
                  </w:r>
                  <w:r>
                    <w:rPr>
                      <w:rFonts w:hint="default" w:ascii="Times New Roman" w:hAnsi="Times New Roman" w:eastAsia="宋体" w:cs="Times New Roman"/>
                      <w:snapToGrid w:val="0"/>
                      <w:color w:val="000000" w:themeColor="text1"/>
                      <w:spacing w:val="0"/>
                      <w:sz w:val="21"/>
                      <w:szCs w:val="21"/>
                      <w:highlight w:val="none"/>
                      <w14:textFill>
                        <w14:solidFill>
                          <w14:schemeClr w14:val="tx1"/>
                        </w14:solidFill>
                      </w14:textFill>
                    </w:rPr>
                    <w:t>kg/h</w:t>
                  </w:r>
                </w:p>
              </w:tc>
              <w:tc>
                <w:tcPr>
                  <w:tcW w:w="993" w:type="dxa"/>
                  <w:tcBorders>
                    <w:tl2br w:val="nil"/>
                    <w:tr2bl w:val="nil"/>
                  </w:tcBorders>
                  <w:noWrap w:val="0"/>
                  <w:vAlign w:val="center"/>
                </w:tcPr>
                <w:p w14:paraId="15997329">
                  <w:pPr>
                    <w:spacing w:line="240" w:lineRule="auto"/>
                    <w:ind w:left="-42" w:leftChars="-20" w:right="-42" w:rightChars="-20"/>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0"/>
                      <w:sz w:val="21"/>
                      <w:szCs w:val="21"/>
                      <w:highlight w:val="none"/>
                      <w14:textFill>
                        <w14:solidFill>
                          <w14:schemeClr w14:val="tx1"/>
                        </w14:solidFill>
                      </w14:textFill>
                    </w:rPr>
                    <w:t>单次持续时间</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default" w:ascii="Times New Roman" w:hAnsi="Times New Roman" w:eastAsia="宋体" w:cs="Times New Roman"/>
                      <w:snapToGrid w:val="0"/>
                      <w:color w:val="000000" w:themeColor="text1"/>
                      <w:spacing w:val="0"/>
                      <w:sz w:val="21"/>
                      <w:szCs w:val="21"/>
                      <w:highlight w:val="none"/>
                      <w14:textFill>
                        <w14:solidFill>
                          <w14:schemeClr w14:val="tx1"/>
                        </w14:solidFill>
                      </w14:textFill>
                    </w:rPr>
                    <w:t>h</w:t>
                  </w:r>
                </w:p>
              </w:tc>
              <w:tc>
                <w:tcPr>
                  <w:tcW w:w="940" w:type="dxa"/>
                  <w:tcBorders>
                    <w:tl2br w:val="nil"/>
                    <w:tr2bl w:val="nil"/>
                  </w:tcBorders>
                  <w:noWrap w:val="0"/>
                  <w:vAlign w:val="center"/>
                </w:tcPr>
                <w:p w14:paraId="4CB24054">
                  <w:pPr>
                    <w:spacing w:line="240" w:lineRule="auto"/>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0"/>
                      <w:sz w:val="21"/>
                      <w:szCs w:val="21"/>
                      <w:highlight w:val="none"/>
                      <w14:textFill>
                        <w14:solidFill>
                          <w14:schemeClr w14:val="tx1"/>
                        </w14:solidFill>
                      </w14:textFill>
                    </w:rPr>
                    <w:t>年发生频次</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/次</w:t>
                  </w:r>
                </w:p>
              </w:tc>
            </w:tr>
            <w:tr w14:paraId="117533C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64" w:type="dxa"/>
                  <w:tcBorders>
                    <w:tl2br w:val="nil"/>
                    <w:tr2bl w:val="nil"/>
                  </w:tcBorders>
                  <w:noWrap w:val="0"/>
                  <w:vAlign w:val="center"/>
                </w:tcPr>
                <w:p w14:paraId="0E7728E4">
                  <w:pPr>
                    <w:jc w:val="center"/>
                    <w:rPr>
                      <w:rFonts w:hint="default" w:ascii="Times New Roman" w:hAnsi="Times New Roman" w:eastAsia="宋体" w:cs="Times New Roman"/>
                      <w:color w:val="000000" w:themeColor="text1"/>
                      <w:spacing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vertAlign w:val="baseline"/>
                      <w:lang w:val="en-US" w:eastAsia="zh-CN"/>
                      <w14:textFill>
                        <w14:solidFill>
                          <w14:schemeClr w14:val="tx1"/>
                        </w14:solidFill>
                      </w14:textFill>
                    </w:rPr>
                    <w:t>DA001</w:t>
                  </w:r>
                </w:p>
              </w:tc>
              <w:tc>
                <w:tcPr>
                  <w:tcW w:w="2126" w:type="dxa"/>
                  <w:tcBorders>
                    <w:tl2br w:val="nil"/>
                    <w:tr2bl w:val="nil"/>
                  </w:tcBorders>
                  <w:noWrap w:val="0"/>
                  <w:vAlign w:val="center"/>
                </w:tcPr>
                <w:p w14:paraId="09190987">
                  <w:pPr>
                    <w:jc w:val="cente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除尘器效率降低50%</w:t>
                  </w:r>
                </w:p>
              </w:tc>
              <w:tc>
                <w:tcPr>
                  <w:tcW w:w="1132" w:type="dxa"/>
                  <w:tcBorders>
                    <w:tl2br w:val="nil"/>
                    <w:tr2bl w:val="nil"/>
                  </w:tcBorders>
                  <w:noWrap w:val="0"/>
                  <w:vAlign w:val="center"/>
                </w:tcPr>
                <w:p w14:paraId="7BA2E086">
                  <w:pPr>
                    <w:spacing w:line="240" w:lineRule="auto"/>
                    <w:jc w:val="center"/>
                    <w:rPr>
                      <w:rFonts w:hint="default" w:ascii="Times New Roman" w:hAnsi="Times New Roman" w:eastAsia="宋体" w:cs="Times New Roman"/>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pacing w:val="0"/>
                      <w:sz w:val="21"/>
                      <w:szCs w:val="21"/>
                      <w:highlight w:val="none"/>
                      <w:lang w:val="en-US" w:eastAsia="zh-CN"/>
                      <w14:textFill>
                        <w14:solidFill>
                          <w14:schemeClr w14:val="tx1"/>
                        </w14:solidFill>
                      </w14:textFill>
                    </w:rPr>
                    <w:t>颗粒物</w:t>
                  </w:r>
                </w:p>
              </w:tc>
              <w:tc>
                <w:tcPr>
                  <w:tcW w:w="1282" w:type="dxa"/>
                  <w:tcBorders>
                    <w:tl2br w:val="nil"/>
                    <w:tr2bl w:val="nil"/>
                  </w:tcBorders>
                  <w:noWrap w:val="0"/>
                  <w:vAlign w:val="center"/>
                </w:tcPr>
                <w:p w14:paraId="639DFB74">
                  <w:pPr>
                    <w:keepNext w:val="0"/>
                    <w:keepLines w:val="0"/>
                    <w:widowControl/>
                    <w:suppressLineNumbers w:val="0"/>
                    <w:spacing w:line="240" w:lineRule="auto"/>
                    <w:jc w:val="center"/>
                    <w:textAlignment w:val="center"/>
                    <w:rPr>
                      <w:rFonts w:hint="default" w:ascii="Times New Roman" w:hAnsi="Times New Roman" w:cs="Times New Roman"/>
                      <w:i w:val="0"/>
                      <w:color w:val="000000" w:themeColor="text1"/>
                      <w:spacing w:val="0"/>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i w:val="0"/>
                      <w:color w:val="000000" w:themeColor="text1"/>
                      <w:spacing w:val="0"/>
                      <w:kern w:val="0"/>
                      <w:sz w:val="21"/>
                      <w:szCs w:val="21"/>
                      <w:highlight w:val="none"/>
                      <w:u w:val="none"/>
                      <w:lang w:val="en-US" w:eastAsia="zh-CN" w:bidi="ar"/>
                      <w14:textFill>
                        <w14:solidFill>
                          <w14:schemeClr w14:val="tx1"/>
                        </w14:solidFill>
                      </w14:textFill>
                    </w:rPr>
                    <w:t>2.28</w:t>
                  </w:r>
                </w:p>
              </w:tc>
              <w:tc>
                <w:tcPr>
                  <w:tcW w:w="993" w:type="dxa"/>
                  <w:tcBorders>
                    <w:tl2br w:val="nil"/>
                    <w:tr2bl w:val="nil"/>
                  </w:tcBorders>
                  <w:noWrap w:val="0"/>
                  <w:vAlign w:val="center"/>
                </w:tcPr>
                <w:p w14:paraId="04D1AA3E">
                  <w:pPr>
                    <w:spacing w:line="240" w:lineRule="auto"/>
                    <w:jc w:val="center"/>
                    <w:textAlignment w:val="cente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0.5</w:t>
                  </w:r>
                </w:p>
              </w:tc>
              <w:tc>
                <w:tcPr>
                  <w:tcW w:w="940" w:type="dxa"/>
                  <w:tcBorders>
                    <w:tl2br w:val="nil"/>
                    <w:tr2bl w:val="nil"/>
                  </w:tcBorders>
                  <w:noWrap w:val="0"/>
                  <w:vAlign w:val="center"/>
                </w:tcPr>
                <w:p w14:paraId="1949B162">
                  <w:pPr>
                    <w:spacing w:line="240" w:lineRule="auto"/>
                    <w:jc w:val="center"/>
                    <w:textAlignment w:val="cente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1</w:t>
                  </w:r>
                </w:p>
              </w:tc>
            </w:tr>
          </w:tbl>
          <w:p w14:paraId="66C87DF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（6）环境影响分析</w:t>
            </w:r>
          </w:p>
          <w:p w14:paraId="21D00A0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本项目所在区域为环境质量达标区，</w:t>
            </w:r>
            <w:r>
              <w:rPr>
                <w:rFonts w:hint="default" w:ascii="Times New Roman" w:hAnsi="Times New Roman" w:cs="Times New Roman"/>
                <w:bCs/>
                <w:color w:val="000000" w:themeColor="text1"/>
                <w:spacing w:val="0"/>
                <w:sz w:val="24"/>
                <w:szCs w:val="24"/>
                <w:highlight w:val="none"/>
                <w:lang w:val="en-US" w:eastAsia="zh-CN"/>
                <w14:textFill>
                  <w14:solidFill>
                    <w14:schemeClr w14:val="tx1"/>
                  </w14:solidFill>
                </w14:textFill>
              </w:rPr>
              <w:t>排放浓度满足《锅炉大气污染物排放标准》（GB13271-2014）表2燃煤锅炉排放限值</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w:t>
            </w:r>
          </w:p>
          <w:p w14:paraId="1FD08142">
            <w:pPr>
              <w:tabs>
                <w:tab w:val="left" w:pos="2395"/>
              </w:tabs>
              <w:spacing w:line="360" w:lineRule="auto"/>
              <w:ind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u w:val="none"/>
                <w14:textFill>
                  <w14:solidFill>
                    <w14:schemeClr w14:val="tx1"/>
                  </w14:solidFill>
                </w14:textFill>
              </w:rPr>
              <w:t>根据《锅炉大气污染物排放标准》</w:t>
            </w:r>
            <w:r>
              <w:rPr>
                <w:rFonts w:hint="eastAsia" w:ascii="Times New Roman" w:hAnsi="Times New Roman" w:cs="Times New Roman"/>
                <w:color w:val="000000" w:themeColor="text1"/>
                <w:sz w:val="24"/>
                <w:u w:val="none"/>
                <w:lang w:eastAsia="zh-CN"/>
                <w14:textFill>
                  <w14:solidFill>
                    <w14:schemeClr w14:val="tx1"/>
                  </w14:solidFill>
                </w14:textFill>
              </w:rPr>
              <w:t>(</w:t>
            </w:r>
            <w:r>
              <w:rPr>
                <w:rFonts w:hint="default" w:ascii="Times New Roman" w:hAnsi="Times New Roman" w:cs="Times New Roman"/>
                <w:color w:val="000000" w:themeColor="text1"/>
                <w:sz w:val="24"/>
                <w:u w:val="none"/>
                <w14:textFill>
                  <w14:solidFill>
                    <w14:schemeClr w14:val="tx1"/>
                  </w14:solidFill>
                </w14:textFill>
              </w:rPr>
              <w:t>GB13271-2014</w:t>
            </w:r>
            <w:r>
              <w:rPr>
                <w:rFonts w:hint="eastAsia" w:ascii="Times New Roman" w:hAnsi="Times New Roman" w:cs="Times New Roman"/>
                <w:color w:val="000000" w:themeColor="text1"/>
                <w:sz w:val="24"/>
                <w:u w:val="none"/>
                <w:lang w:eastAsia="zh-CN"/>
                <w14:textFill>
                  <w14:solidFill>
                    <w14:schemeClr w14:val="tx1"/>
                  </w14:solidFill>
                </w14:textFill>
              </w:rPr>
              <w:t>)</w:t>
            </w:r>
            <w:r>
              <w:rPr>
                <w:rFonts w:hint="default" w:ascii="Times New Roman" w:hAnsi="Times New Roman" w:cs="Times New Roman"/>
                <w:color w:val="000000" w:themeColor="text1"/>
                <w:sz w:val="24"/>
                <w:u w:val="none"/>
                <w14:textFill>
                  <w14:solidFill>
                    <w14:schemeClr w14:val="tx1"/>
                  </w14:solidFill>
                </w14:textFill>
              </w:rPr>
              <w:t>4.5条规定，“每个新建燃煤锅炉房只能设一根烟囱，烟囱高度应根据锅炉房装机总容量，按表4规定执行，燃油、燃气锅炉烟囱不低于8米，锅炉烟囱的具体高度按批复的环境影响评价文件确定。新建锅炉房的烟囱周围半径200m距离内有建筑物时，其烟囱应高出最高建筑物3m以上”，</w:t>
            </w:r>
            <w:r>
              <w:rPr>
                <w:rFonts w:hint="default" w:ascii="Times New Roman" w:hAnsi="Times New Roman" w:cs="Times New Roman"/>
                <w:color w:val="000000" w:themeColor="text1"/>
                <w:sz w:val="24"/>
                <w:szCs w:val="21"/>
                <w:u w:val="none"/>
                <w14:textFill>
                  <w14:solidFill>
                    <w14:schemeClr w14:val="tx1"/>
                  </w14:solidFill>
                </w14:textFill>
              </w:rPr>
              <w:t>参照</w:t>
            </w:r>
            <w:r>
              <w:rPr>
                <w:rFonts w:hint="default" w:ascii="Times New Roman" w:hAnsi="Times New Roman" w:cs="Times New Roman"/>
                <w:color w:val="000000" w:themeColor="text1"/>
                <w:sz w:val="24"/>
                <w:u w:val="none"/>
                <w14:textFill>
                  <w14:solidFill>
                    <w14:schemeClr w14:val="tx1"/>
                  </w14:solidFill>
                </w14:textFill>
              </w:rPr>
              <w:t>《锅炉大气污染物排放标准》</w:t>
            </w:r>
            <w:r>
              <w:rPr>
                <w:rFonts w:hint="eastAsia" w:ascii="Times New Roman" w:hAnsi="Times New Roman" w:cs="Times New Roman"/>
                <w:color w:val="000000" w:themeColor="text1"/>
                <w:sz w:val="24"/>
                <w:u w:val="none"/>
                <w:lang w:eastAsia="zh-CN"/>
                <w14:textFill>
                  <w14:solidFill>
                    <w14:schemeClr w14:val="tx1"/>
                  </w14:solidFill>
                </w14:textFill>
              </w:rPr>
              <w:t>(</w:t>
            </w:r>
            <w:r>
              <w:rPr>
                <w:rFonts w:hint="default" w:ascii="Times New Roman" w:hAnsi="Times New Roman" w:cs="Times New Roman"/>
                <w:color w:val="000000" w:themeColor="text1"/>
                <w:sz w:val="24"/>
                <w:u w:val="none"/>
                <w14:textFill>
                  <w14:solidFill>
                    <w14:schemeClr w14:val="tx1"/>
                  </w14:solidFill>
                </w14:textFill>
              </w:rPr>
              <w:t>GB13271-2014</w:t>
            </w:r>
            <w:r>
              <w:rPr>
                <w:rFonts w:hint="eastAsia" w:ascii="Times New Roman" w:hAnsi="Times New Roman" w:cs="Times New Roman"/>
                <w:color w:val="000000" w:themeColor="text1"/>
                <w:sz w:val="24"/>
                <w:u w:val="none"/>
                <w:lang w:eastAsia="zh-CN"/>
                <w14:textFill>
                  <w14:solidFill>
                    <w14:schemeClr w14:val="tx1"/>
                  </w14:solidFill>
                </w14:textFill>
              </w:rPr>
              <w:t>)</w:t>
            </w:r>
            <w:r>
              <w:rPr>
                <w:rFonts w:hint="default" w:ascii="Times New Roman" w:hAnsi="Times New Roman" w:cs="Times New Roman"/>
                <w:color w:val="000000" w:themeColor="text1"/>
                <w:sz w:val="24"/>
                <w:u w:val="none"/>
                <w14:textFill>
                  <w14:solidFill>
                    <w14:schemeClr w14:val="tx1"/>
                  </w14:solidFill>
                </w14:textFill>
              </w:rPr>
              <w:t>表4燃煤锅炉房烟囱最低允许高度，锅炉房装机总容量为</w:t>
            </w:r>
            <w:r>
              <w:rPr>
                <w:rFonts w:hint="eastAsia" w:ascii="Times New Roman" w:hAnsi="Times New Roman" w:cs="Times New Roman"/>
                <w:color w:val="000000" w:themeColor="text1"/>
                <w:sz w:val="24"/>
                <w:u w:val="none"/>
                <w:lang w:val="en-US" w:eastAsia="zh-CN"/>
                <w14:textFill>
                  <w14:solidFill>
                    <w14:schemeClr w14:val="tx1"/>
                  </w14:solidFill>
                </w14:textFill>
              </w:rPr>
              <w:t>＜2.8MW</w:t>
            </w:r>
            <w:r>
              <w:rPr>
                <w:rFonts w:hint="default" w:ascii="Times New Roman" w:hAnsi="Times New Roman" w:cs="Times New Roman"/>
                <w:color w:val="000000" w:themeColor="text1"/>
                <w:sz w:val="24"/>
                <w:u w:val="none"/>
                <w14:textFill>
                  <w14:solidFill>
                    <w14:schemeClr w14:val="tx1"/>
                  </w14:solidFill>
                </w14:textFill>
              </w:rPr>
              <w:t>，</w:t>
            </w:r>
            <w:r>
              <w:rPr>
                <w:rFonts w:hint="eastAsia" w:ascii="宋体" w:hAnsi="宋体" w:eastAsia="宋体" w:cs="宋体"/>
                <w:color w:val="000000" w:themeColor="text1"/>
                <w:sz w:val="24"/>
                <w:u w:val="none"/>
                <w14:textFill>
                  <w14:solidFill>
                    <w14:schemeClr w14:val="tx1"/>
                  </w14:solidFill>
                </w14:textFill>
              </w:rPr>
              <w:t>≧</w:t>
            </w:r>
            <w:r>
              <w:rPr>
                <w:rFonts w:hint="eastAsia" w:ascii="Times New Roman" w:hAnsi="Times New Roman" w:eastAsia="宋体" w:cs="Times New Roman"/>
                <w:color w:val="000000" w:themeColor="text1"/>
                <w:sz w:val="24"/>
                <w:u w:val="none"/>
                <w:lang w:val="en-US" w:eastAsia="zh-CN"/>
                <w14:textFill>
                  <w14:solidFill>
                    <w14:schemeClr w14:val="tx1"/>
                  </w14:solidFill>
                </w14:textFill>
              </w:rPr>
              <w:t>1.4MW，</w:t>
            </w:r>
            <w:r>
              <w:rPr>
                <w:rFonts w:hint="default" w:ascii="Times New Roman" w:hAnsi="Times New Roman" w:cs="Times New Roman"/>
                <w:color w:val="000000" w:themeColor="text1"/>
                <w:sz w:val="24"/>
                <w:u w:val="none"/>
                <w14:textFill>
                  <w14:solidFill>
                    <w14:schemeClr w14:val="tx1"/>
                  </w14:solidFill>
                </w14:textFill>
              </w:rPr>
              <w:t>烟囱最低允许高度为</w:t>
            </w:r>
            <w:r>
              <w:rPr>
                <w:rFonts w:hint="eastAsia" w:ascii="Times New Roman" w:hAnsi="Times New Roman" w:cs="Times New Roman"/>
                <w:color w:val="000000" w:themeColor="text1"/>
                <w:sz w:val="24"/>
                <w:u w:val="none"/>
                <w:lang w:val="en-US" w:eastAsia="zh-CN"/>
                <w14:textFill>
                  <w14:solidFill>
                    <w14:schemeClr w14:val="tx1"/>
                  </w14:solidFill>
                </w14:textFill>
              </w:rPr>
              <w:t>3</w:t>
            </w:r>
            <w:r>
              <w:rPr>
                <w:rFonts w:hint="default" w:ascii="Times New Roman" w:hAnsi="Times New Roman" w:cs="Times New Roman"/>
                <w:color w:val="000000" w:themeColor="text1"/>
                <w:sz w:val="24"/>
                <w:u w:val="none"/>
                <w:lang w:val="en-US" w:eastAsia="zh-CN"/>
                <w14:textFill>
                  <w14:solidFill>
                    <w14:schemeClr w14:val="tx1"/>
                  </w14:solidFill>
                </w14:textFill>
              </w:rPr>
              <w:t>0</w:t>
            </w:r>
            <w:r>
              <w:rPr>
                <w:rFonts w:hint="default" w:ascii="Times New Roman" w:hAnsi="Times New Roman" w:cs="Times New Roman"/>
                <w:color w:val="000000" w:themeColor="text1"/>
                <w:sz w:val="24"/>
                <w:u w:val="none"/>
                <w14:textFill>
                  <w14:solidFill>
                    <w14:schemeClr w14:val="tx1"/>
                  </w14:solidFill>
                </w14:textFill>
              </w:rPr>
              <w:t>m。本项目</w:t>
            </w:r>
            <w:r>
              <w:rPr>
                <w:rFonts w:hint="default" w:ascii="Times New Roman" w:hAnsi="Times New Roman" w:cs="Times New Roman"/>
                <w:color w:val="000000" w:themeColor="text1"/>
                <w:sz w:val="24"/>
                <w:szCs w:val="21"/>
                <w:u w:val="none"/>
                <w14:textFill>
                  <w14:solidFill>
                    <w14:schemeClr w14:val="tx1"/>
                  </w14:solidFill>
                </w14:textFill>
              </w:rPr>
              <w:t>锅炉房装机容量为</w:t>
            </w:r>
            <w:r>
              <w:rPr>
                <w:rFonts w:hint="eastAsia" w:ascii="Times New Roman" w:hAnsi="Times New Roman" w:cs="Times New Roman"/>
                <w:color w:val="000000" w:themeColor="text1"/>
                <w:sz w:val="24"/>
                <w:szCs w:val="21"/>
                <w:u w:val="none"/>
                <w:lang w:val="en-US" w:eastAsia="zh-CN"/>
                <w14:textFill>
                  <w14:solidFill>
                    <w14:schemeClr w14:val="tx1"/>
                  </w14:solidFill>
                </w14:textFill>
              </w:rPr>
              <w:t>1.75MW</w:t>
            </w:r>
            <w:r>
              <w:rPr>
                <w:rFonts w:hint="default" w:ascii="Times New Roman" w:hAnsi="Times New Roman" w:cs="Times New Roman"/>
                <w:color w:val="000000" w:themeColor="text1"/>
                <w:sz w:val="24"/>
                <w:szCs w:val="21"/>
                <w:u w:val="none"/>
                <w14:textFill>
                  <w14:solidFill>
                    <w14:schemeClr w14:val="tx1"/>
                  </w14:solidFill>
                </w14:textFill>
              </w:rPr>
              <w:t>，且项目周边200m范围内最高建筑物为公司办公楼，高度约为</w:t>
            </w:r>
            <w:r>
              <w:rPr>
                <w:rFonts w:hint="eastAsia" w:ascii="Times New Roman" w:hAnsi="Times New Roman" w:cs="Times New Roman"/>
                <w:color w:val="000000" w:themeColor="text1"/>
                <w:sz w:val="24"/>
                <w:szCs w:val="21"/>
                <w:u w:val="none"/>
                <w:lang w:val="en-US" w:eastAsia="zh-CN"/>
                <w14:textFill>
                  <w14:solidFill>
                    <w14:schemeClr w14:val="tx1"/>
                  </w14:solidFill>
                </w14:textFill>
              </w:rPr>
              <w:t>11</w:t>
            </w:r>
            <w:r>
              <w:rPr>
                <w:rFonts w:hint="default" w:ascii="Times New Roman" w:hAnsi="Times New Roman" w:cs="Times New Roman"/>
                <w:color w:val="000000" w:themeColor="text1"/>
                <w:sz w:val="24"/>
                <w:szCs w:val="21"/>
                <w:u w:val="none"/>
                <w14:textFill>
                  <w14:solidFill>
                    <w14:schemeClr w14:val="tx1"/>
                  </w14:solidFill>
                </w14:textFill>
              </w:rPr>
              <w:t>m，项目排气筒高度</w:t>
            </w:r>
            <w:r>
              <w:rPr>
                <w:rFonts w:hint="eastAsia" w:ascii="Times New Roman" w:hAnsi="Times New Roman" w:cs="Times New Roman"/>
                <w:color w:val="000000" w:themeColor="text1"/>
                <w:sz w:val="24"/>
                <w:szCs w:val="21"/>
                <w:u w:val="none"/>
                <w:lang w:val="en-US" w:eastAsia="zh-CN"/>
                <w14:textFill>
                  <w14:solidFill>
                    <w14:schemeClr w14:val="tx1"/>
                  </w14:solidFill>
                </w14:textFill>
              </w:rPr>
              <w:t>3</w:t>
            </w:r>
            <w:r>
              <w:rPr>
                <w:rFonts w:hint="default" w:ascii="Times New Roman" w:hAnsi="Times New Roman" w:cs="Times New Roman"/>
                <w:color w:val="000000" w:themeColor="text1"/>
                <w:sz w:val="24"/>
                <w:szCs w:val="21"/>
                <w:u w:val="none"/>
                <w:lang w:val="en-US" w:eastAsia="zh-CN"/>
                <w14:textFill>
                  <w14:solidFill>
                    <w14:schemeClr w14:val="tx1"/>
                  </w14:solidFill>
                </w14:textFill>
              </w:rPr>
              <w:t>0</w:t>
            </w:r>
            <w:r>
              <w:rPr>
                <w:rFonts w:hint="default" w:ascii="Times New Roman" w:hAnsi="Times New Roman" w:cs="Times New Roman"/>
                <w:color w:val="000000" w:themeColor="text1"/>
                <w:sz w:val="24"/>
                <w:szCs w:val="21"/>
                <w:u w:val="none"/>
                <w14:textFill>
                  <w14:solidFill>
                    <w14:schemeClr w14:val="tx1"/>
                  </w14:solidFill>
                </w14:textFill>
              </w:rPr>
              <w:t>m，高于周围半径200m范围内的建筑，项目排放的废气能得到及时扩散。</w:t>
            </w:r>
          </w:p>
          <w:p w14:paraId="62AC17CD">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pPr>
            <w:r>
              <w:rPr>
                <w:rFonts w:hint="eastAsia" w:cs="Times New Roman"/>
                <w:b/>
                <w:bCs w:val="0"/>
                <w:color w:val="000000" w:themeColor="text1"/>
                <w:spacing w:val="0"/>
                <w:sz w:val="24"/>
                <w:szCs w:val="24"/>
                <w:highlight w:val="none"/>
                <w:lang w:val="en-US" w:eastAsia="zh-CN"/>
                <w14:textFill>
                  <w14:solidFill>
                    <w14:schemeClr w14:val="tx1"/>
                  </w14:solidFill>
                </w14:textFill>
              </w:rPr>
              <w:t>2.</w:t>
            </w:r>
            <w: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t>废水</w:t>
            </w:r>
          </w:p>
          <w:p w14:paraId="405852B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pacing w:val="0"/>
                <w:sz w:val="24"/>
                <w:szCs w:val="24"/>
                <w:highlight w:val="none"/>
                <w:lang w:val="en-US" w:eastAsia="zh-CN"/>
                <w14:textFill>
                  <w14:solidFill>
                    <w14:schemeClr w14:val="tx1"/>
                  </w14:solidFill>
                </w14:textFill>
              </w:rPr>
              <w:t>本项目不新增劳动定员，不新增生活污水排放量。本项目实施后，新增废水为锅炉及软化系统排污水，锅炉排污水及软化排污水用于锅炉炉渣拌湿降尘，不外排</w:t>
            </w: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w:t>
            </w:r>
            <w:r>
              <w:rPr>
                <w:rFonts w:hint="default" w:ascii="Times New Roman" w:hAnsi="Times New Roman" w:cs="Times New Roman"/>
                <w:bCs/>
                <w:color w:val="000000" w:themeColor="text1"/>
                <w:spacing w:val="0"/>
                <w:sz w:val="24"/>
                <w:szCs w:val="24"/>
                <w:highlight w:val="none"/>
                <w:lang w:val="en-US" w:eastAsia="zh-CN"/>
                <w14:textFill>
                  <w14:solidFill>
                    <w14:schemeClr w14:val="tx1"/>
                  </w14:solidFill>
                </w14:textFill>
              </w:rPr>
              <w:t>对外环境影响很小。</w:t>
            </w:r>
          </w:p>
          <w:p w14:paraId="62C6982E">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pPr>
            <w:r>
              <w:rPr>
                <w:rFonts w:hint="eastAsia" w:cs="Times New Roman"/>
                <w:b/>
                <w:bCs w:val="0"/>
                <w:color w:val="000000" w:themeColor="text1"/>
                <w:spacing w:val="0"/>
                <w:sz w:val="24"/>
                <w:szCs w:val="24"/>
                <w:highlight w:val="none"/>
                <w:lang w:val="en-US" w:eastAsia="zh-CN"/>
                <w14:textFill>
                  <w14:solidFill>
                    <w14:schemeClr w14:val="tx1"/>
                  </w14:solidFill>
                </w14:textFill>
              </w:rPr>
              <w:t>3.</w:t>
            </w:r>
            <w: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t>噪声</w:t>
            </w:r>
          </w:p>
          <w:p w14:paraId="5779672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（1）噪声污染源源强核算结果及相关参数</w:t>
            </w:r>
          </w:p>
          <w:p w14:paraId="6568B4B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主要</w:t>
            </w:r>
            <w:r>
              <w:rPr>
                <w:rFonts w:hint="default" w:ascii="Times New Roman" w:hAnsi="Times New Roman" w:eastAsia="宋体" w:cs="Times New Roman"/>
                <w:color w:val="000000" w:themeColor="text1"/>
                <w:sz w:val="24"/>
                <w:szCs w:val="24"/>
                <w:highlight w:val="none"/>
                <w14:textFill>
                  <w14:solidFill>
                    <w14:schemeClr w14:val="tx1"/>
                  </w14:solidFill>
                </w14:textFill>
              </w:rPr>
              <w:t>噪声来源</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为</w:t>
            </w:r>
            <w:r>
              <w:rPr>
                <w:rFonts w:hint="default" w:ascii="Times New Roman" w:hAnsi="Times New Roman" w:eastAsia="宋体" w:cs="Times New Roman"/>
                <w:color w:val="000000" w:themeColor="text1"/>
                <w:sz w:val="24"/>
                <w:szCs w:val="24"/>
                <w:highlight w:val="none"/>
                <w14:textFill>
                  <w14:solidFill>
                    <w14:schemeClr w14:val="tx1"/>
                  </w14:solidFill>
                </w14:textFill>
              </w:rPr>
              <w:t>设备运</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行</w:t>
            </w:r>
            <w:r>
              <w:rPr>
                <w:rFonts w:hint="default" w:ascii="Times New Roman" w:hAnsi="Times New Roman" w:eastAsia="宋体" w:cs="Times New Roman"/>
                <w:color w:val="000000" w:themeColor="text1"/>
                <w:sz w:val="24"/>
                <w:szCs w:val="24"/>
                <w:highlight w:val="none"/>
                <w14:textFill>
                  <w14:solidFill>
                    <w14:schemeClr w14:val="tx1"/>
                  </w14:solidFill>
                </w14:textFill>
              </w:rPr>
              <w:t>过程中产生的噪声。</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根据设备类型经查找资料可知，</w:t>
            </w:r>
            <w:r>
              <w:rPr>
                <w:rFonts w:hint="default" w:ascii="Times New Roman" w:hAnsi="Times New Roman" w:eastAsia="宋体" w:cs="Times New Roman"/>
                <w:color w:val="000000" w:themeColor="text1"/>
                <w:sz w:val="24"/>
                <w:szCs w:val="24"/>
                <w:highlight w:val="none"/>
                <w14:textFill>
                  <w14:solidFill>
                    <w14:schemeClr w14:val="tx1"/>
                  </w14:solidFill>
                </w14:textFill>
              </w:rPr>
              <w:t>项目选用设备噪声约在</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80</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85</w:t>
            </w:r>
            <w:r>
              <w:rPr>
                <w:rFonts w:hint="default" w:ascii="Times New Roman" w:hAnsi="Times New Roman" w:eastAsia="宋体" w:cs="Times New Roman"/>
                <w:color w:val="000000" w:themeColor="text1"/>
                <w:sz w:val="24"/>
                <w:szCs w:val="24"/>
                <w:highlight w:val="none"/>
                <w14:textFill>
                  <w14:solidFill>
                    <w14:schemeClr w14:val="tx1"/>
                  </w14:solidFill>
                </w14:textFill>
              </w:rPr>
              <w:t>dB（A）之间</w:t>
            </w:r>
            <w:r>
              <w:rPr>
                <w:rFonts w:hint="default" w:ascii="Times New Roman" w:hAnsi="Times New Roman" w:eastAsia="宋体" w:cs="Times New Roman"/>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t>项目运行工况最大时</w:t>
            </w:r>
            <w:r>
              <w:rPr>
                <w:rFonts w:hint="default" w:ascii="Times New Roman" w:hAnsi="Times New Roman" w:eastAsia="宋体" w:cs="Times New Roman"/>
                <w:bCs/>
                <w:color w:val="000000" w:themeColor="text1"/>
                <w:sz w:val="24"/>
                <w:szCs w:val="24"/>
                <w:highlight w:val="none"/>
                <w14:textFill>
                  <w14:solidFill>
                    <w14:schemeClr w14:val="tx1"/>
                  </w14:solidFill>
                </w14:textFill>
              </w:rPr>
              <w:t>主要噪声源强见表</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4-7</w:t>
            </w:r>
            <w:r>
              <w:rPr>
                <w:rFonts w:hint="default" w:ascii="Times New Roman" w:hAnsi="Times New Roman" w:eastAsia="宋体" w:cs="Times New Roman"/>
                <w:bCs/>
                <w:color w:val="000000" w:themeColor="text1"/>
                <w:sz w:val="24"/>
                <w:szCs w:val="24"/>
                <w:highlight w:val="none"/>
                <w14:textFill>
                  <w14:solidFill>
                    <w14:schemeClr w14:val="tx1"/>
                  </w14:solidFill>
                </w14:textFill>
              </w:rPr>
              <w:t>。</w:t>
            </w:r>
          </w:p>
          <w:p w14:paraId="57FCFF99">
            <w:pPr>
              <w:jc w:val="center"/>
              <w:textAlignment w:val="center"/>
              <w:rPr>
                <w:rFonts w:hint="default" w:ascii="Times New Roman" w:hAnsi="Times New Roman" w:cs="Times New Roman"/>
                <w:b/>
                <w:color w:val="000000" w:themeColor="text1"/>
                <w:sz w:val="24"/>
                <w:szCs w:val="24"/>
                <w:highlight w:val="none"/>
                <w:u w:val="none"/>
                <w14:textFill>
                  <w14:solidFill>
                    <w14:schemeClr w14:val="tx1"/>
                  </w14:solidFill>
                </w14:textFill>
              </w:rPr>
            </w:pPr>
            <w:r>
              <w:rPr>
                <w:rFonts w:hint="default" w:ascii="Times New Roman" w:hAnsi="Times New Roman" w:cs="Times New Roman"/>
                <w:b/>
                <w:color w:val="000000" w:themeColor="text1"/>
                <w:sz w:val="24"/>
                <w:szCs w:val="24"/>
                <w:highlight w:val="none"/>
                <w:u w:val="none"/>
                <w14:textFill>
                  <w14:solidFill>
                    <w14:schemeClr w14:val="tx1"/>
                  </w14:solidFill>
                </w14:textFill>
              </w:rPr>
              <w:t>表</w:t>
            </w:r>
            <w:r>
              <w:rPr>
                <w:rFonts w:hint="default" w:ascii="Times New Roman" w:hAnsi="Times New Roman" w:cs="Times New Roman"/>
                <w:b/>
                <w:color w:val="000000" w:themeColor="text1"/>
                <w:sz w:val="24"/>
                <w:szCs w:val="24"/>
                <w:highlight w:val="none"/>
                <w:u w:val="none"/>
                <w:lang w:val="en-US" w:eastAsia="zh-CN"/>
                <w14:textFill>
                  <w14:solidFill>
                    <w14:schemeClr w14:val="tx1"/>
                  </w14:solidFill>
                </w14:textFill>
              </w:rPr>
              <w:t>4-7</w:t>
            </w:r>
            <w:r>
              <w:rPr>
                <w:rFonts w:hint="default" w:ascii="Times New Roman" w:hAnsi="Times New Roman" w:cs="Times New Roman"/>
                <w:b/>
                <w:color w:val="000000" w:themeColor="text1"/>
                <w:sz w:val="24"/>
                <w:szCs w:val="24"/>
                <w:highlight w:val="none"/>
                <w:u w:val="none"/>
                <w14:textFill>
                  <w14:solidFill>
                    <w14:schemeClr w14:val="tx1"/>
                  </w14:solidFill>
                </w14:textFill>
              </w:rPr>
              <w:t>噪声污染源源强核算结果及相关参数一览表</w:t>
            </w:r>
          </w:p>
          <w:tbl>
            <w:tblPr>
              <w:tblStyle w:val="13"/>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8"/>
              <w:gridCol w:w="1011"/>
              <w:gridCol w:w="717"/>
              <w:gridCol w:w="701"/>
              <w:gridCol w:w="891"/>
              <w:gridCol w:w="1475"/>
              <w:gridCol w:w="940"/>
              <w:gridCol w:w="949"/>
              <w:gridCol w:w="659"/>
            </w:tblGrid>
            <w:tr w14:paraId="1C989B5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restart"/>
                  <w:tcBorders>
                    <w:tl2br w:val="nil"/>
                    <w:tr2bl w:val="nil"/>
                  </w:tcBorders>
                  <w:noWrap w:val="0"/>
                  <w:vAlign w:val="center"/>
                </w:tcPr>
                <w:p w14:paraId="06F610E2">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kern w:val="0"/>
                      <w:sz w:val="21"/>
                      <w:szCs w:val="21"/>
                      <w:highlight w:val="none"/>
                      <w:u w:val="none"/>
                      <w14:textFill>
                        <w14:solidFill>
                          <w14:schemeClr w14:val="tx1"/>
                        </w14:solidFill>
                      </w14:textFill>
                    </w:rPr>
                    <w:t>工序</w:t>
                  </w:r>
                </w:p>
              </w:tc>
              <w:tc>
                <w:tcPr>
                  <w:tcW w:w="1001" w:type="dxa"/>
                  <w:vMerge w:val="restart"/>
                  <w:tcBorders>
                    <w:tl2br w:val="nil"/>
                    <w:tr2bl w:val="nil"/>
                  </w:tcBorders>
                  <w:noWrap w:val="0"/>
                  <w:vAlign w:val="center"/>
                </w:tcPr>
                <w:p w14:paraId="3E16F9EB">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000000" w:themeColor="text1"/>
                      <w:sz w:val="21"/>
                      <w:szCs w:val="21"/>
                      <w:highlight w:val="none"/>
                      <w:u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14:textFill>
                        <w14:solidFill>
                          <w14:schemeClr w14:val="tx1"/>
                        </w14:solidFill>
                      </w14:textFill>
                    </w:rPr>
                    <w:t>噪声源</w:t>
                  </w:r>
                </w:p>
              </w:tc>
              <w:tc>
                <w:tcPr>
                  <w:tcW w:w="710" w:type="dxa"/>
                  <w:vMerge w:val="restart"/>
                  <w:tcBorders>
                    <w:tl2br w:val="nil"/>
                    <w:tr2bl w:val="nil"/>
                  </w:tcBorders>
                  <w:noWrap w:val="0"/>
                  <w:vAlign w:val="center"/>
                </w:tcPr>
                <w:p w14:paraId="12A158A7">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000000" w:themeColor="text1"/>
                      <w:kern w:val="0"/>
                      <w:sz w:val="21"/>
                      <w:szCs w:val="21"/>
                      <w:highlight w:val="none"/>
                      <w:u w:val="none"/>
                      <w14:textFill>
                        <w14:solidFill>
                          <w14:schemeClr w14:val="tx1"/>
                        </w14:solidFill>
                      </w14:textFill>
                    </w:rPr>
                  </w:pPr>
                  <w:r>
                    <w:rPr>
                      <w:rFonts w:hint="default" w:ascii="Times New Roman" w:hAnsi="Times New Roman" w:cs="Times New Roman"/>
                      <w:color w:val="000000" w:themeColor="text1"/>
                      <w:kern w:val="0"/>
                      <w:sz w:val="21"/>
                      <w:szCs w:val="21"/>
                      <w:highlight w:val="none"/>
                      <w:u w:val="none"/>
                      <w14:textFill>
                        <w14:solidFill>
                          <w14:schemeClr w14:val="tx1"/>
                        </w14:solidFill>
                      </w14:textFill>
                    </w:rPr>
                    <w:t>声源</w:t>
                  </w:r>
                </w:p>
                <w:p w14:paraId="64E3AF1C">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kern w:val="0"/>
                      <w:sz w:val="21"/>
                      <w:szCs w:val="21"/>
                      <w:highlight w:val="none"/>
                      <w:u w:val="none"/>
                      <w14:textFill>
                        <w14:solidFill>
                          <w14:schemeClr w14:val="tx1"/>
                        </w14:solidFill>
                      </w14:textFill>
                    </w:rPr>
                    <w:t>类型</w:t>
                  </w:r>
                </w:p>
              </w:tc>
              <w:tc>
                <w:tcPr>
                  <w:tcW w:w="1576" w:type="dxa"/>
                  <w:gridSpan w:val="2"/>
                  <w:tcBorders>
                    <w:tl2br w:val="nil"/>
                    <w:tr2bl w:val="nil"/>
                  </w:tcBorders>
                  <w:noWrap w:val="0"/>
                  <w:vAlign w:val="center"/>
                </w:tcPr>
                <w:p w14:paraId="0BD611C6">
                  <w:pPr>
                    <w:keepNext w:val="0"/>
                    <w:keepLines w:val="0"/>
                    <w:pageBreakBefore w:val="0"/>
                    <w:kinsoku/>
                    <w:wordWrap/>
                    <w:overflowPunct/>
                    <w:topLinePunct w:val="0"/>
                    <w:autoSpaceDE/>
                    <w:autoSpaceDN/>
                    <w:bidi w:val="0"/>
                    <w:snapToGrid/>
                    <w:ind w:left="0" w:leftChars="0" w:right="0" w:rightChars="0" w:hanging="66"/>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kern w:val="0"/>
                      <w:sz w:val="21"/>
                      <w:szCs w:val="21"/>
                      <w:highlight w:val="none"/>
                      <w:u w:val="none"/>
                      <w14:textFill>
                        <w14:solidFill>
                          <w14:schemeClr w14:val="tx1"/>
                        </w14:solidFill>
                      </w14:textFill>
                    </w:rPr>
                    <w:t>噪声源强</w:t>
                  </w:r>
                </w:p>
              </w:tc>
              <w:tc>
                <w:tcPr>
                  <w:tcW w:w="2392" w:type="dxa"/>
                  <w:gridSpan w:val="2"/>
                  <w:tcBorders>
                    <w:tl2br w:val="nil"/>
                    <w:tr2bl w:val="nil"/>
                  </w:tcBorders>
                  <w:noWrap w:val="0"/>
                  <w:vAlign w:val="center"/>
                </w:tcPr>
                <w:p w14:paraId="10CF2AEE">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kern w:val="0"/>
                      <w:sz w:val="21"/>
                      <w:szCs w:val="21"/>
                      <w:highlight w:val="none"/>
                      <w:u w:val="none"/>
                      <w14:textFill>
                        <w14:solidFill>
                          <w14:schemeClr w14:val="tx1"/>
                        </w14:solidFill>
                      </w14:textFill>
                    </w:rPr>
                    <w:t>降噪措施</w:t>
                  </w:r>
                </w:p>
              </w:tc>
              <w:tc>
                <w:tcPr>
                  <w:tcW w:w="883" w:type="dxa"/>
                  <w:tcBorders>
                    <w:tl2br w:val="nil"/>
                    <w:tr2bl w:val="nil"/>
                  </w:tcBorders>
                  <w:noWrap w:val="0"/>
                  <w:vAlign w:val="center"/>
                </w:tcPr>
                <w:p w14:paraId="76E290DE">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kern w:val="0"/>
                      <w:sz w:val="21"/>
                      <w:szCs w:val="21"/>
                      <w:highlight w:val="none"/>
                      <w:u w:val="none"/>
                      <w14:textFill>
                        <w14:solidFill>
                          <w14:schemeClr w14:val="tx1"/>
                        </w14:solidFill>
                      </w14:textFill>
                    </w:rPr>
                    <w:t>噪声排放值</w:t>
                  </w:r>
                </w:p>
              </w:tc>
              <w:tc>
                <w:tcPr>
                  <w:tcW w:w="653" w:type="dxa"/>
                  <w:vMerge w:val="restart"/>
                  <w:tcBorders>
                    <w:tl2br w:val="nil"/>
                    <w:tr2bl w:val="nil"/>
                  </w:tcBorders>
                  <w:noWrap w:val="0"/>
                  <w:vAlign w:val="center"/>
                </w:tcPr>
                <w:p w14:paraId="2171CB58">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000000" w:themeColor="text1"/>
                      <w:kern w:val="0"/>
                      <w:sz w:val="21"/>
                      <w:szCs w:val="21"/>
                      <w:highlight w:val="none"/>
                      <w:u w:val="none"/>
                      <w14:textFill>
                        <w14:solidFill>
                          <w14:schemeClr w14:val="tx1"/>
                        </w14:solidFill>
                      </w14:textFill>
                    </w:rPr>
                  </w:pPr>
                  <w:r>
                    <w:rPr>
                      <w:rFonts w:hint="default" w:ascii="Times New Roman" w:hAnsi="Times New Roman" w:cs="Times New Roman"/>
                      <w:color w:val="000000" w:themeColor="text1"/>
                      <w:kern w:val="0"/>
                      <w:sz w:val="21"/>
                      <w:szCs w:val="21"/>
                      <w:highlight w:val="none"/>
                      <w:u w:val="none"/>
                      <w14:textFill>
                        <w14:solidFill>
                          <w14:schemeClr w14:val="tx1"/>
                        </w14:solidFill>
                      </w14:textFill>
                    </w:rPr>
                    <w:t>持续时间/h</w:t>
                  </w:r>
                </w:p>
              </w:tc>
            </w:tr>
            <w:tr w14:paraId="56DF363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tcBorders>
                    <w:tl2br w:val="nil"/>
                    <w:tr2bl w:val="nil"/>
                  </w:tcBorders>
                  <w:noWrap w:val="0"/>
                  <w:vAlign w:val="center"/>
                </w:tcPr>
                <w:p w14:paraId="1AA4E37D">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000000" w:themeColor="text1"/>
                      <w:sz w:val="21"/>
                      <w:szCs w:val="21"/>
                      <w:highlight w:val="none"/>
                      <w:u w:val="none"/>
                      <w14:textFill>
                        <w14:solidFill>
                          <w14:schemeClr w14:val="tx1"/>
                        </w14:solidFill>
                      </w14:textFill>
                    </w:rPr>
                  </w:pPr>
                </w:p>
              </w:tc>
              <w:tc>
                <w:tcPr>
                  <w:tcW w:w="1001" w:type="dxa"/>
                  <w:vMerge w:val="continue"/>
                  <w:tcBorders>
                    <w:tl2br w:val="nil"/>
                    <w:tr2bl w:val="nil"/>
                  </w:tcBorders>
                  <w:noWrap w:val="0"/>
                  <w:vAlign w:val="center"/>
                </w:tcPr>
                <w:p w14:paraId="42D3C76A">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000000" w:themeColor="text1"/>
                      <w:sz w:val="21"/>
                      <w:szCs w:val="21"/>
                      <w:highlight w:val="none"/>
                      <w:u w:val="none"/>
                      <w14:textFill>
                        <w14:solidFill>
                          <w14:schemeClr w14:val="tx1"/>
                        </w14:solidFill>
                      </w14:textFill>
                    </w:rPr>
                  </w:pPr>
                </w:p>
              </w:tc>
              <w:tc>
                <w:tcPr>
                  <w:tcW w:w="710" w:type="dxa"/>
                  <w:vMerge w:val="continue"/>
                  <w:tcBorders>
                    <w:tl2br w:val="nil"/>
                    <w:tr2bl w:val="nil"/>
                  </w:tcBorders>
                  <w:noWrap w:val="0"/>
                  <w:vAlign w:val="center"/>
                </w:tcPr>
                <w:p w14:paraId="251C00CD">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000000" w:themeColor="text1"/>
                      <w:sz w:val="21"/>
                      <w:szCs w:val="21"/>
                      <w:highlight w:val="none"/>
                      <w:u w:val="none"/>
                      <w14:textFill>
                        <w14:solidFill>
                          <w14:schemeClr w14:val="tx1"/>
                        </w14:solidFill>
                      </w14:textFill>
                    </w:rPr>
                  </w:pPr>
                </w:p>
              </w:tc>
              <w:tc>
                <w:tcPr>
                  <w:tcW w:w="694" w:type="dxa"/>
                  <w:tcBorders>
                    <w:tl2br w:val="nil"/>
                    <w:tr2bl w:val="nil"/>
                  </w:tcBorders>
                  <w:noWrap w:val="0"/>
                  <w:vAlign w:val="center"/>
                </w:tcPr>
                <w:p w14:paraId="246C2C23">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kern w:val="0"/>
                      <w:sz w:val="21"/>
                      <w:szCs w:val="21"/>
                      <w:highlight w:val="none"/>
                      <w:u w:val="none"/>
                      <w14:textFill>
                        <w14:solidFill>
                          <w14:schemeClr w14:val="tx1"/>
                        </w14:solidFill>
                      </w14:textFill>
                    </w:rPr>
                    <w:t>核算方法</w:t>
                  </w:r>
                </w:p>
              </w:tc>
              <w:tc>
                <w:tcPr>
                  <w:tcW w:w="882" w:type="dxa"/>
                  <w:tcBorders>
                    <w:tl2br w:val="nil"/>
                    <w:tr2bl w:val="nil"/>
                  </w:tcBorders>
                  <w:noWrap w:val="0"/>
                  <w:vAlign w:val="center"/>
                </w:tcPr>
                <w:p w14:paraId="046E4178">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000000" w:themeColor="text1"/>
                      <w:sz w:val="21"/>
                      <w:szCs w:val="21"/>
                      <w:highlight w:val="none"/>
                      <w:u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14:textFill>
                        <w14:solidFill>
                          <w14:schemeClr w14:val="tx1"/>
                        </w14:solidFill>
                      </w14:textFill>
                    </w:rPr>
                    <w:t>噪声值/</w:t>
                  </w:r>
                  <w:r>
                    <w:rPr>
                      <w:rFonts w:hint="default" w:ascii="Times New Roman" w:hAnsi="Times New Roman" w:cs="Times New Roman"/>
                      <w:color w:val="000000" w:themeColor="text1"/>
                      <w:sz w:val="21"/>
                      <w:szCs w:val="21"/>
                      <w:highlight w:val="none"/>
                      <w:u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u w:val="none"/>
                      <w14:textFill>
                        <w14:solidFill>
                          <w14:schemeClr w14:val="tx1"/>
                        </w14:solidFill>
                      </w14:textFill>
                    </w:rPr>
                    <w:t>dB</w:t>
                  </w:r>
                  <w:r>
                    <w:rPr>
                      <w:rFonts w:hint="default" w:ascii="Times New Roman" w:hAnsi="Times New Roman" w:cs="Times New Roman"/>
                      <w:color w:val="000000" w:themeColor="text1"/>
                      <w:sz w:val="21"/>
                      <w:szCs w:val="21"/>
                      <w:highlight w:val="none"/>
                      <w:u w:val="none"/>
                      <w:lang w:eastAsia="zh-CN"/>
                      <w14:textFill>
                        <w14:solidFill>
                          <w14:schemeClr w14:val="tx1"/>
                        </w14:solidFill>
                      </w14:textFill>
                    </w:rPr>
                    <w:t>）</w:t>
                  </w:r>
                </w:p>
              </w:tc>
              <w:tc>
                <w:tcPr>
                  <w:tcW w:w="1461" w:type="dxa"/>
                  <w:tcBorders>
                    <w:tl2br w:val="nil"/>
                    <w:tr2bl w:val="nil"/>
                  </w:tcBorders>
                  <w:noWrap w:val="0"/>
                  <w:vAlign w:val="center"/>
                </w:tcPr>
                <w:p w14:paraId="784AD254">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kern w:val="0"/>
                      <w:sz w:val="21"/>
                      <w:szCs w:val="21"/>
                      <w:highlight w:val="none"/>
                      <w:u w:val="none"/>
                      <w14:textFill>
                        <w14:solidFill>
                          <w14:schemeClr w14:val="tx1"/>
                        </w14:solidFill>
                      </w14:textFill>
                    </w:rPr>
                    <w:t>工艺</w:t>
                  </w:r>
                </w:p>
              </w:tc>
              <w:tc>
                <w:tcPr>
                  <w:tcW w:w="931" w:type="dxa"/>
                  <w:tcBorders>
                    <w:tl2br w:val="nil"/>
                    <w:tr2bl w:val="nil"/>
                  </w:tcBorders>
                  <w:noWrap w:val="0"/>
                  <w:vAlign w:val="center"/>
                </w:tcPr>
                <w:p w14:paraId="71D26A88">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000000" w:themeColor="text1"/>
                      <w:sz w:val="21"/>
                      <w:szCs w:val="21"/>
                      <w:highlight w:val="none"/>
                      <w:u w:val="none"/>
                      <w:lang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u w:val="none"/>
                      <w14:textFill>
                        <w14:solidFill>
                          <w14:schemeClr w14:val="tx1"/>
                        </w14:solidFill>
                      </w14:textFill>
                    </w:rPr>
                    <w:t>降噪效果/</w:t>
                  </w:r>
                  <w:r>
                    <w:rPr>
                      <w:rFonts w:hint="default" w:ascii="Times New Roman" w:hAnsi="Times New Roman" w:cs="Times New Roman"/>
                      <w:color w:val="000000" w:themeColor="text1"/>
                      <w:kern w:val="0"/>
                      <w:sz w:val="21"/>
                      <w:szCs w:val="21"/>
                      <w:highlight w:val="none"/>
                      <w:u w:val="none"/>
                      <w:lang w:eastAsia="zh-CN"/>
                      <w14:textFill>
                        <w14:solidFill>
                          <w14:schemeClr w14:val="tx1"/>
                        </w14:solidFill>
                      </w14:textFill>
                    </w:rPr>
                    <w:t>（</w:t>
                  </w:r>
                  <w:r>
                    <w:rPr>
                      <w:rFonts w:hint="default" w:ascii="Times New Roman" w:hAnsi="Times New Roman" w:cs="Times New Roman"/>
                      <w:color w:val="000000" w:themeColor="text1"/>
                      <w:kern w:val="0"/>
                      <w:sz w:val="21"/>
                      <w:szCs w:val="21"/>
                      <w:highlight w:val="none"/>
                      <w:u w:val="none"/>
                      <w14:textFill>
                        <w14:solidFill>
                          <w14:schemeClr w14:val="tx1"/>
                        </w14:solidFill>
                      </w14:textFill>
                    </w:rPr>
                    <w:t>dB</w:t>
                  </w:r>
                  <w:r>
                    <w:rPr>
                      <w:rFonts w:hint="default" w:ascii="Times New Roman" w:hAnsi="Times New Roman" w:cs="Times New Roman"/>
                      <w:color w:val="000000" w:themeColor="text1"/>
                      <w:kern w:val="0"/>
                      <w:sz w:val="21"/>
                      <w:szCs w:val="21"/>
                      <w:highlight w:val="none"/>
                      <w:u w:val="none"/>
                      <w:lang w:eastAsia="zh-CN"/>
                      <w14:textFill>
                        <w14:solidFill>
                          <w14:schemeClr w14:val="tx1"/>
                        </w14:solidFill>
                      </w14:textFill>
                    </w:rPr>
                    <w:t>）</w:t>
                  </w:r>
                </w:p>
              </w:tc>
              <w:tc>
                <w:tcPr>
                  <w:tcW w:w="883" w:type="dxa"/>
                  <w:tcBorders>
                    <w:tl2br w:val="nil"/>
                    <w:tr2bl w:val="nil"/>
                  </w:tcBorders>
                  <w:noWrap w:val="0"/>
                  <w:vAlign w:val="center"/>
                </w:tcPr>
                <w:p w14:paraId="03E2E69F">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000000" w:themeColor="text1"/>
                      <w:sz w:val="21"/>
                      <w:szCs w:val="21"/>
                      <w:highlight w:val="none"/>
                      <w:u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14:textFill>
                        <w14:solidFill>
                          <w14:schemeClr w14:val="tx1"/>
                        </w14:solidFill>
                      </w14:textFill>
                    </w:rPr>
                    <w:t>噪声值/</w:t>
                  </w:r>
                  <w:r>
                    <w:rPr>
                      <w:rFonts w:hint="default" w:ascii="Times New Roman" w:hAnsi="Times New Roman" w:cs="Times New Roman"/>
                      <w:color w:val="000000" w:themeColor="text1"/>
                      <w:sz w:val="21"/>
                      <w:szCs w:val="21"/>
                      <w:highlight w:val="none"/>
                      <w:u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u w:val="none"/>
                      <w14:textFill>
                        <w14:solidFill>
                          <w14:schemeClr w14:val="tx1"/>
                        </w14:solidFill>
                      </w14:textFill>
                    </w:rPr>
                    <w:t>dB</w:t>
                  </w:r>
                  <w:r>
                    <w:rPr>
                      <w:rFonts w:hint="default" w:ascii="Times New Roman" w:hAnsi="Times New Roman" w:cs="Times New Roman"/>
                      <w:color w:val="000000" w:themeColor="text1"/>
                      <w:sz w:val="21"/>
                      <w:szCs w:val="21"/>
                      <w:highlight w:val="none"/>
                      <w:u w:val="none"/>
                      <w:lang w:eastAsia="zh-CN"/>
                      <w14:textFill>
                        <w14:solidFill>
                          <w14:schemeClr w14:val="tx1"/>
                        </w14:solidFill>
                      </w14:textFill>
                    </w:rPr>
                    <w:t>）</w:t>
                  </w:r>
                </w:p>
              </w:tc>
              <w:tc>
                <w:tcPr>
                  <w:tcW w:w="653" w:type="dxa"/>
                  <w:vMerge w:val="continue"/>
                  <w:tcBorders>
                    <w:tl2br w:val="nil"/>
                    <w:tr2bl w:val="nil"/>
                  </w:tcBorders>
                  <w:noWrap w:val="0"/>
                  <w:vAlign w:val="center"/>
                </w:tcPr>
                <w:p w14:paraId="21F553E7">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000000" w:themeColor="text1"/>
                      <w:kern w:val="0"/>
                      <w:sz w:val="21"/>
                      <w:szCs w:val="21"/>
                      <w:highlight w:val="none"/>
                      <w:u w:val="none"/>
                      <w14:textFill>
                        <w14:solidFill>
                          <w14:schemeClr w14:val="tx1"/>
                        </w14:solidFill>
                      </w14:textFill>
                    </w:rPr>
                  </w:pPr>
                </w:p>
              </w:tc>
            </w:tr>
            <w:tr w14:paraId="3A23FDF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restart"/>
                  <w:tcBorders>
                    <w:tl2br w:val="nil"/>
                    <w:tr2bl w:val="nil"/>
                  </w:tcBorders>
                  <w:noWrap w:val="0"/>
                  <w:vAlign w:val="center"/>
                </w:tcPr>
                <w:p w14:paraId="5C16428A">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锅炉房</w:t>
                  </w:r>
                </w:p>
              </w:tc>
              <w:tc>
                <w:tcPr>
                  <w:tcW w:w="1001" w:type="dxa"/>
                  <w:tcBorders>
                    <w:tl2br w:val="nil"/>
                    <w:tr2bl w:val="nil"/>
                  </w:tcBorders>
                  <w:noWrap w:val="0"/>
                  <w:vAlign w:val="center"/>
                </w:tcPr>
                <w:p w14:paraId="60371218">
                  <w:pPr>
                    <w:jc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风机</w:t>
                  </w:r>
                </w:p>
              </w:tc>
              <w:tc>
                <w:tcPr>
                  <w:tcW w:w="710" w:type="dxa"/>
                  <w:vMerge w:val="restart"/>
                  <w:tcBorders>
                    <w:tl2br w:val="nil"/>
                    <w:tr2bl w:val="nil"/>
                  </w:tcBorders>
                  <w:noWrap w:val="0"/>
                  <w:vAlign w:val="center"/>
                </w:tcPr>
                <w:p w14:paraId="252E7A08">
                  <w:pPr>
                    <w:pStyle w:val="35"/>
                    <w:spacing w:line="320" w:lineRule="exact"/>
                    <w:rPr>
                      <w:rFonts w:hint="default" w:ascii="Times New Roman" w:hAnsi="Times New Roman" w:eastAsia="宋体" w:cs="Times New Roman"/>
                      <w:color w:val="000000" w:themeColor="text1"/>
                      <w:kern w:val="0"/>
                      <w:sz w:val="21"/>
                      <w:szCs w:val="21"/>
                      <w:highlight w:val="none"/>
                      <w:shd w:val="clear" w:color="auto" w:fill="auto"/>
                      <w:lang w:val="en-US" w:eastAsia="zh-CN" w:bidi="ar-SA"/>
                      <w14:textFill>
                        <w14:solidFill>
                          <w14:schemeClr w14:val="tx1"/>
                        </w14:solidFill>
                      </w14:textFill>
                    </w:rPr>
                  </w:pPr>
                  <w:r>
                    <w:rPr>
                      <w:rFonts w:hint="default" w:ascii="Times New Roman" w:hAnsi="Times New Roman" w:cs="Times New Roman"/>
                      <w:color w:val="000000" w:themeColor="text1"/>
                      <w:kern w:val="0"/>
                      <w:sz w:val="21"/>
                      <w:szCs w:val="21"/>
                      <w:highlight w:val="none"/>
                      <w:u w:val="none"/>
                      <w14:textFill>
                        <w14:solidFill>
                          <w14:schemeClr w14:val="tx1"/>
                        </w14:solidFill>
                      </w14:textFill>
                    </w:rPr>
                    <w:t>频发</w:t>
                  </w:r>
                </w:p>
              </w:tc>
              <w:tc>
                <w:tcPr>
                  <w:tcW w:w="694" w:type="dxa"/>
                  <w:vMerge w:val="restart"/>
                  <w:tcBorders>
                    <w:tl2br w:val="nil"/>
                    <w:tr2bl w:val="nil"/>
                  </w:tcBorders>
                  <w:noWrap w:val="0"/>
                  <w:vAlign w:val="center"/>
                </w:tcPr>
                <w:p w14:paraId="2ED43597">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类比法</w:t>
                  </w:r>
                </w:p>
              </w:tc>
              <w:tc>
                <w:tcPr>
                  <w:tcW w:w="882" w:type="dxa"/>
                  <w:tcBorders>
                    <w:tl2br w:val="nil"/>
                    <w:tr2bl w:val="nil"/>
                  </w:tcBorders>
                  <w:noWrap w:val="0"/>
                  <w:vAlign w:val="center"/>
                </w:tcPr>
                <w:p w14:paraId="4ADCA991">
                  <w:pPr>
                    <w:spacing w:line="240" w:lineRule="auto"/>
                    <w:jc w:val="center"/>
                    <w:rPr>
                      <w:rFonts w:hint="default" w:ascii="Times New Roman" w:hAnsi="Times New Roman" w:cs="Times New Roman"/>
                      <w:snapToGrid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snapToGrid w:val="0"/>
                      <w:color w:val="000000" w:themeColor="text1"/>
                      <w:sz w:val="21"/>
                      <w:szCs w:val="21"/>
                      <w:highlight w:val="none"/>
                      <w:u w:val="none"/>
                      <w:lang w:val="en-US" w:eastAsia="zh-CN"/>
                      <w14:textFill>
                        <w14:solidFill>
                          <w14:schemeClr w14:val="tx1"/>
                        </w14:solidFill>
                      </w14:textFill>
                    </w:rPr>
                    <w:t>85</w:t>
                  </w:r>
                </w:p>
              </w:tc>
              <w:tc>
                <w:tcPr>
                  <w:tcW w:w="1461" w:type="dxa"/>
                  <w:vMerge w:val="restart"/>
                  <w:tcBorders>
                    <w:tl2br w:val="nil"/>
                    <w:tr2bl w:val="nil"/>
                  </w:tcBorders>
                  <w:noWrap w:val="0"/>
                  <w:vAlign w:val="center"/>
                </w:tcPr>
                <w:p w14:paraId="6371F6C3">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基础</w:t>
                  </w:r>
                  <w:r>
                    <w:rPr>
                      <w:rFonts w:hint="eastAsia" w:eastAsia="宋体" w:cs="Times New Roman"/>
                      <w:color w:val="000000" w:themeColor="text1"/>
                      <w:sz w:val="21"/>
                      <w:szCs w:val="21"/>
                      <w:highlight w:val="none"/>
                      <w:lang w:val="en-US" w:eastAsia="zh-CN"/>
                      <w14:textFill>
                        <w14:solidFill>
                          <w14:schemeClr w14:val="tx1"/>
                        </w14:solidFill>
                      </w14:textFill>
                    </w:rPr>
                    <w:t>减振</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，厂房隔声；对风机采取基座减振、厂房隔声、进出口软连接等措施。</w:t>
                  </w:r>
                </w:p>
              </w:tc>
              <w:tc>
                <w:tcPr>
                  <w:tcW w:w="931" w:type="dxa"/>
                  <w:vMerge w:val="restart"/>
                  <w:tcBorders>
                    <w:tl2br w:val="nil"/>
                    <w:tr2bl w:val="nil"/>
                  </w:tcBorders>
                  <w:noWrap w:val="0"/>
                  <w:vAlign w:val="center"/>
                </w:tcPr>
                <w:p w14:paraId="1BA41D5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25</w:t>
                  </w:r>
                </w:p>
              </w:tc>
              <w:tc>
                <w:tcPr>
                  <w:tcW w:w="883" w:type="dxa"/>
                  <w:tcBorders>
                    <w:tl2br w:val="nil"/>
                    <w:tr2bl w:val="nil"/>
                  </w:tcBorders>
                  <w:noWrap w:val="0"/>
                  <w:vAlign w:val="center"/>
                </w:tcPr>
                <w:p w14:paraId="7AD98B2A">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60</w:t>
                  </w:r>
                </w:p>
              </w:tc>
              <w:tc>
                <w:tcPr>
                  <w:tcW w:w="653" w:type="dxa"/>
                  <w:vMerge w:val="restart"/>
                  <w:tcBorders>
                    <w:tl2br w:val="nil"/>
                    <w:tr2bl w:val="nil"/>
                  </w:tcBorders>
                  <w:noWrap w:val="0"/>
                  <w:vAlign w:val="center"/>
                </w:tcPr>
                <w:p w14:paraId="4930B72A">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4320</w:t>
                  </w:r>
                </w:p>
              </w:tc>
            </w:tr>
            <w:tr w14:paraId="1BF8561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tcBorders>
                    <w:tl2br w:val="nil"/>
                    <w:tr2bl w:val="nil"/>
                  </w:tcBorders>
                  <w:noWrap w:val="0"/>
                  <w:vAlign w:val="center"/>
                </w:tcPr>
                <w:p w14:paraId="48752B2F">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000000" w:themeColor="text1"/>
                      <w:sz w:val="21"/>
                      <w:szCs w:val="21"/>
                      <w:highlight w:val="none"/>
                      <w:u w:val="none"/>
                      <w14:textFill>
                        <w14:solidFill>
                          <w14:schemeClr w14:val="tx1"/>
                        </w14:solidFill>
                      </w14:textFill>
                    </w:rPr>
                  </w:pPr>
                </w:p>
              </w:tc>
              <w:tc>
                <w:tcPr>
                  <w:tcW w:w="1001" w:type="dxa"/>
                  <w:tcBorders>
                    <w:tl2br w:val="nil"/>
                    <w:tr2bl w:val="nil"/>
                  </w:tcBorders>
                  <w:noWrap w:val="0"/>
                  <w:vAlign w:val="center"/>
                </w:tcPr>
                <w:p w14:paraId="7AC3D250">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水泵</w:t>
                  </w:r>
                </w:p>
              </w:tc>
              <w:tc>
                <w:tcPr>
                  <w:tcW w:w="710" w:type="dxa"/>
                  <w:vMerge w:val="continue"/>
                  <w:tcBorders>
                    <w:tl2br w:val="nil"/>
                    <w:tr2bl w:val="nil"/>
                  </w:tcBorders>
                  <w:noWrap w:val="0"/>
                  <w:vAlign w:val="center"/>
                </w:tcPr>
                <w:p w14:paraId="4C304FF6">
                  <w:pPr>
                    <w:keepNext w:val="0"/>
                    <w:keepLines w:val="0"/>
                    <w:pageBreakBefore w:val="0"/>
                    <w:widowControl/>
                    <w:kinsoku/>
                    <w:wordWrap/>
                    <w:overflowPunct/>
                    <w:topLinePunct w:val="0"/>
                    <w:autoSpaceDE/>
                    <w:autoSpaceDN/>
                    <w:bidi w:val="0"/>
                    <w:snapToGrid/>
                    <w:ind w:left="0" w:leftChars="0" w:right="0" w:rightChars="0"/>
                    <w:jc w:val="center"/>
                    <w:rPr>
                      <w:rFonts w:hint="default" w:ascii="Times New Roman" w:hAnsi="Times New Roman" w:cs="Times New Roman"/>
                      <w:color w:val="000000" w:themeColor="text1"/>
                      <w:kern w:val="0"/>
                      <w:sz w:val="21"/>
                      <w:szCs w:val="21"/>
                      <w:highlight w:val="none"/>
                      <w:u w:val="none"/>
                      <w14:textFill>
                        <w14:solidFill>
                          <w14:schemeClr w14:val="tx1"/>
                        </w14:solidFill>
                      </w14:textFill>
                    </w:rPr>
                  </w:pPr>
                </w:p>
              </w:tc>
              <w:tc>
                <w:tcPr>
                  <w:tcW w:w="694" w:type="dxa"/>
                  <w:vMerge w:val="continue"/>
                  <w:tcBorders>
                    <w:tl2br w:val="nil"/>
                    <w:tr2bl w:val="nil"/>
                  </w:tcBorders>
                  <w:noWrap w:val="0"/>
                  <w:vAlign w:val="center"/>
                </w:tcPr>
                <w:p w14:paraId="2C406542">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82" w:type="dxa"/>
                  <w:tcBorders>
                    <w:tl2br w:val="nil"/>
                    <w:tr2bl w:val="nil"/>
                  </w:tcBorders>
                  <w:noWrap w:val="0"/>
                  <w:vAlign w:val="center"/>
                </w:tcPr>
                <w:p w14:paraId="710FD770">
                  <w:pPr>
                    <w:spacing w:line="240" w:lineRule="auto"/>
                    <w:jc w:val="center"/>
                    <w:rPr>
                      <w:rFonts w:hint="default" w:ascii="Times New Roman" w:hAnsi="Times New Roman" w:cs="Times New Roman"/>
                      <w:snapToGrid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snapToGrid w:val="0"/>
                      <w:color w:val="000000" w:themeColor="text1"/>
                      <w:sz w:val="21"/>
                      <w:szCs w:val="21"/>
                      <w:highlight w:val="none"/>
                      <w:u w:val="none"/>
                      <w:lang w:val="en-US" w:eastAsia="zh-CN"/>
                      <w14:textFill>
                        <w14:solidFill>
                          <w14:schemeClr w14:val="tx1"/>
                        </w14:solidFill>
                      </w14:textFill>
                    </w:rPr>
                    <w:t>80</w:t>
                  </w:r>
                </w:p>
              </w:tc>
              <w:tc>
                <w:tcPr>
                  <w:tcW w:w="1461" w:type="dxa"/>
                  <w:vMerge w:val="continue"/>
                  <w:tcBorders>
                    <w:tl2br w:val="nil"/>
                    <w:tr2bl w:val="nil"/>
                  </w:tcBorders>
                  <w:noWrap w:val="0"/>
                  <w:vAlign w:val="center"/>
                </w:tcPr>
                <w:p w14:paraId="6C71D20C">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31" w:type="dxa"/>
                  <w:vMerge w:val="continue"/>
                  <w:tcBorders>
                    <w:tl2br w:val="nil"/>
                    <w:tr2bl w:val="nil"/>
                  </w:tcBorders>
                  <w:noWrap w:val="0"/>
                  <w:vAlign w:val="center"/>
                </w:tcPr>
                <w:p w14:paraId="2290C0EA">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p>
              </w:tc>
              <w:tc>
                <w:tcPr>
                  <w:tcW w:w="883" w:type="dxa"/>
                  <w:tcBorders>
                    <w:tl2br w:val="nil"/>
                    <w:tr2bl w:val="nil"/>
                  </w:tcBorders>
                  <w:noWrap w:val="0"/>
                  <w:vAlign w:val="center"/>
                </w:tcPr>
                <w:p w14:paraId="5DC9E245">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55</w:t>
                  </w:r>
                </w:p>
              </w:tc>
              <w:tc>
                <w:tcPr>
                  <w:tcW w:w="653" w:type="dxa"/>
                  <w:vMerge w:val="continue"/>
                  <w:tcBorders>
                    <w:tl2br w:val="nil"/>
                    <w:tr2bl w:val="nil"/>
                  </w:tcBorders>
                  <w:noWrap w:val="0"/>
                  <w:vAlign w:val="center"/>
                </w:tcPr>
                <w:p w14:paraId="05AB44CE">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p>
              </w:tc>
            </w:tr>
            <w:tr w14:paraId="3007CFD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restart"/>
                  <w:tcBorders>
                    <w:tl2br w:val="nil"/>
                    <w:tr2bl w:val="nil"/>
                  </w:tcBorders>
                  <w:noWrap w:val="0"/>
                  <w:vAlign w:val="center"/>
                </w:tcPr>
                <w:p w14:paraId="29FEC882">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生产车间</w:t>
                  </w:r>
                </w:p>
              </w:tc>
              <w:tc>
                <w:tcPr>
                  <w:tcW w:w="1001" w:type="dxa"/>
                  <w:tcBorders>
                    <w:tl2br w:val="nil"/>
                    <w:tr2bl w:val="nil"/>
                  </w:tcBorders>
                  <w:noWrap w:val="0"/>
                  <w:vAlign w:val="center"/>
                </w:tcPr>
                <w:p w14:paraId="43D58F8B">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精密推台锯</w:t>
                  </w:r>
                </w:p>
              </w:tc>
              <w:tc>
                <w:tcPr>
                  <w:tcW w:w="710" w:type="dxa"/>
                  <w:vMerge w:val="continue"/>
                  <w:tcBorders>
                    <w:tl2br w:val="nil"/>
                    <w:tr2bl w:val="nil"/>
                  </w:tcBorders>
                  <w:noWrap w:val="0"/>
                  <w:vAlign w:val="center"/>
                </w:tcPr>
                <w:p w14:paraId="60FA298E">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694" w:type="dxa"/>
                  <w:vMerge w:val="continue"/>
                  <w:tcBorders>
                    <w:tl2br w:val="nil"/>
                    <w:tr2bl w:val="nil"/>
                  </w:tcBorders>
                  <w:noWrap w:val="0"/>
                  <w:vAlign w:val="center"/>
                </w:tcPr>
                <w:p w14:paraId="32C9AF2F">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82" w:type="dxa"/>
                  <w:tcBorders>
                    <w:tl2br w:val="nil"/>
                    <w:tr2bl w:val="nil"/>
                  </w:tcBorders>
                  <w:noWrap w:val="0"/>
                  <w:vAlign w:val="center"/>
                </w:tcPr>
                <w:p w14:paraId="36DDCE85">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80</w:t>
                  </w:r>
                </w:p>
              </w:tc>
              <w:tc>
                <w:tcPr>
                  <w:tcW w:w="1461" w:type="dxa"/>
                  <w:vMerge w:val="continue"/>
                  <w:tcBorders>
                    <w:tl2br w:val="nil"/>
                    <w:tr2bl w:val="nil"/>
                  </w:tcBorders>
                  <w:noWrap w:val="0"/>
                  <w:vAlign w:val="center"/>
                </w:tcPr>
                <w:p w14:paraId="6B0E3A4F">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31" w:type="dxa"/>
                  <w:vMerge w:val="continue"/>
                  <w:tcBorders>
                    <w:tl2br w:val="nil"/>
                    <w:tr2bl w:val="nil"/>
                  </w:tcBorders>
                  <w:noWrap w:val="0"/>
                  <w:vAlign w:val="center"/>
                </w:tcPr>
                <w:p w14:paraId="321E45E1">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83" w:type="dxa"/>
                  <w:tcBorders>
                    <w:tl2br w:val="nil"/>
                    <w:tr2bl w:val="nil"/>
                  </w:tcBorders>
                  <w:noWrap w:val="0"/>
                  <w:vAlign w:val="center"/>
                </w:tcPr>
                <w:p w14:paraId="72E823A8">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55</w:t>
                  </w:r>
                </w:p>
              </w:tc>
              <w:tc>
                <w:tcPr>
                  <w:tcW w:w="653" w:type="dxa"/>
                  <w:vMerge w:val="restart"/>
                  <w:tcBorders>
                    <w:tl2br w:val="nil"/>
                    <w:tr2bl w:val="nil"/>
                  </w:tcBorders>
                  <w:noWrap w:val="0"/>
                  <w:vAlign w:val="center"/>
                </w:tcPr>
                <w:p w14:paraId="5FF1035B">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6000</w:t>
                  </w:r>
                </w:p>
              </w:tc>
            </w:tr>
            <w:tr w14:paraId="12C3A04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tcBorders>
                    <w:tl2br w:val="nil"/>
                    <w:tr2bl w:val="nil"/>
                  </w:tcBorders>
                  <w:noWrap w:val="0"/>
                  <w:vAlign w:val="center"/>
                </w:tcPr>
                <w:p w14:paraId="673FD6C8">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001" w:type="dxa"/>
                  <w:tcBorders>
                    <w:tl2br w:val="nil"/>
                    <w:tr2bl w:val="nil"/>
                  </w:tcBorders>
                  <w:noWrap w:val="0"/>
                  <w:vAlign w:val="center"/>
                </w:tcPr>
                <w:p w14:paraId="49D2BB3A">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封边机</w:t>
                  </w:r>
                </w:p>
              </w:tc>
              <w:tc>
                <w:tcPr>
                  <w:tcW w:w="710" w:type="dxa"/>
                  <w:vMerge w:val="continue"/>
                  <w:tcBorders>
                    <w:tl2br w:val="nil"/>
                    <w:tr2bl w:val="nil"/>
                  </w:tcBorders>
                  <w:noWrap w:val="0"/>
                  <w:vAlign w:val="center"/>
                </w:tcPr>
                <w:p w14:paraId="5BF27AAB">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694" w:type="dxa"/>
                  <w:vMerge w:val="continue"/>
                  <w:tcBorders>
                    <w:tl2br w:val="nil"/>
                    <w:tr2bl w:val="nil"/>
                  </w:tcBorders>
                  <w:noWrap w:val="0"/>
                  <w:vAlign w:val="center"/>
                </w:tcPr>
                <w:p w14:paraId="751F5B05">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82" w:type="dxa"/>
                  <w:tcBorders>
                    <w:tl2br w:val="nil"/>
                    <w:tr2bl w:val="nil"/>
                  </w:tcBorders>
                  <w:noWrap w:val="0"/>
                  <w:vAlign w:val="center"/>
                </w:tcPr>
                <w:p w14:paraId="675EDF4C">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80</w:t>
                  </w:r>
                </w:p>
              </w:tc>
              <w:tc>
                <w:tcPr>
                  <w:tcW w:w="1461" w:type="dxa"/>
                  <w:vMerge w:val="continue"/>
                  <w:tcBorders>
                    <w:tl2br w:val="nil"/>
                    <w:tr2bl w:val="nil"/>
                  </w:tcBorders>
                  <w:noWrap w:val="0"/>
                  <w:vAlign w:val="center"/>
                </w:tcPr>
                <w:p w14:paraId="629483C4">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31" w:type="dxa"/>
                  <w:vMerge w:val="continue"/>
                  <w:tcBorders>
                    <w:tl2br w:val="nil"/>
                    <w:tr2bl w:val="nil"/>
                  </w:tcBorders>
                  <w:noWrap w:val="0"/>
                  <w:vAlign w:val="center"/>
                </w:tcPr>
                <w:p w14:paraId="1FB0EDC5">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83" w:type="dxa"/>
                  <w:tcBorders>
                    <w:tl2br w:val="nil"/>
                    <w:tr2bl w:val="nil"/>
                  </w:tcBorders>
                  <w:noWrap w:val="0"/>
                  <w:vAlign w:val="center"/>
                </w:tcPr>
                <w:p w14:paraId="1160B0DF">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55</w:t>
                  </w:r>
                </w:p>
              </w:tc>
              <w:tc>
                <w:tcPr>
                  <w:tcW w:w="653" w:type="dxa"/>
                  <w:vMerge w:val="continue"/>
                  <w:tcBorders>
                    <w:tl2br w:val="nil"/>
                    <w:tr2bl w:val="nil"/>
                  </w:tcBorders>
                  <w:noWrap w:val="0"/>
                  <w:vAlign w:val="center"/>
                </w:tcPr>
                <w:p w14:paraId="0D8B6CA6">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6B81583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tcBorders>
                    <w:tl2br w:val="nil"/>
                    <w:tr2bl w:val="nil"/>
                  </w:tcBorders>
                  <w:noWrap w:val="0"/>
                  <w:vAlign w:val="center"/>
                </w:tcPr>
                <w:p w14:paraId="67993A10">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001" w:type="dxa"/>
                  <w:tcBorders>
                    <w:tl2br w:val="nil"/>
                    <w:tr2bl w:val="nil"/>
                  </w:tcBorders>
                  <w:noWrap w:val="0"/>
                  <w:vAlign w:val="center"/>
                </w:tcPr>
                <w:p w14:paraId="12AF6C4E">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吸塑机</w:t>
                  </w:r>
                </w:p>
              </w:tc>
              <w:tc>
                <w:tcPr>
                  <w:tcW w:w="710" w:type="dxa"/>
                  <w:vMerge w:val="continue"/>
                  <w:tcBorders>
                    <w:tl2br w:val="nil"/>
                    <w:tr2bl w:val="nil"/>
                  </w:tcBorders>
                  <w:noWrap w:val="0"/>
                  <w:vAlign w:val="center"/>
                </w:tcPr>
                <w:p w14:paraId="4343C6D2">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694" w:type="dxa"/>
                  <w:vMerge w:val="continue"/>
                  <w:tcBorders>
                    <w:tl2br w:val="nil"/>
                    <w:tr2bl w:val="nil"/>
                  </w:tcBorders>
                  <w:noWrap w:val="0"/>
                  <w:vAlign w:val="center"/>
                </w:tcPr>
                <w:p w14:paraId="0286A16A">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82" w:type="dxa"/>
                  <w:tcBorders>
                    <w:tl2br w:val="nil"/>
                    <w:tr2bl w:val="nil"/>
                  </w:tcBorders>
                  <w:noWrap w:val="0"/>
                  <w:vAlign w:val="center"/>
                </w:tcPr>
                <w:p w14:paraId="4EFAEAC8">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80</w:t>
                  </w:r>
                </w:p>
              </w:tc>
              <w:tc>
                <w:tcPr>
                  <w:tcW w:w="1461" w:type="dxa"/>
                  <w:vMerge w:val="continue"/>
                  <w:tcBorders>
                    <w:tl2br w:val="nil"/>
                    <w:tr2bl w:val="nil"/>
                  </w:tcBorders>
                  <w:noWrap w:val="0"/>
                  <w:vAlign w:val="center"/>
                </w:tcPr>
                <w:p w14:paraId="579E5326">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31" w:type="dxa"/>
                  <w:vMerge w:val="continue"/>
                  <w:tcBorders>
                    <w:tl2br w:val="nil"/>
                    <w:tr2bl w:val="nil"/>
                  </w:tcBorders>
                  <w:noWrap w:val="0"/>
                  <w:vAlign w:val="center"/>
                </w:tcPr>
                <w:p w14:paraId="7467A110">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83" w:type="dxa"/>
                  <w:tcBorders>
                    <w:tl2br w:val="nil"/>
                    <w:tr2bl w:val="nil"/>
                  </w:tcBorders>
                  <w:noWrap w:val="0"/>
                  <w:vAlign w:val="center"/>
                </w:tcPr>
                <w:p w14:paraId="690662C6">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55</w:t>
                  </w:r>
                </w:p>
              </w:tc>
              <w:tc>
                <w:tcPr>
                  <w:tcW w:w="653" w:type="dxa"/>
                  <w:vMerge w:val="continue"/>
                  <w:tcBorders>
                    <w:tl2br w:val="nil"/>
                    <w:tr2bl w:val="nil"/>
                  </w:tcBorders>
                  <w:noWrap w:val="0"/>
                  <w:vAlign w:val="center"/>
                </w:tcPr>
                <w:p w14:paraId="04E6E868">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2C4DDB9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noWrap w:val="0"/>
                  <w:vAlign w:val="top"/>
                </w:tcPr>
                <w:p w14:paraId="20473DC2">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001" w:type="dxa"/>
                  <w:noWrap w:val="0"/>
                  <w:vAlign w:val="center"/>
                </w:tcPr>
                <w:p w14:paraId="5C2A72D2">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开料机</w:t>
                  </w:r>
                </w:p>
              </w:tc>
              <w:tc>
                <w:tcPr>
                  <w:tcW w:w="710" w:type="dxa"/>
                  <w:vMerge w:val="continue"/>
                  <w:noWrap w:val="0"/>
                  <w:vAlign w:val="center"/>
                </w:tcPr>
                <w:p w14:paraId="13A88AB0">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694" w:type="dxa"/>
                  <w:vMerge w:val="continue"/>
                  <w:noWrap w:val="0"/>
                  <w:vAlign w:val="center"/>
                </w:tcPr>
                <w:p w14:paraId="78B55161">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82" w:type="dxa"/>
                  <w:noWrap w:val="0"/>
                  <w:vAlign w:val="center"/>
                </w:tcPr>
                <w:p w14:paraId="67CD0AA9">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80</w:t>
                  </w:r>
                </w:p>
              </w:tc>
              <w:tc>
                <w:tcPr>
                  <w:tcW w:w="1461" w:type="dxa"/>
                  <w:vMerge w:val="continue"/>
                  <w:noWrap w:val="0"/>
                  <w:vAlign w:val="top"/>
                </w:tcPr>
                <w:p w14:paraId="631AA845">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31" w:type="dxa"/>
                  <w:vMerge w:val="continue"/>
                  <w:noWrap w:val="0"/>
                  <w:vAlign w:val="top"/>
                </w:tcPr>
                <w:p w14:paraId="4F4CB3BD">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40" w:type="dxa"/>
                  <w:noWrap w:val="0"/>
                  <w:vAlign w:val="center"/>
                </w:tcPr>
                <w:p w14:paraId="63092738">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55</w:t>
                  </w:r>
                </w:p>
              </w:tc>
              <w:tc>
                <w:tcPr>
                  <w:tcW w:w="653" w:type="dxa"/>
                  <w:vMerge w:val="continue"/>
                  <w:noWrap w:val="0"/>
                  <w:vAlign w:val="top"/>
                </w:tcPr>
                <w:p w14:paraId="5DB4440D">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1734922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noWrap w:val="0"/>
                  <w:vAlign w:val="top"/>
                </w:tcPr>
                <w:p w14:paraId="0C9C685C">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001" w:type="dxa"/>
                  <w:noWrap w:val="0"/>
                  <w:vAlign w:val="center"/>
                </w:tcPr>
                <w:p w14:paraId="0CE58692">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雕刻机</w:t>
                  </w:r>
                </w:p>
              </w:tc>
              <w:tc>
                <w:tcPr>
                  <w:tcW w:w="710" w:type="dxa"/>
                  <w:vMerge w:val="continue"/>
                  <w:noWrap w:val="0"/>
                  <w:vAlign w:val="center"/>
                </w:tcPr>
                <w:p w14:paraId="6F96C158">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694" w:type="dxa"/>
                  <w:vMerge w:val="continue"/>
                  <w:noWrap w:val="0"/>
                  <w:vAlign w:val="center"/>
                </w:tcPr>
                <w:p w14:paraId="629FF1ED">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82" w:type="dxa"/>
                  <w:noWrap w:val="0"/>
                  <w:vAlign w:val="center"/>
                </w:tcPr>
                <w:p w14:paraId="544E3810">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80</w:t>
                  </w:r>
                </w:p>
              </w:tc>
              <w:tc>
                <w:tcPr>
                  <w:tcW w:w="1461" w:type="dxa"/>
                  <w:vMerge w:val="continue"/>
                  <w:noWrap w:val="0"/>
                  <w:vAlign w:val="center"/>
                </w:tcPr>
                <w:p w14:paraId="5FF37C83">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31" w:type="dxa"/>
                  <w:vMerge w:val="continue"/>
                  <w:noWrap w:val="0"/>
                  <w:vAlign w:val="center"/>
                </w:tcPr>
                <w:p w14:paraId="67B3D04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40" w:type="dxa"/>
                  <w:noWrap w:val="0"/>
                  <w:vAlign w:val="center"/>
                </w:tcPr>
                <w:p w14:paraId="442CC17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55</w:t>
                  </w:r>
                </w:p>
              </w:tc>
              <w:tc>
                <w:tcPr>
                  <w:tcW w:w="653" w:type="dxa"/>
                  <w:vMerge w:val="continue"/>
                  <w:noWrap w:val="0"/>
                  <w:vAlign w:val="center"/>
                </w:tcPr>
                <w:p w14:paraId="7B9C586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4641804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noWrap w:val="0"/>
                  <w:vAlign w:val="top"/>
                </w:tcPr>
                <w:p w14:paraId="71149640">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001" w:type="dxa"/>
                  <w:noWrap w:val="0"/>
                  <w:vAlign w:val="center"/>
                </w:tcPr>
                <w:p w14:paraId="40AAF705">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六面钻</w:t>
                  </w:r>
                </w:p>
              </w:tc>
              <w:tc>
                <w:tcPr>
                  <w:tcW w:w="710" w:type="dxa"/>
                  <w:vMerge w:val="continue"/>
                  <w:noWrap w:val="0"/>
                  <w:vAlign w:val="center"/>
                </w:tcPr>
                <w:p w14:paraId="62DABAAB">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694" w:type="dxa"/>
                  <w:vMerge w:val="continue"/>
                  <w:noWrap w:val="0"/>
                  <w:vAlign w:val="center"/>
                </w:tcPr>
                <w:p w14:paraId="68F3974B">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82" w:type="dxa"/>
                  <w:noWrap w:val="0"/>
                  <w:vAlign w:val="center"/>
                </w:tcPr>
                <w:p w14:paraId="59B96E2B">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80</w:t>
                  </w:r>
                </w:p>
              </w:tc>
              <w:tc>
                <w:tcPr>
                  <w:tcW w:w="1461" w:type="dxa"/>
                  <w:vMerge w:val="continue"/>
                  <w:noWrap w:val="0"/>
                  <w:vAlign w:val="center"/>
                </w:tcPr>
                <w:p w14:paraId="6CC1CD2D">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31" w:type="dxa"/>
                  <w:vMerge w:val="continue"/>
                  <w:noWrap w:val="0"/>
                  <w:vAlign w:val="center"/>
                </w:tcPr>
                <w:p w14:paraId="07931AE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40" w:type="dxa"/>
                  <w:noWrap w:val="0"/>
                  <w:vAlign w:val="center"/>
                </w:tcPr>
                <w:p w14:paraId="67D5741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55</w:t>
                  </w:r>
                </w:p>
              </w:tc>
              <w:tc>
                <w:tcPr>
                  <w:tcW w:w="653" w:type="dxa"/>
                  <w:vMerge w:val="continue"/>
                  <w:noWrap w:val="0"/>
                  <w:vAlign w:val="center"/>
                </w:tcPr>
                <w:p w14:paraId="1954596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1D0A6CB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noWrap w:val="0"/>
                  <w:vAlign w:val="top"/>
                </w:tcPr>
                <w:p w14:paraId="08991241">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001" w:type="dxa"/>
                  <w:noWrap w:val="0"/>
                  <w:vAlign w:val="center"/>
                </w:tcPr>
                <w:p w14:paraId="246738DD">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电子锯</w:t>
                  </w:r>
                </w:p>
              </w:tc>
              <w:tc>
                <w:tcPr>
                  <w:tcW w:w="710" w:type="dxa"/>
                  <w:vMerge w:val="continue"/>
                  <w:noWrap w:val="0"/>
                  <w:vAlign w:val="center"/>
                </w:tcPr>
                <w:p w14:paraId="63597F0C">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694" w:type="dxa"/>
                  <w:vMerge w:val="continue"/>
                  <w:noWrap w:val="0"/>
                  <w:vAlign w:val="center"/>
                </w:tcPr>
                <w:p w14:paraId="72E1760F">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82" w:type="dxa"/>
                  <w:noWrap w:val="0"/>
                  <w:vAlign w:val="center"/>
                </w:tcPr>
                <w:p w14:paraId="756F595F">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85</w:t>
                  </w:r>
                </w:p>
              </w:tc>
              <w:tc>
                <w:tcPr>
                  <w:tcW w:w="1461" w:type="dxa"/>
                  <w:vMerge w:val="continue"/>
                  <w:noWrap w:val="0"/>
                  <w:vAlign w:val="center"/>
                </w:tcPr>
                <w:p w14:paraId="7D32A0ED">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31" w:type="dxa"/>
                  <w:vMerge w:val="continue"/>
                  <w:noWrap w:val="0"/>
                  <w:vAlign w:val="center"/>
                </w:tcPr>
                <w:p w14:paraId="5BE3E27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40" w:type="dxa"/>
                  <w:noWrap w:val="0"/>
                  <w:vAlign w:val="center"/>
                </w:tcPr>
                <w:p w14:paraId="094D4E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60</w:t>
                  </w:r>
                </w:p>
              </w:tc>
              <w:tc>
                <w:tcPr>
                  <w:tcW w:w="653" w:type="dxa"/>
                  <w:vMerge w:val="continue"/>
                  <w:noWrap w:val="0"/>
                  <w:vAlign w:val="center"/>
                </w:tcPr>
                <w:p w14:paraId="2B24D27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696A576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noWrap w:val="0"/>
                  <w:vAlign w:val="top"/>
                </w:tcPr>
                <w:p w14:paraId="2883E870">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001" w:type="dxa"/>
                  <w:noWrap w:val="0"/>
                  <w:vAlign w:val="center"/>
                </w:tcPr>
                <w:p w14:paraId="23DB3397">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覆膜机</w:t>
                  </w:r>
                </w:p>
              </w:tc>
              <w:tc>
                <w:tcPr>
                  <w:tcW w:w="710" w:type="dxa"/>
                  <w:vMerge w:val="continue"/>
                  <w:noWrap w:val="0"/>
                  <w:vAlign w:val="center"/>
                </w:tcPr>
                <w:p w14:paraId="668B1802">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694" w:type="dxa"/>
                  <w:vMerge w:val="continue"/>
                  <w:noWrap w:val="0"/>
                  <w:vAlign w:val="center"/>
                </w:tcPr>
                <w:p w14:paraId="01FB7A17">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82" w:type="dxa"/>
                  <w:noWrap w:val="0"/>
                  <w:vAlign w:val="center"/>
                </w:tcPr>
                <w:p w14:paraId="216BC087">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80</w:t>
                  </w:r>
                </w:p>
              </w:tc>
              <w:tc>
                <w:tcPr>
                  <w:tcW w:w="1461" w:type="dxa"/>
                  <w:vMerge w:val="continue"/>
                  <w:noWrap w:val="0"/>
                  <w:vAlign w:val="center"/>
                </w:tcPr>
                <w:p w14:paraId="407DE085">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31" w:type="dxa"/>
                  <w:vMerge w:val="continue"/>
                  <w:noWrap w:val="0"/>
                  <w:vAlign w:val="center"/>
                </w:tcPr>
                <w:p w14:paraId="1C2D16B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40" w:type="dxa"/>
                  <w:noWrap w:val="0"/>
                  <w:vAlign w:val="center"/>
                </w:tcPr>
                <w:p w14:paraId="61D3CF8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55</w:t>
                  </w:r>
                </w:p>
              </w:tc>
              <w:tc>
                <w:tcPr>
                  <w:tcW w:w="653" w:type="dxa"/>
                  <w:vMerge w:val="continue"/>
                  <w:noWrap w:val="0"/>
                  <w:vAlign w:val="center"/>
                </w:tcPr>
                <w:p w14:paraId="629E578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1DCCCC9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noWrap w:val="0"/>
                  <w:vAlign w:val="top"/>
                </w:tcPr>
                <w:p w14:paraId="3D657E6D">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penqij</w:t>
                  </w:r>
                </w:p>
              </w:tc>
              <w:tc>
                <w:tcPr>
                  <w:tcW w:w="1001" w:type="dxa"/>
                  <w:noWrap w:val="0"/>
                  <w:vAlign w:val="center"/>
                </w:tcPr>
                <w:p w14:paraId="72E9E550">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喷漆枪</w:t>
                  </w:r>
                </w:p>
              </w:tc>
              <w:tc>
                <w:tcPr>
                  <w:tcW w:w="710" w:type="dxa"/>
                  <w:vMerge w:val="continue"/>
                  <w:noWrap w:val="0"/>
                  <w:vAlign w:val="center"/>
                </w:tcPr>
                <w:p w14:paraId="1C3CC522">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694" w:type="dxa"/>
                  <w:vMerge w:val="continue"/>
                  <w:noWrap w:val="0"/>
                  <w:vAlign w:val="center"/>
                </w:tcPr>
                <w:p w14:paraId="5C84590D">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82" w:type="dxa"/>
                  <w:noWrap w:val="0"/>
                  <w:vAlign w:val="center"/>
                </w:tcPr>
                <w:p w14:paraId="5631DE1C">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80</w:t>
                  </w:r>
                </w:p>
              </w:tc>
              <w:tc>
                <w:tcPr>
                  <w:tcW w:w="1461" w:type="dxa"/>
                  <w:vMerge w:val="continue"/>
                  <w:noWrap w:val="0"/>
                  <w:vAlign w:val="center"/>
                </w:tcPr>
                <w:p w14:paraId="6C42EACE">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31" w:type="dxa"/>
                  <w:vMerge w:val="continue"/>
                  <w:noWrap w:val="0"/>
                  <w:vAlign w:val="center"/>
                </w:tcPr>
                <w:p w14:paraId="71AE766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40" w:type="dxa"/>
                  <w:noWrap w:val="0"/>
                  <w:vAlign w:val="center"/>
                </w:tcPr>
                <w:p w14:paraId="607E62E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55</w:t>
                  </w:r>
                </w:p>
              </w:tc>
              <w:tc>
                <w:tcPr>
                  <w:tcW w:w="653" w:type="dxa"/>
                  <w:vMerge w:val="continue"/>
                  <w:noWrap w:val="0"/>
                  <w:vAlign w:val="center"/>
                </w:tcPr>
                <w:p w14:paraId="5EE9D9A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7498E53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noWrap w:val="0"/>
                  <w:vAlign w:val="top"/>
                </w:tcPr>
                <w:p w14:paraId="32A9B5D9">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001" w:type="dxa"/>
                  <w:noWrap w:val="0"/>
                  <w:vAlign w:val="center"/>
                </w:tcPr>
                <w:p w14:paraId="62758A48">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秸秆基材联动生产线</w:t>
                  </w:r>
                </w:p>
              </w:tc>
              <w:tc>
                <w:tcPr>
                  <w:tcW w:w="710" w:type="dxa"/>
                  <w:vMerge w:val="continue"/>
                  <w:noWrap w:val="0"/>
                  <w:vAlign w:val="center"/>
                </w:tcPr>
                <w:p w14:paraId="3E79D105">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694" w:type="dxa"/>
                  <w:vMerge w:val="continue"/>
                  <w:noWrap w:val="0"/>
                  <w:vAlign w:val="center"/>
                </w:tcPr>
                <w:p w14:paraId="14455D84">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82" w:type="dxa"/>
                  <w:noWrap w:val="0"/>
                  <w:vAlign w:val="center"/>
                </w:tcPr>
                <w:p w14:paraId="3A5789A8">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85</w:t>
                  </w:r>
                </w:p>
              </w:tc>
              <w:tc>
                <w:tcPr>
                  <w:tcW w:w="1461" w:type="dxa"/>
                  <w:vMerge w:val="continue"/>
                  <w:noWrap w:val="0"/>
                  <w:vAlign w:val="center"/>
                </w:tcPr>
                <w:p w14:paraId="63BE45FD">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31" w:type="dxa"/>
                  <w:vMerge w:val="continue"/>
                  <w:noWrap w:val="0"/>
                  <w:vAlign w:val="center"/>
                </w:tcPr>
                <w:p w14:paraId="102958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40" w:type="dxa"/>
                  <w:noWrap w:val="0"/>
                  <w:vAlign w:val="center"/>
                </w:tcPr>
                <w:p w14:paraId="1A28735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60</w:t>
                  </w:r>
                </w:p>
              </w:tc>
              <w:tc>
                <w:tcPr>
                  <w:tcW w:w="653" w:type="dxa"/>
                  <w:vMerge w:val="continue"/>
                  <w:noWrap w:val="0"/>
                  <w:vAlign w:val="center"/>
                </w:tcPr>
                <w:p w14:paraId="4765C84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7991853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noWrap w:val="0"/>
                  <w:vAlign w:val="top"/>
                </w:tcPr>
                <w:p w14:paraId="5A7280BF">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001" w:type="dxa"/>
                  <w:noWrap w:val="0"/>
                  <w:vAlign w:val="center"/>
                </w:tcPr>
                <w:p w14:paraId="36A67B85">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热压机</w:t>
                  </w:r>
                </w:p>
              </w:tc>
              <w:tc>
                <w:tcPr>
                  <w:tcW w:w="710" w:type="dxa"/>
                  <w:vMerge w:val="continue"/>
                  <w:noWrap w:val="0"/>
                  <w:vAlign w:val="center"/>
                </w:tcPr>
                <w:p w14:paraId="371CB535">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694" w:type="dxa"/>
                  <w:vMerge w:val="continue"/>
                  <w:noWrap w:val="0"/>
                  <w:vAlign w:val="center"/>
                </w:tcPr>
                <w:p w14:paraId="7190C36C">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82" w:type="dxa"/>
                  <w:noWrap w:val="0"/>
                  <w:vAlign w:val="center"/>
                </w:tcPr>
                <w:p w14:paraId="01C7C6C3">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85</w:t>
                  </w:r>
                </w:p>
              </w:tc>
              <w:tc>
                <w:tcPr>
                  <w:tcW w:w="1461" w:type="dxa"/>
                  <w:vMerge w:val="continue"/>
                  <w:noWrap w:val="0"/>
                  <w:vAlign w:val="center"/>
                </w:tcPr>
                <w:p w14:paraId="38E13881">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31" w:type="dxa"/>
                  <w:vMerge w:val="continue"/>
                  <w:noWrap w:val="0"/>
                  <w:vAlign w:val="center"/>
                </w:tcPr>
                <w:p w14:paraId="60B6459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40" w:type="dxa"/>
                  <w:noWrap w:val="0"/>
                  <w:vAlign w:val="center"/>
                </w:tcPr>
                <w:p w14:paraId="6DE85BE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60</w:t>
                  </w:r>
                </w:p>
              </w:tc>
              <w:tc>
                <w:tcPr>
                  <w:tcW w:w="653" w:type="dxa"/>
                  <w:vMerge w:val="continue"/>
                  <w:noWrap w:val="0"/>
                  <w:vAlign w:val="center"/>
                </w:tcPr>
                <w:p w14:paraId="0C3DC5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bl>
          <w:p w14:paraId="27D1B541">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如果声源处于半自由声场，计算公式如下：</w:t>
            </w:r>
          </w:p>
          <w:p w14:paraId="39F716F1">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position w:val="-14"/>
                <w:sz w:val="24"/>
                <w:szCs w:val="24"/>
                <w:highlight w:val="none"/>
                <w14:textFill>
                  <w14:solidFill>
                    <w14:schemeClr w14:val="tx1"/>
                  </w14:solidFill>
                </w14:textFill>
              </w:rPr>
              <w:object>
                <v:shape id="_x0000_i1025" o:spt="75" type="#_x0000_t75" style="height:18.8pt;width:110.2pt;" o:ole="t" filled="f" o:preferrelative="t" stroked="f" coordsize="21600,21600">
                  <v:path/>
                  <v:fill on="f" focussize="0,0"/>
                  <v:stroke on="f"/>
                  <v:imagedata r:id="rId22" embosscolor="#FFFFFF" o:title=""/>
                  <o:lock v:ext="edit" grouping="f" rotation="f" text="f" aspectratio="t"/>
                  <w10:wrap type="none"/>
                  <w10:anchorlock/>
                </v:shape>
                <o:OLEObject Type="Embed" ProgID="Equation.3" ShapeID="_x0000_i1025" DrawAspect="Content" ObjectID="_1468075725" r:id="rId21">
                  <o:LockedField>false</o:LockedField>
                </o:OLEObject>
              </w:object>
            </w:r>
          </w:p>
          <w:p w14:paraId="54842B5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式中：L</w:t>
            </w:r>
            <w:r>
              <w:rPr>
                <w:rFonts w:hint="default" w:ascii="Times New Roman" w:hAnsi="Times New Roman" w:cs="Times New Roman"/>
                <w:bCs/>
                <w:color w:val="000000" w:themeColor="text1"/>
                <w:sz w:val="24"/>
                <w:szCs w:val="24"/>
                <w:highlight w:val="none"/>
                <w:vertAlign w:val="subscript"/>
                <w14:textFill>
                  <w14:solidFill>
                    <w14:schemeClr w14:val="tx1"/>
                  </w14:solidFill>
                </w14:textFill>
              </w:rPr>
              <w:t>p</w:t>
            </w:r>
            <w:r>
              <w:rPr>
                <w:rFonts w:hint="default" w:ascii="Times New Roman" w:hAnsi="Times New Roman" w:cs="Times New Roman"/>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bCs/>
                <w:color w:val="000000" w:themeColor="text1"/>
                <w:sz w:val="24"/>
                <w:szCs w:val="24"/>
                <w:highlight w:val="none"/>
                <w14:textFill>
                  <w14:solidFill>
                    <w14:schemeClr w14:val="tx1"/>
                  </w14:solidFill>
                </w14:textFill>
              </w:rPr>
              <w:t>r</w:t>
            </w:r>
            <w:r>
              <w:rPr>
                <w:rFonts w:hint="default" w:ascii="Times New Roman" w:hAnsi="Times New Roman" w:cs="Times New Roman"/>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bCs/>
                <w:color w:val="000000" w:themeColor="text1"/>
                <w:sz w:val="24"/>
                <w:szCs w:val="24"/>
                <w:highlight w:val="none"/>
                <w14:textFill>
                  <w14:solidFill>
                    <w14:schemeClr w14:val="tx1"/>
                  </w14:solidFill>
                </w14:textFill>
              </w:rPr>
              <w:t>——预测点处声压级，dB；</w:t>
            </w:r>
          </w:p>
          <w:p w14:paraId="116A952F">
            <w:pPr>
              <w:keepNext w:val="0"/>
              <w:keepLines w:val="0"/>
              <w:suppressLineNumbers w:val="0"/>
              <w:adjustRightInd w:val="0"/>
              <w:snapToGrid w:val="0"/>
              <w:spacing w:before="0" w:beforeAutospacing="0" w:after="0" w:afterAutospacing="0" w:line="360" w:lineRule="auto"/>
              <w:ind w:left="0" w:right="0" w:firstLine="1200" w:firstLineChars="500"/>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L</w:t>
            </w:r>
            <w:r>
              <w:rPr>
                <w:rFonts w:hint="default" w:ascii="Times New Roman" w:hAnsi="Times New Roman" w:cs="Times New Roman"/>
                <w:bCs/>
                <w:color w:val="000000" w:themeColor="text1"/>
                <w:sz w:val="24"/>
                <w:szCs w:val="24"/>
                <w:highlight w:val="none"/>
                <w:vertAlign w:val="subscript"/>
                <w14:textFill>
                  <w14:solidFill>
                    <w14:schemeClr w14:val="tx1"/>
                  </w14:solidFill>
                </w14:textFill>
              </w:rPr>
              <w:t>w</w:t>
            </w:r>
            <w:r>
              <w:rPr>
                <w:rFonts w:hint="default" w:ascii="Times New Roman" w:hAnsi="Times New Roman" w:cs="Times New Roman"/>
                <w:bCs/>
                <w:color w:val="000000" w:themeColor="text1"/>
                <w:sz w:val="24"/>
                <w:szCs w:val="24"/>
                <w:highlight w:val="none"/>
                <w14:textFill>
                  <w14:solidFill>
                    <w14:schemeClr w14:val="tx1"/>
                  </w14:solidFill>
                </w14:textFill>
              </w:rPr>
              <w:t>——由点声源产生的倍频带声功率级，dB；</w:t>
            </w:r>
          </w:p>
          <w:p w14:paraId="476193CD">
            <w:pPr>
              <w:keepNext w:val="0"/>
              <w:keepLines w:val="0"/>
              <w:suppressLineNumbers w:val="0"/>
              <w:adjustRightInd w:val="0"/>
              <w:snapToGrid w:val="0"/>
              <w:spacing w:before="0" w:beforeAutospacing="0" w:after="0" w:afterAutospacing="0" w:line="360" w:lineRule="auto"/>
              <w:ind w:left="0" w:right="0" w:firstLine="1200" w:firstLineChars="500"/>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r——预测点距声源的距离。</w:t>
            </w:r>
          </w:p>
          <w:p w14:paraId="31BE6FDE">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噪声贡献值</w:t>
            </w:r>
            <w:r>
              <w:rPr>
                <w:rFonts w:hint="default" w:ascii="Times New Roman" w:hAnsi="Times New Roman" w:cs="Times New Roman"/>
                <w:color w:val="000000" w:themeColor="text1"/>
                <w:sz w:val="24"/>
                <w:szCs w:val="24"/>
                <w:highlight w:val="none"/>
                <w14:textFill>
                  <w14:solidFill>
                    <w14:schemeClr w14:val="tx1"/>
                  </w14:solidFill>
                </w14:textFill>
              </w:rPr>
              <w:t>计算公式</w:t>
            </w:r>
            <w:r>
              <w:rPr>
                <w:rFonts w:hint="default" w:ascii="Times New Roman" w:hAnsi="Times New Roman" w:cs="Times New Roman"/>
                <w:bCs/>
                <w:color w:val="000000" w:themeColor="text1"/>
                <w:sz w:val="24"/>
                <w:szCs w:val="24"/>
                <w:highlight w:val="none"/>
                <w14:textFill>
                  <w14:solidFill>
                    <w14:schemeClr w14:val="tx1"/>
                  </w14:solidFill>
                </w14:textFill>
              </w:rPr>
              <w:t>：</w:t>
            </w:r>
          </w:p>
          <w:p w14:paraId="5D5BB6D1">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position w:val="-34"/>
                <w:sz w:val="24"/>
                <w:szCs w:val="24"/>
                <w:highlight w:val="none"/>
                <w14:textFill>
                  <w14:solidFill>
                    <w14:schemeClr w14:val="tx1"/>
                  </w14:solidFill>
                </w14:textFill>
              </w:rPr>
              <w:object>
                <v:shape id="_x0000_i1026" o:spt="75" type="#_x0000_t75" style="height:40.05pt;width:204.75pt;" o:ole="t" filled="f" o:preferrelative="t" stroked="f" coordsize="21600,21600">
                  <v:path/>
                  <v:fill on="f" focussize="0,0"/>
                  <v:stroke on="f"/>
                  <v:imagedata r:id="rId24" embosscolor="#FFFFFF" o:title=""/>
                  <o:lock v:ext="edit" grouping="f" rotation="f" text="f" aspectratio="t"/>
                  <w10:wrap type="none"/>
                  <w10:anchorlock/>
                </v:shape>
                <o:OLEObject Type="Embed" ProgID="Equation.3" ShapeID="_x0000_i1026" DrawAspect="Content" ObjectID="_1468075726" r:id="rId23">
                  <o:LockedField>false</o:LockedField>
                </o:OLEObject>
              </w:object>
            </w:r>
          </w:p>
          <w:p w14:paraId="68011B5E">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式中：L</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eqg</w:t>
            </w:r>
            <w:r>
              <w:rPr>
                <w:rFonts w:hint="default" w:ascii="Times New Roman" w:hAnsi="Times New Roman" w:cs="Times New Roman"/>
                <w:color w:val="000000" w:themeColor="text1"/>
                <w:sz w:val="24"/>
                <w:szCs w:val="24"/>
                <w:highlight w:val="none"/>
                <w14:textFill>
                  <w14:solidFill>
                    <w14:schemeClr w14:val="tx1"/>
                  </w14:solidFill>
                </w14:textFill>
              </w:rPr>
              <w:t>——建设项目声源在预测点产生的噪声贡献值，dB；</w:t>
            </w:r>
          </w:p>
          <w:p w14:paraId="6AD72693">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T——用于计算等效声级的时间，s；</w:t>
            </w:r>
          </w:p>
          <w:p w14:paraId="12647450">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N——室外声源个数；</w:t>
            </w:r>
          </w:p>
          <w:p w14:paraId="6E9C9293">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t</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i</w:t>
            </w:r>
            <w:r>
              <w:rPr>
                <w:rFonts w:hint="default" w:ascii="Times New Roman" w:hAnsi="Times New Roman" w:cs="Times New Roman"/>
                <w:color w:val="000000" w:themeColor="text1"/>
                <w:sz w:val="24"/>
                <w:szCs w:val="24"/>
                <w:highlight w:val="none"/>
                <w14:textFill>
                  <w14:solidFill>
                    <w14:schemeClr w14:val="tx1"/>
                  </w14:solidFill>
                </w14:textFill>
              </w:rPr>
              <w:t>——在T时间内i声源工作时间，s；</w:t>
            </w:r>
          </w:p>
          <w:p w14:paraId="0FD71855">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M——等效室外声源个数；</w:t>
            </w:r>
          </w:p>
          <w:p w14:paraId="30EA1BC9">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t</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j</w:t>
            </w:r>
            <w:r>
              <w:rPr>
                <w:rFonts w:hint="default" w:ascii="Times New Roman" w:hAnsi="Times New Roman" w:cs="Times New Roman"/>
                <w:color w:val="000000" w:themeColor="text1"/>
                <w:sz w:val="24"/>
                <w:szCs w:val="24"/>
                <w:highlight w:val="none"/>
                <w14:textFill>
                  <w14:solidFill>
                    <w14:schemeClr w14:val="tx1"/>
                  </w14:solidFill>
                </w14:textFill>
              </w:rPr>
              <w:t>——在T时间内j声源工作时间，s。</w:t>
            </w:r>
          </w:p>
          <w:p w14:paraId="69B6B312">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噪声预测值计算公式：</w:t>
            </w:r>
          </w:p>
          <w:p w14:paraId="3DFF672D">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预测点的贡献值和背景值按能量叠加方法计算得到声级。</w:t>
            </w:r>
          </w:p>
          <w:p w14:paraId="7AC2DE22">
            <w:pPr>
              <w:keepNext w:val="0"/>
              <w:keepLines w:val="0"/>
              <w:suppressLineNumbers w:val="0"/>
              <w:spacing w:before="0" w:beforeAutospacing="0" w:after="0" w:afterAutospacing="0"/>
              <w:ind w:left="0" w:right="0" w:firstLine="42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噪声预测值计算公式为：</w:t>
            </w:r>
          </w:p>
          <w:p w14:paraId="3067B9EB">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position w:val="-14"/>
                <w:sz w:val="24"/>
                <w:szCs w:val="24"/>
                <w:highlight w:val="none"/>
                <w14:textFill>
                  <w14:solidFill>
                    <w14:schemeClr w14:val="tx1"/>
                  </w14:solidFill>
                </w14:textFill>
              </w:rPr>
              <w:object>
                <v:shape id="_x0000_i1027" o:spt="75" type="#_x0000_t75" style="height:21.3pt;width:135.25pt;" o:ole="t" filled="f" o:preferrelative="t" stroked="f" coordsize="21600,21600">
                  <v:path/>
                  <v:fill on="f" focussize="0,0"/>
                  <v:stroke on="f"/>
                  <v:imagedata r:id="rId26" embosscolor="#FFFFFF" o:title=""/>
                  <o:lock v:ext="edit" grouping="f" rotation="f" text="f" aspectratio="t"/>
                  <w10:wrap type="none"/>
                  <w10:anchorlock/>
                </v:shape>
                <o:OLEObject Type="Embed" ProgID="Equation.3" ShapeID="_x0000_i1027" DrawAspect="Content" ObjectID="_1468075727" r:id="rId25">
                  <o:LockedField>false</o:LockedField>
                </o:OLEObject>
              </w:object>
            </w:r>
          </w:p>
          <w:p w14:paraId="60B74788">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其中：L</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eq</w:t>
            </w:r>
            <w:r>
              <w:rPr>
                <w:rFonts w:hint="default" w:ascii="Times New Roman" w:hAnsi="Times New Roman" w:cs="Times New Roman"/>
                <w:color w:val="000000" w:themeColor="text1"/>
                <w:sz w:val="24"/>
                <w:szCs w:val="24"/>
                <w:highlight w:val="none"/>
                <w14:textFill>
                  <w14:solidFill>
                    <w14:schemeClr w14:val="tx1"/>
                  </w14:solidFill>
                </w14:textFill>
              </w:rPr>
              <w:t>——预测点的噪声预测值，dB；</w:t>
            </w:r>
          </w:p>
          <w:p w14:paraId="26D4CCBD">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L</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eqg</w:t>
            </w:r>
            <w:r>
              <w:rPr>
                <w:rFonts w:hint="default" w:ascii="Times New Roman" w:hAnsi="Times New Roman" w:cs="Times New Roman"/>
                <w:color w:val="000000" w:themeColor="text1"/>
                <w:sz w:val="24"/>
                <w:szCs w:val="24"/>
                <w:highlight w:val="none"/>
                <w14:textFill>
                  <w14:solidFill>
                    <w14:schemeClr w14:val="tx1"/>
                  </w14:solidFill>
                </w14:textFill>
              </w:rPr>
              <w:t>——建设项目声源在预测点产生的噪声贡献值，dB；</w:t>
            </w:r>
          </w:p>
          <w:p w14:paraId="445BF2EA">
            <w:pPr>
              <w:keepNext w:val="0"/>
              <w:keepLines w:val="0"/>
              <w:suppressLineNumbers w:val="0"/>
              <w:adjustRightInd w:val="0"/>
              <w:spacing w:before="0" w:beforeAutospacing="0" w:after="0" w:afterAutospacing="0" w:line="360" w:lineRule="auto"/>
              <w:ind w:left="0" w:right="0" w:firstLine="1200" w:firstLineChars="50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L</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eqb</w:t>
            </w:r>
            <w:r>
              <w:rPr>
                <w:rFonts w:hint="default" w:ascii="Times New Roman" w:hAnsi="Times New Roman" w:cs="Times New Roman"/>
                <w:color w:val="000000" w:themeColor="text1"/>
                <w:sz w:val="24"/>
                <w:szCs w:val="24"/>
                <w:highlight w:val="none"/>
                <w14:textFill>
                  <w14:solidFill>
                    <w14:schemeClr w14:val="tx1"/>
                  </w14:solidFill>
                </w14:textFill>
              </w:rPr>
              <w:t>——预测点的背景噪声值，dB。</w:t>
            </w:r>
          </w:p>
          <w:p w14:paraId="0392B465">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经上述公式计算，噪声预测结果见下表。</w:t>
            </w:r>
          </w:p>
          <w:p w14:paraId="62AE8629">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000000" w:themeColor="text1"/>
                <w:sz w:val="24"/>
                <w:szCs w:val="24"/>
                <w:highlight w:val="none"/>
                <w:lang w:eastAsia="zh-CN"/>
                <w14:textFill>
                  <w14:solidFill>
                    <w14:schemeClr w14:val="tx1"/>
                  </w14:solidFill>
                </w14:textFill>
              </w:rPr>
            </w:pPr>
            <w:r>
              <w:rPr>
                <w:rFonts w:hint="default" w:ascii="Times New Roman" w:hAnsi="Times New Roman" w:cs="Times New Roman"/>
                <w:b/>
                <w:color w:val="000000" w:themeColor="text1"/>
                <w:sz w:val="24"/>
                <w:szCs w:val="24"/>
                <w:highlight w:val="none"/>
                <w14:textFill>
                  <w14:solidFill>
                    <w14:schemeClr w14:val="tx1"/>
                  </w14:solidFill>
                </w14:textFill>
              </w:rPr>
              <w:t>表4-</w:t>
            </w:r>
            <w:r>
              <w:rPr>
                <w:rFonts w:hint="default" w:ascii="Times New Roman" w:hAnsi="Times New Roman" w:cs="Times New Roman"/>
                <w:b/>
                <w:color w:val="000000" w:themeColor="text1"/>
                <w:sz w:val="24"/>
                <w:szCs w:val="24"/>
                <w:highlight w:val="none"/>
                <w:lang w:val="en-US" w:eastAsia="zh-CN"/>
                <w14:textFill>
                  <w14:solidFill>
                    <w14:schemeClr w14:val="tx1"/>
                  </w14:solidFill>
                </w14:textFill>
              </w:rPr>
              <w:t>8</w:t>
            </w:r>
            <w:r>
              <w:rPr>
                <w:rFonts w:hint="default" w:ascii="Times New Roman" w:hAnsi="Times New Roman" w:cs="Times New Roman"/>
                <w:b/>
                <w:color w:val="000000" w:themeColor="text1"/>
                <w:sz w:val="24"/>
                <w:szCs w:val="24"/>
                <w:highlight w:val="none"/>
                <w14:textFill>
                  <w14:solidFill>
                    <w14:schemeClr w14:val="tx1"/>
                  </w14:solidFill>
                </w14:textFill>
              </w:rPr>
              <w:t>厂界噪声预测结果单位：dB</w:t>
            </w:r>
            <w:r>
              <w:rPr>
                <w:rFonts w:hint="default" w:ascii="Times New Roman" w:hAnsi="Times New Roman" w:cs="Times New Roman"/>
                <w:b/>
                <w:color w:val="000000" w:themeColor="text1"/>
                <w:sz w:val="24"/>
                <w:szCs w:val="24"/>
                <w:highlight w:val="none"/>
                <w:lang w:eastAsia="zh-CN"/>
                <w14:textFill>
                  <w14:solidFill>
                    <w14:schemeClr w14:val="tx1"/>
                  </w14:solidFill>
                </w14:textFill>
              </w:rPr>
              <w:t>（</w:t>
            </w:r>
            <w:r>
              <w:rPr>
                <w:rFonts w:hint="default" w:ascii="Times New Roman" w:hAnsi="Times New Roman" w:cs="Times New Roman"/>
                <w:b/>
                <w:color w:val="000000" w:themeColor="text1"/>
                <w:sz w:val="24"/>
                <w:szCs w:val="24"/>
                <w:highlight w:val="none"/>
                <w14:textFill>
                  <w14:solidFill>
                    <w14:schemeClr w14:val="tx1"/>
                  </w14:solidFill>
                </w14:textFill>
              </w:rPr>
              <w:t>A</w:t>
            </w:r>
            <w:r>
              <w:rPr>
                <w:rFonts w:hint="default" w:ascii="Times New Roman" w:hAnsi="Times New Roman" w:cs="Times New Roman"/>
                <w:b/>
                <w:color w:val="000000" w:themeColor="text1"/>
                <w:sz w:val="24"/>
                <w:szCs w:val="24"/>
                <w:highlight w:val="none"/>
                <w:lang w:eastAsia="zh-CN"/>
                <w14:textFill>
                  <w14:solidFill>
                    <w14:schemeClr w14:val="tx1"/>
                  </w14:solidFill>
                </w14:textFill>
              </w:rPr>
              <w:t>）</w:t>
            </w:r>
          </w:p>
          <w:tbl>
            <w:tblPr>
              <w:tblStyle w:val="13"/>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83"/>
              <w:gridCol w:w="1099"/>
              <w:gridCol w:w="1099"/>
              <w:gridCol w:w="1100"/>
              <w:gridCol w:w="1100"/>
              <w:gridCol w:w="1100"/>
              <w:gridCol w:w="1113"/>
            </w:tblGrid>
            <w:tr w14:paraId="1AFF865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58" w:type="dxa"/>
                  <w:vMerge w:val="restart"/>
                  <w:tcBorders>
                    <w:tl2br w:val="nil"/>
                    <w:tr2bl w:val="nil"/>
                  </w:tcBorders>
                  <w:noWrap w:val="0"/>
                  <w:vAlign w:val="center"/>
                </w:tcPr>
                <w:p w14:paraId="611DBC51">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项目</w:t>
                  </w:r>
                </w:p>
              </w:tc>
              <w:tc>
                <w:tcPr>
                  <w:tcW w:w="2162" w:type="dxa"/>
                  <w:gridSpan w:val="2"/>
                  <w:tcBorders>
                    <w:tl2br w:val="nil"/>
                    <w:tr2bl w:val="nil"/>
                  </w:tcBorders>
                  <w:noWrap w:val="0"/>
                  <w:vAlign w:val="center"/>
                </w:tcPr>
                <w:p w14:paraId="0CB34766">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贡献值</w:t>
                  </w:r>
                </w:p>
              </w:tc>
              <w:tc>
                <w:tcPr>
                  <w:tcW w:w="2164" w:type="dxa"/>
                  <w:gridSpan w:val="2"/>
                  <w:tcBorders>
                    <w:tl2br w:val="nil"/>
                    <w:tr2bl w:val="nil"/>
                  </w:tcBorders>
                  <w:noWrap w:val="0"/>
                  <w:vAlign w:val="center"/>
                </w:tcPr>
                <w:p w14:paraId="2CC1A3CD">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标准值</w:t>
                  </w:r>
                </w:p>
              </w:tc>
              <w:tc>
                <w:tcPr>
                  <w:tcW w:w="2175" w:type="dxa"/>
                  <w:gridSpan w:val="2"/>
                  <w:tcBorders>
                    <w:tl2br w:val="nil"/>
                    <w:tr2bl w:val="nil"/>
                  </w:tcBorders>
                  <w:noWrap w:val="0"/>
                  <w:vAlign w:val="center"/>
                </w:tcPr>
                <w:p w14:paraId="59990A90">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超标和达标情况</w:t>
                  </w:r>
                </w:p>
              </w:tc>
            </w:tr>
            <w:tr w14:paraId="6B1CDAE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58" w:type="dxa"/>
                  <w:vMerge w:val="continue"/>
                  <w:tcBorders>
                    <w:tl2br w:val="nil"/>
                    <w:tr2bl w:val="nil"/>
                  </w:tcBorders>
                  <w:noWrap w:val="0"/>
                  <w:vAlign w:val="center"/>
                </w:tcPr>
                <w:p w14:paraId="7D95B8AA">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081" w:type="dxa"/>
                  <w:tcBorders>
                    <w:tl2br w:val="nil"/>
                    <w:tr2bl w:val="nil"/>
                  </w:tcBorders>
                  <w:noWrap w:val="0"/>
                  <w:vAlign w:val="center"/>
                </w:tcPr>
                <w:p w14:paraId="5AA056FC">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昼间</w:t>
                  </w:r>
                </w:p>
              </w:tc>
              <w:tc>
                <w:tcPr>
                  <w:tcW w:w="1081" w:type="dxa"/>
                  <w:tcBorders>
                    <w:tl2br w:val="nil"/>
                    <w:tr2bl w:val="nil"/>
                  </w:tcBorders>
                  <w:noWrap w:val="0"/>
                  <w:vAlign w:val="center"/>
                </w:tcPr>
                <w:p w14:paraId="3612237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夜间</w:t>
                  </w:r>
                </w:p>
              </w:tc>
              <w:tc>
                <w:tcPr>
                  <w:tcW w:w="1082" w:type="dxa"/>
                  <w:tcBorders>
                    <w:tl2br w:val="nil"/>
                    <w:tr2bl w:val="nil"/>
                  </w:tcBorders>
                  <w:noWrap w:val="0"/>
                  <w:vAlign w:val="center"/>
                </w:tcPr>
                <w:p w14:paraId="07200C8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昼间</w:t>
                  </w:r>
                </w:p>
              </w:tc>
              <w:tc>
                <w:tcPr>
                  <w:tcW w:w="1082" w:type="dxa"/>
                  <w:tcBorders>
                    <w:tl2br w:val="nil"/>
                    <w:tr2bl w:val="nil"/>
                  </w:tcBorders>
                  <w:noWrap w:val="0"/>
                  <w:vAlign w:val="center"/>
                </w:tcPr>
                <w:p w14:paraId="71CFE78D">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夜间</w:t>
                  </w:r>
                </w:p>
              </w:tc>
              <w:tc>
                <w:tcPr>
                  <w:tcW w:w="1082" w:type="dxa"/>
                  <w:tcBorders>
                    <w:tl2br w:val="nil"/>
                    <w:tr2bl w:val="nil"/>
                  </w:tcBorders>
                  <w:noWrap w:val="0"/>
                  <w:vAlign w:val="center"/>
                </w:tcPr>
                <w:p w14:paraId="10B11946">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昼间</w:t>
                  </w:r>
                </w:p>
              </w:tc>
              <w:tc>
                <w:tcPr>
                  <w:tcW w:w="1093" w:type="dxa"/>
                  <w:tcBorders>
                    <w:tl2br w:val="nil"/>
                    <w:tr2bl w:val="nil"/>
                  </w:tcBorders>
                  <w:noWrap w:val="0"/>
                  <w:vAlign w:val="center"/>
                </w:tcPr>
                <w:p w14:paraId="1B0FABB9">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夜间</w:t>
                  </w:r>
                </w:p>
              </w:tc>
            </w:tr>
            <w:tr w14:paraId="1CEF339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58" w:type="dxa"/>
                  <w:tcBorders>
                    <w:tl2br w:val="nil"/>
                    <w:tr2bl w:val="nil"/>
                  </w:tcBorders>
                  <w:noWrap w:val="0"/>
                  <w:vAlign w:val="center"/>
                </w:tcPr>
                <w:p w14:paraId="4B6532CA">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厂界东侧</w:t>
                  </w:r>
                </w:p>
              </w:tc>
              <w:tc>
                <w:tcPr>
                  <w:tcW w:w="1081" w:type="dxa"/>
                  <w:tcBorders>
                    <w:tl2br w:val="nil"/>
                    <w:tr2bl w:val="nil"/>
                  </w:tcBorders>
                  <w:noWrap w:val="0"/>
                  <w:vAlign w:val="center"/>
                </w:tcPr>
                <w:p w14:paraId="54A2CF63">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37.5</w:t>
                  </w:r>
                </w:p>
              </w:tc>
              <w:tc>
                <w:tcPr>
                  <w:tcW w:w="1081" w:type="dxa"/>
                  <w:tcBorders>
                    <w:tl2br w:val="nil"/>
                    <w:tr2bl w:val="nil"/>
                  </w:tcBorders>
                  <w:shd w:val="clear" w:color="auto" w:fill="auto"/>
                  <w:noWrap w:val="0"/>
                  <w:vAlign w:val="center"/>
                </w:tcPr>
                <w:p w14:paraId="767E935F">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37.5</w:t>
                  </w:r>
                </w:p>
              </w:tc>
              <w:tc>
                <w:tcPr>
                  <w:tcW w:w="1082" w:type="dxa"/>
                  <w:tcBorders>
                    <w:tl2br w:val="nil"/>
                    <w:tr2bl w:val="nil"/>
                  </w:tcBorders>
                  <w:noWrap w:val="0"/>
                  <w:vAlign w:val="center"/>
                </w:tcPr>
                <w:p w14:paraId="59D04BEB">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60</w:t>
                  </w:r>
                </w:p>
              </w:tc>
              <w:tc>
                <w:tcPr>
                  <w:tcW w:w="1082" w:type="dxa"/>
                  <w:tcBorders>
                    <w:tl2br w:val="nil"/>
                    <w:tr2bl w:val="nil"/>
                  </w:tcBorders>
                  <w:noWrap w:val="0"/>
                  <w:vAlign w:val="center"/>
                </w:tcPr>
                <w:p w14:paraId="5F29E046">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50</w:t>
                  </w:r>
                </w:p>
              </w:tc>
              <w:tc>
                <w:tcPr>
                  <w:tcW w:w="1082" w:type="dxa"/>
                  <w:tcBorders>
                    <w:tl2br w:val="nil"/>
                    <w:tr2bl w:val="nil"/>
                  </w:tcBorders>
                  <w:noWrap w:val="0"/>
                  <w:vAlign w:val="center"/>
                </w:tcPr>
                <w:p w14:paraId="1F3B3BF5">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c>
                <w:tcPr>
                  <w:tcW w:w="1093" w:type="dxa"/>
                  <w:tcBorders>
                    <w:tl2br w:val="nil"/>
                    <w:tr2bl w:val="nil"/>
                  </w:tcBorders>
                  <w:noWrap w:val="0"/>
                  <w:vAlign w:val="center"/>
                </w:tcPr>
                <w:p w14:paraId="08EEC36B">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r w14:paraId="4EC6E94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58" w:type="dxa"/>
                  <w:tcBorders>
                    <w:tl2br w:val="nil"/>
                    <w:tr2bl w:val="nil"/>
                  </w:tcBorders>
                  <w:noWrap w:val="0"/>
                  <w:vAlign w:val="center"/>
                </w:tcPr>
                <w:p w14:paraId="444DBFA7">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厂界南侧</w:t>
                  </w:r>
                </w:p>
              </w:tc>
              <w:tc>
                <w:tcPr>
                  <w:tcW w:w="1081" w:type="dxa"/>
                  <w:tcBorders>
                    <w:tl2br w:val="nil"/>
                    <w:tr2bl w:val="nil"/>
                  </w:tcBorders>
                  <w:noWrap w:val="0"/>
                  <w:vAlign w:val="center"/>
                </w:tcPr>
                <w:p w14:paraId="1068A5D9">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35.6</w:t>
                  </w:r>
                </w:p>
              </w:tc>
              <w:tc>
                <w:tcPr>
                  <w:tcW w:w="1081" w:type="dxa"/>
                  <w:tcBorders>
                    <w:tl2br w:val="nil"/>
                    <w:tr2bl w:val="nil"/>
                  </w:tcBorders>
                  <w:shd w:val="clear" w:color="auto" w:fill="auto"/>
                  <w:noWrap w:val="0"/>
                  <w:vAlign w:val="center"/>
                </w:tcPr>
                <w:p w14:paraId="5AA43B80">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35.6</w:t>
                  </w:r>
                </w:p>
              </w:tc>
              <w:tc>
                <w:tcPr>
                  <w:tcW w:w="1082" w:type="dxa"/>
                  <w:tcBorders>
                    <w:tl2br w:val="nil"/>
                    <w:tr2bl w:val="nil"/>
                  </w:tcBorders>
                  <w:noWrap w:val="0"/>
                  <w:vAlign w:val="center"/>
                </w:tcPr>
                <w:p w14:paraId="71EA14BC">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60</w:t>
                  </w:r>
                </w:p>
              </w:tc>
              <w:tc>
                <w:tcPr>
                  <w:tcW w:w="1082" w:type="dxa"/>
                  <w:tcBorders>
                    <w:tl2br w:val="nil"/>
                    <w:tr2bl w:val="nil"/>
                  </w:tcBorders>
                  <w:noWrap w:val="0"/>
                  <w:vAlign w:val="center"/>
                </w:tcPr>
                <w:p w14:paraId="452E4C8F">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50</w:t>
                  </w:r>
                </w:p>
              </w:tc>
              <w:tc>
                <w:tcPr>
                  <w:tcW w:w="1082" w:type="dxa"/>
                  <w:tcBorders>
                    <w:tl2br w:val="nil"/>
                    <w:tr2bl w:val="nil"/>
                  </w:tcBorders>
                  <w:noWrap w:val="0"/>
                  <w:vAlign w:val="center"/>
                </w:tcPr>
                <w:p w14:paraId="51BC3EF0">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c>
                <w:tcPr>
                  <w:tcW w:w="1093" w:type="dxa"/>
                  <w:tcBorders>
                    <w:tl2br w:val="nil"/>
                    <w:tr2bl w:val="nil"/>
                  </w:tcBorders>
                  <w:noWrap w:val="0"/>
                  <w:vAlign w:val="center"/>
                </w:tcPr>
                <w:p w14:paraId="77D506A7">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r w14:paraId="65EB20F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58" w:type="dxa"/>
                  <w:tcBorders>
                    <w:tl2br w:val="nil"/>
                    <w:tr2bl w:val="nil"/>
                  </w:tcBorders>
                  <w:noWrap w:val="0"/>
                  <w:vAlign w:val="center"/>
                </w:tcPr>
                <w:p w14:paraId="37AE6A5E">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厂界西侧</w:t>
                  </w:r>
                </w:p>
              </w:tc>
              <w:tc>
                <w:tcPr>
                  <w:tcW w:w="1081" w:type="dxa"/>
                  <w:tcBorders>
                    <w:tl2br w:val="nil"/>
                    <w:tr2bl w:val="nil"/>
                  </w:tcBorders>
                  <w:noWrap w:val="0"/>
                  <w:vAlign w:val="center"/>
                </w:tcPr>
                <w:p w14:paraId="0C10A1AA">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36.4</w:t>
                  </w:r>
                </w:p>
              </w:tc>
              <w:tc>
                <w:tcPr>
                  <w:tcW w:w="1081" w:type="dxa"/>
                  <w:tcBorders>
                    <w:tl2br w:val="nil"/>
                    <w:tr2bl w:val="nil"/>
                  </w:tcBorders>
                  <w:shd w:val="clear" w:color="auto" w:fill="auto"/>
                  <w:noWrap w:val="0"/>
                  <w:vAlign w:val="center"/>
                </w:tcPr>
                <w:p w14:paraId="403CF0E0">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36.4</w:t>
                  </w:r>
                </w:p>
              </w:tc>
              <w:tc>
                <w:tcPr>
                  <w:tcW w:w="1082" w:type="dxa"/>
                  <w:tcBorders>
                    <w:tl2br w:val="nil"/>
                    <w:tr2bl w:val="nil"/>
                  </w:tcBorders>
                  <w:noWrap w:val="0"/>
                  <w:vAlign w:val="center"/>
                </w:tcPr>
                <w:p w14:paraId="509A2412">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60</w:t>
                  </w:r>
                </w:p>
              </w:tc>
              <w:tc>
                <w:tcPr>
                  <w:tcW w:w="1082" w:type="dxa"/>
                  <w:tcBorders>
                    <w:tl2br w:val="nil"/>
                    <w:tr2bl w:val="nil"/>
                  </w:tcBorders>
                  <w:noWrap w:val="0"/>
                  <w:vAlign w:val="center"/>
                </w:tcPr>
                <w:p w14:paraId="50232D1A">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50</w:t>
                  </w:r>
                </w:p>
              </w:tc>
              <w:tc>
                <w:tcPr>
                  <w:tcW w:w="1082" w:type="dxa"/>
                  <w:tcBorders>
                    <w:tl2br w:val="nil"/>
                    <w:tr2bl w:val="nil"/>
                  </w:tcBorders>
                  <w:noWrap w:val="0"/>
                  <w:vAlign w:val="center"/>
                </w:tcPr>
                <w:p w14:paraId="05F99DEE">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c>
                <w:tcPr>
                  <w:tcW w:w="1093" w:type="dxa"/>
                  <w:tcBorders>
                    <w:tl2br w:val="nil"/>
                    <w:tr2bl w:val="nil"/>
                  </w:tcBorders>
                  <w:noWrap w:val="0"/>
                  <w:vAlign w:val="center"/>
                </w:tcPr>
                <w:p w14:paraId="470D6B7D">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r w14:paraId="246B040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58" w:type="dxa"/>
                  <w:tcBorders>
                    <w:tl2br w:val="nil"/>
                    <w:tr2bl w:val="nil"/>
                  </w:tcBorders>
                  <w:noWrap w:val="0"/>
                  <w:vAlign w:val="center"/>
                </w:tcPr>
                <w:p w14:paraId="462D6833">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厂界北侧</w:t>
                  </w:r>
                </w:p>
              </w:tc>
              <w:tc>
                <w:tcPr>
                  <w:tcW w:w="1081" w:type="dxa"/>
                  <w:tcBorders>
                    <w:tl2br w:val="nil"/>
                    <w:tr2bl w:val="nil"/>
                  </w:tcBorders>
                  <w:noWrap w:val="0"/>
                  <w:vAlign w:val="center"/>
                </w:tcPr>
                <w:p w14:paraId="66DF690E">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40.2</w:t>
                  </w:r>
                </w:p>
              </w:tc>
              <w:tc>
                <w:tcPr>
                  <w:tcW w:w="1081" w:type="dxa"/>
                  <w:tcBorders>
                    <w:tl2br w:val="nil"/>
                    <w:tr2bl w:val="nil"/>
                  </w:tcBorders>
                  <w:shd w:val="clear" w:color="auto" w:fill="auto"/>
                  <w:noWrap w:val="0"/>
                  <w:vAlign w:val="center"/>
                </w:tcPr>
                <w:p w14:paraId="05EA6B77">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40.2</w:t>
                  </w:r>
                </w:p>
              </w:tc>
              <w:tc>
                <w:tcPr>
                  <w:tcW w:w="1082" w:type="dxa"/>
                  <w:tcBorders>
                    <w:tl2br w:val="nil"/>
                    <w:tr2bl w:val="nil"/>
                  </w:tcBorders>
                  <w:noWrap w:val="0"/>
                  <w:vAlign w:val="center"/>
                </w:tcPr>
                <w:p w14:paraId="7EA0ACD3">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60</w:t>
                  </w:r>
                </w:p>
              </w:tc>
              <w:tc>
                <w:tcPr>
                  <w:tcW w:w="1082" w:type="dxa"/>
                  <w:tcBorders>
                    <w:tl2br w:val="nil"/>
                    <w:tr2bl w:val="nil"/>
                  </w:tcBorders>
                  <w:noWrap w:val="0"/>
                  <w:vAlign w:val="center"/>
                </w:tcPr>
                <w:p w14:paraId="254BF38B">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50</w:t>
                  </w:r>
                </w:p>
              </w:tc>
              <w:tc>
                <w:tcPr>
                  <w:tcW w:w="1082" w:type="dxa"/>
                  <w:tcBorders>
                    <w:tl2br w:val="nil"/>
                    <w:tr2bl w:val="nil"/>
                  </w:tcBorders>
                  <w:noWrap w:val="0"/>
                  <w:vAlign w:val="center"/>
                </w:tcPr>
                <w:p w14:paraId="2D6DFAC2">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c>
                <w:tcPr>
                  <w:tcW w:w="1093" w:type="dxa"/>
                  <w:tcBorders>
                    <w:tl2br w:val="nil"/>
                    <w:tr2bl w:val="nil"/>
                  </w:tcBorders>
                  <w:noWrap w:val="0"/>
                  <w:vAlign w:val="center"/>
                </w:tcPr>
                <w:p w14:paraId="4F1106EE">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bl>
          <w:p w14:paraId="5B76EBEA">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污染防治措施及环境影响分析</w:t>
            </w:r>
          </w:p>
          <w:p w14:paraId="24806D3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为减轻对周围声环境的影响，项目从隔声降噪等方面考虑噪声的防治措施。具体采取的治理措施如下：</w:t>
            </w:r>
          </w:p>
          <w:p w14:paraId="493C167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①</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尽量</w:t>
            </w:r>
            <w:r>
              <w:rPr>
                <w:rFonts w:hint="default" w:ascii="Times New Roman" w:hAnsi="Times New Roman" w:cs="Times New Roman"/>
                <w:color w:val="000000" w:themeColor="text1"/>
                <w:sz w:val="24"/>
                <w:szCs w:val="24"/>
                <w:highlight w:val="none"/>
                <w14:textFill>
                  <w14:solidFill>
                    <w14:schemeClr w14:val="tx1"/>
                  </w14:solidFill>
                </w14:textFill>
              </w:rPr>
              <w:t>选用低噪声设备</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合理布局，将设备远离保护目标</w:t>
            </w:r>
            <w:r>
              <w:rPr>
                <w:rFonts w:hint="default" w:ascii="Times New Roman" w:hAnsi="Times New Roman" w:cs="Times New Roman"/>
                <w:color w:val="000000" w:themeColor="text1"/>
                <w:sz w:val="24"/>
                <w:szCs w:val="24"/>
                <w:highlight w:val="none"/>
                <w14:textFill>
                  <w14:solidFill>
                    <w14:schemeClr w14:val="tx1"/>
                  </w14:solidFill>
                </w14:textFill>
              </w:rPr>
              <w:t>；</w:t>
            </w:r>
          </w:p>
          <w:p w14:paraId="254FA6D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②生产过程中，加强检查、维护和保养机械设备，保持润滑，紧固各部件，减少运行振动噪声</w:t>
            </w:r>
            <w:r>
              <w:rPr>
                <w:rFonts w:hint="default" w:ascii="Times New Roman" w:hAnsi="Times New Roman" w:cs="Times New Roman"/>
                <w:bCs/>
                <w:color w:val="000000" w:themeColor="text1"/>
                <w:sz w:val="24"/>
                <w:szCs w:val="24"/>
                <w:highlight w:val="none"/>
                <w:lang w:eastAsia="zh-CN"/>
                <w14:textFill>
                  <w14:solidFill>
                    <w14:schemeClr w14:val="tx1"/>
                  </w14:solidFill>
                </w14:textFill>
              </w:rPr>
              <w:t>；</w:t>
            </w:r>
          </w:p>
          <w:p w14:paraId="17D55DC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本项目采用低噪声设备，设备及设施运行</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产生的噪声</w:t>
            </w:r>
            <w:r>
              <w:rPr>
                <w:rFonts w:hint="default" w:ascii="Times New Roman" w:hAnsi="Times New Roman" w:eastAsia="宋体" w:cs="Times New Roman"/>
                <w:color w:val="000000" w:themeColor="text1"/>
                <w:sz w:val="24"/>
                <w:szCs w:val="24"/>
                <w:highlight w:val="none"/>
                <w14:textFill>
                  <w14:solidFill>
                    <w14:schemeClr w14:val="tx1"/>
                  </w14:solidFill>
                </w14:textFill>
              </w:rPr>
              <w:t>经建筑隔声、基础减振</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等措施处理</w:t>
            </w:r>
            <w:r>
              <w:rPr>
                <w:rFonts w:hint="default" w:ascii="Times New Roman" w:hAnsi="Times New Roman" w:eastAsia="宋体" w:cs="Times New Roman"/>
                <w:color w:val="000000" w:themeColor="text1"/>
                <w:sz w:val="24"/>
                <w:szCs w:val="24"/>
                <w:highlight w:val="none"/>
                <w14:textFill>
                  <w14:solidFill>
                    <w14:schemeClr w14:val="tx1"/>
                  </w14:solidFill>
                </w14:textFill>
              </w:rPr>
              <w:t>后，厂界噪声能够符合《工业企业厂界环境噪声排放标准》（GB12348-2008）表1中</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2类</w:t>
            </w:r>
            <w:r>
              <w:rPr>
                <w:rFonts w:hint="default" w:ascii="Times New Roman" w:hAnsi="Times New Roman" w:eastAsia="宋体" w:cs="Times New Roman"/>
                <w:color w:val="000000" w:themeColor="text1"/>
                <w:sz w:val="24"/>
                <w:szCs w:val="24"/>
                <w:highlight w:val="none"/>
                <w14:textFill>
                  <w14:solidFill>
                    <w14:schemeClr w14:val="tx1"/>
                  </w14:solidFill>
                </w14:textFill>
              </w:rPr>
              <w:t>标准要求，对周围的环境影响较小。</w:t>
            </w:r>
          </w:p>
          <w:p w14:paraId="1BCEDDD7">
            <w:pPr>
              <w:adjustRightInd w:val="0"/>
              <w:snapToGrid w:val="0"/>
              <w:spacing w:line="360" w:lineRule="auto"/>
              <w:ind w:left="420" w:leftChars="200"/>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（3）监测要求</w:t>
            </w:r>
          </w:p>
          <w:p w14:paraId="5DB0820D">
            <w:pPr>
              <w:ind w:firstLine="480" w:firstLineChars="200"/>
              <w:rPr>
                <w:rFonts w:hint="default" w:ascii="Times New Roman" w:hAnsi="Times New Roman" w:cs="Times New Roman"/>
                <w:b/>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根据《排污单位自行监测技术指南总则》（HJ819-2017），噪声监测要求详见表4-</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9</w:t>
            </w:r>
            <w:r>
              <w:rPr>
                <w:rFonts w:hint="default" w:ascii="Times New Roman" w:hAnsi="Times New Roman" w:cs="Times New Roman"/>
                <w:bCs/>
                <w:color w:val="000000" w:themeColor="text1"/>
                <w:sz w:val="24"/>
                <w:szCs w:val="24"/>
                <w:highlight w:val="none"/>
                <w14:textFill>
                  <w14:solidFill>
                    <w14:schemeClr w14:val="tx1"/>
                  </w14:solidFill>
                </w14:textFill>
              </w:rPr>
              <w:t>。</w:t>
            </w:r>
          </w:p>
          <w:p w14:paraId="669F01CA">
            <w:pPr>
              <w:ind w:firstLine="482" w:firstLineChars="200"/>
              <w:jc w:val="center"/>
              <w:rPr>
                <w:rFonts w:hint="default" w:ascii="Times New Roman" w:hAnsi="Times New Roman" w:cs="Times New Roman"/>
                <w:b/>
                <w:color w:val="000000" w:themeColor="text1"/>
                <w:sz w:val="24"/>
                <w:szCs w:val="24"/>
                <w:highlight w:val="none"/>
                <w14:textFill>
                  <w14:solidFill>
                    <w14:schemeClr w14:val="tx1"/>
                  </w14:solidFill>
                </w14:textFill>
              </w:rPr>
            </w:pPr>
            <w:r>
              <w:rPr>
                <w:rFonts w:hint="default" w:ascii="Times New Roman" w:hAnsi="Times New Roman" w:cs="Times New Roman"/>
                <w:b/>
                <w:color w:val="000000" w:themeColor="text1"/>
                <w:sz w:val="24"/>
                <w:szCs w:val="24"/>
                <w:highlight w:val="none"/>
                <w14:textFill>
                  <w14:solidFill>
                    <w14:schemeClr w14:val="tx1"/>
                  </w14:solidFill>
                </w14:textFill>
              </w:rPr>
              <w:t>表4-</w:t>
            </w:r>
            <w:r>
              <w:rPr>
                <w:rFonts w:hint="default" w:ascii="Times New Roman" w:hAnsi="Times New Roman" w:cs="Times New Roman"/>
                <w:b/>
                <w:color w:val="000000" w:themeColor="text1"/>
                <w:sz w:val="24"/>
                <w:szCs w:val="24"/>
                <w:highlight w:val="none"/>
                <w:lang w:val="en-US" w:eastAsia="zh-CN"/>
                <w14:textFill>
                  <w14:solidFill>
                    <w14:schemeClr w14:val="tx1"/>
                  </w14:solidFill>
                </w14:textFill>
              </w:rPr>
              <w:t>9</w:t>
            </w:r>
            <w:r>
              <w:rPr>
                <w:rFonts w:hint="default" w:ascii="Times New Roman" w:hAnsi="Times New Roman" w:cs="Times New Roman"/>
                <w:b/>
                <w:color w:val="000000" w:themeColor="text1"/>
                <w:sz w:val="24"/>
                <w:szCs w:val="24"/>
                <w:highlight w:val="none"/>
                <w14:textFill>
                  <w14:solidFill>
                    <w14:schemeClr w14:val="tx1"/>
                  </w14:solidFill>
                </w14:textFill>
              </w:rPr>
              <w:t>环境监测计划一览表</w:t>
            </w:r>
          </w:p>
          <w:tbl>
            <w:tblPr>
              <w:tblStyle w:val="13"/>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7"/>
              <w:gridCol w:w="1129"/>
              <w:gridCol w:w="1236"/>
              <w:gridCol w:w="1917"/>
              <w:gridCol w:w="2685"/>
            </w:tblGrid>
            <w:tr w14:paraId="369B995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7" w:type="dxa"/>
                  <w:tcBorders>
                    <w:tl2br w:val="nil"/>
                    <w:tr2bl w:val="nil"/>
                  </w:tcBorders>
                  <w:noWrap w:val="0"/>
                  <w:vAlign w:val="center"/>
                </w:tcPr>
                <w:p w14:paraId="5E6FFF6E">
                  <w:pPr>
                    <w:adjustRightInd w:val="0"/>
                    <w:snapToGrid w:val="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监测要素</w:t>
                  </w:r>
                </w:p>
              </w:tc>
              <w:tc>
                <w:tcPr>
                  <w:tcW w:w="1108" w:type="dxa"/>
                  <w:tcBorders>
                    <w:tl2br w:val="nil"/>
                    <w:tr2bl w:val="nil"/>
                  </w:tcBorders>
                  <w:noWrap w:val="0"/>
                  <w:vAlign w:val="center"/>
                </w:tcPr>
                <w:p w14:paraId="7753B440">
                  <w:pPr>
                    <w:adjustRightInd w:val="0"/>
                    <w:snapToGrid w:val="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监测地点</w:t>
                  </w:r>
                </w:p>
              </w:tc>
              <w:tc>
                <w:tcPr>
                  <w:tcW w:w="1213" w:type="dxa"/>
                  <w:tcBorders>
                    <w:tl2br w:val="nil"/>
                    <w:tr2bl w:val="nil"/>
                  </w:tcBorders>
                  <w:noWrap w:val="0"/>
                  <w:vAlign w:val="center"/>
                </w:tcPr>
                <w:p w14:paraId="0CA6EB9D">
                  <w:pPr>
                    <w:adjustRightInd w:val="0"/>
                    <w:snapToGrid w:val="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监测项目</w:t>
                  </w:r>
                </w:p>
              </w:tc>
              <w:tc>
                <w:tcPr>
                  <w:tcW w:w="1882" w:type="dxa"/>
                  <w:tcBorders>
                    <w:tl2br w:val="nil"/>
                    <w:tr2bl w:val="nil"/>
                  </w:tcBorders>
                  <w:noWrap w:val="0"/>
                  <w:vAlign w:val="center"/>
                </w:tcPr>
                <w:p w14:paraId="2DCF474F">
                  <w:pPr>
                    <w:adjustRightInd w:val="0"/>
                    <w:snapToGrid w:val="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监测频次</w:t>
                  </w:r>
                </w:p>
              </w:tc>
              <w:tc>
                <w:tcPr>
                  <w:tcW w:w="2636" w:type="dxa"/>
                  <w:tcBorders>
                    <w:tl2br w:val="nil"/>
                    <w:tr2bl w:val="nil"/>
                  </w:tcBorders>
                  <w:noWrap w:val="0"/>
                  <w:vAlign w:val="center"/>
                </w:tcPr>
                <w:p w14:paraId="6E927842">
                  <w:pPr>
                    <w:adjustRightInd w:val="0"/>
                    <w:snapToGrid w:val="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执行排放标准</w:t>
                  </w:r>
                </w:p>
              </w:tc>
            </w:tr>
            <w:tr w14:paraId="1ABF975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7" w:type="dxa"/>
                  <w:tcBorders>
                    <w:tl2br w:val="nil"/>
                    <w:tr2bl w:val="nil"/>
                  </w:tcBorders>
                  <w:noWrap w:val="0"/>
                  <w:vAlign w:val="center"/>
                </w:tcPr>
                <w:p w14:paraId="29539F51">
                  <w:pPr>
                    <w:adjustRightInd w:val="0"/>
                    <w:snapToGrid w:val="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噪声</w:t>
                  </w:r>
                </w:p>
              </w:tc>
              <w:tc>
                <w:tcPr>
                  <w:tcW w:w="1108" w:type="dxa"/>
                  <w:tcBorders>
                    <w:tl2br w:val="nil"/>
                    <w:tr2bl w:val="nil"/>
                  </w:tcBorders>
                  <w:noWrap w:val="0"/>
                  <w:vAlign w:val="center"/>
                </w:tcPr>
                <w:p w14:paraId="719D3D67">
                  <w:pPr>
                    <w:adjustRightInd w:val="0"/>
                    <w:snapToGrid w:val="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pacing w:val="0"/>
                      <w:sz w:val="21"/>
                      <w:szCs w:val="21"/>
                      <w:highlight w:val="none"/>
                      <w:vertAlign w:val="baseline"/>
                      <w:lang w:val="en-US" w:eastAsia="zh-CN"/>
                      <w14:textFill>
                        <w14:solidFill>
                          <w14:schemeClr w14:val="tx1"/>
                        </w14:solidFill>
                      </w14:textFill>
                    </w:rPr>
                    <w:t>厂界四周各设置1个监测点位</w:t>
                  </w:r>
                </w:p>
              </w:tc>
              <w:tc>
                <w:tcPr>
                  <w:tcW w:w="1213" w:type="dxa"/>
                  <w:tcBorders>
                    <w:tl2br w:val="nil"/>
                    <w:tr2bl w:val="nil"/>
                  </w:tcBorders>
                  <w:noWrap w:val="0"/>
                  <w:vAlign w:val="center"/>
                </w:tcPr>
                <w:p w14:paraId="62ABD2C7">
                  <w:pPr>
                    <w:adjustRightInd w:val="0"/>
                    <w:snapToGrid w:val="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连续等效A声级</w:t>
                  </w:r>
                </w:p>
              </w:tc>
              <w:tc>
                <w:tcPr>
                  <w:tcW w:w="1882" w:type="dxa"/>
                  <w:tcBorders>
                    <w:tl2br w:val="nil"/>
                    <w:tr2bl w:val="nil"/>
                  </w:tcBorders>
                  <w:noWrap w:val="0"/>
                  <w:vAlign w:val="center"/>
                </w:tcPr>
                <w:p w14:paraId="6719B1E2">
                  <w:pPr>
                    <w:adjustRightInd w:val="0"/>
                    <w:snapToGrid w:val="0"/>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1次</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/季度</w:t>
                  </w:r>
                </w:p>
              </w:tc>
              <w:tc>
                <w:tcPr>
                  <w:tcW w:w="2636" w:type="dxa"/>
                  <w:tcBorders>
                    <w:tl2br w:val="nil"/>
                    <w:tr2bl w:val="nil"/>
                  </w:tcBorders>
                  <w:noWrap w:val="0"/>
                  <w:vAlign w:val="center"/>
                </w:tcPr>
                <w:p w14:paraId="7BF11F19">
                  <w:pPr>
                    <w:adjustRightInd w:val="0"/>
                    <w:snapToGrid w:val="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《工业企业厂界环境噪声排放标准》（GB12348-2008）表1中</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bCs/>
                      <w:color w:val="000000" w:themeColor="text1"/>
                      <w:sz w:val="21"/>
                      <w:szCs w:val="21"/>
                      <w:highlight w:val="none"/>
                      <w14:textFill>
                        <w14:solidFill>
                          <w14:schemeClr w14:val="tx1"/>
                        </w14:solidFill>
                      </w14:textFill>
                    </w:rPr>
                    <w:t>类标准</w:t>
                  </w:r>
                </w:p>
              </w:tc>
            </w:tr>
          </w:tbl>
          <w:p w14:paraId="38E4F898">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pPr>
            <w:r>
              <w:rPr>
                <w:rFonts w:hint="eastAsia" w:cs="Times New Roman"/>
                <w:b/>
                <w:bCs w:val="0"/>
                <w:color w:val="000000" w:themeColor="text1"/>
                <w:spacing w:val="0"/>
                <w:sz w:val="24"/>
                <w:szCs w:val="24"/>
                <w:highlight w:val="none"/>
                <w:lang w:val="en-US" w:eastAsia="zh-CN"/>
                <w14:textFill>
                  <w14:solidFill>
                    <w14:schemeClr w14:val="tx1"/>
                  </w14:solidFill>
                </w14:textFill>
              </w:rPr>
              <w:t>4.</w:t>
            </w:r>
            <w: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t>固体废物</w:t>
            </w:r>
          </w:p>
          <w:p w14:paraId="4B63A71D">
            <w:pPr>
              <w:spacing w:line="360" w:lineRule="auto"/>
              <w:ind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pacing w:val="0"/>
                <w:sz w:val="24"/>
                <w:szCs w:val="24"/>
                <w:highlight w:val="none"/>
                <w:lang w:val="en-US" w:eastAsia="zh-CN"/>
                <w14:textFill>
                  <w14:solidFill>
                    <w14:schemeClr w14:val="tx1"/>
                  </w14:solidFill>
                </w14:textFill>
              </w:rPr>
              <w:t>本项目员工内部调配，不新增员工，废离子交换树脂由厂家更换回收。</w:t>
            </w:r>
            <w:r>
              <w:rPr>
                <w:rFonts w:hint="default" w:ascii="Times New Roman" w:hAnsi="Times New Roman" w:cs="Times New Roman"/>
                <w:color w:val="000000" w:themeColor="text1"/>
                <w:sz w:val="24"/>
                <w:szCs w:val="24"/>
                <w:highlight w:val="none"/>
                <w14:textFill>
                  <w14:solidFill>
                    <w14:schemeClr w14:val="tx1"/>
                  </w14:solidFill>
                </w14:textFill>
              </w:rPr>
              <w:t>生产过程中产生的布袋除尘器收尘、</w:t>
            </w:r>
            <w:r>
              <w:rPr>
                <w:rFonts w:hint="default" w:ascii="Times New Roman" w:hAnsi="Times New Roman" w:cs="Times New Roman"/>
                <w:color w:val="000000" w:themeColor="text1"/>
                <w:sz w:val="24"/>
                <w:szCs w:val="24"/>
                <w:highlight w:val="none"/>
                <w:lang w:eastAsia="zh-CN"/>
                <w14:textFill>
                  <w14:solidFill>
                    <w14:schemeClr w14:val="tx1"/>
                  </w14:solidFill>
                </w14:textFill>
              </w:rPr>
              <w:t>锅炉</w:t>
            </w:r>
            <w:r>
              <w:rPr>
                <w:rFonts w:hint="default" w:ascii="Times New Roman" w:hAnsi="Times New Roman" w:cs="Times New Roman"/>
                <w:color w:val="000000" w:themeColor="text1"/>
                <w:sz w:val="24"/>
                <w:szCs w:val="24"/>
                <w:highlight w:val="none"/>
                <w14:textFill>
                  <w14:solidFill>
                    <w14:schemeClr w14:val="tx1"/>
                  </w14:solidFill>
                </w14:textFill>
              </w:rPr>
              <w:t>炉渣</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废旧布袋</w:t>
            </w:r>
            <w:r>
              <w:rPr>
                <w:rFonts w:hint="default" w:ascii="Times New Roman" w:hAnsi="Times New Roman" w:cs="Times New Roman"/>
                <w:color w:val="000000" w:themeColor="text1"/>
                <w:sz w:val="24"/>
                <w:szCs w:val="24"/>
                <w:highlight w:val="none"/>
                <w14:textFill>
                  <w14:solidFill>
                    <w14:schemeClr w14:val="tx1"/>
                  </w14:solidFill>
                </w14:textFill>
              </w:rPr>
              <w:t>。</w:t>
            </w:r>
          </w:p>
          <w:p w14:paraId="7DC5AA61">
            <w:pPr>
              <w:spacing w:line="360" w:lineRule="auto"/>
              <w:ind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①布袋除尘器收尘</w:t>
            </w:r>
          </w:p>
          <w:p w14:paraId="5A7549BA">
            <w:pPr>
              <w:spacing w:line="360" w:lineRule="auto"/>
              <w:ind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本项目布袋除尘器收尘的量为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72.925</w:t>
            </w:r>
            <w:r>
              <w:rPr>
                <w:rFonts w:hint="default" w:ascii="Times New Roman" w:hAnsi="Times New Roman" w:cs="Times New Roman"/>
                <w:color w:val="000000" w:themeColor="text1"/>
                <w:sz w:val="24"/>
                <w:szCs w:val="24"/>
                <w:highlight w:val="none"/>
                <w14:textFill>
                  <w14:solidFill>
                    <w14:schemeClr w14:val="tx1"/>
                  </w14:solidFill>
                </w14:textFill>
              </w:rPr>
              <w:t>t/a，</w:t>
            </w:r>
            <w:r>
              <w:rPr>
                <w:rFonts w:hint="default" w:ascii="Times New Roman" w:hAnsi="Times New Roman" w:cs="Times New Roman"/>
                <w:color w:val="FF0000"/>
                <w:sz w:val="24"/>
                <w:szCs w:val="24"/>
                <w:highlight w:val="none"/>
              </w:rPr>
              <w:t>布袋除尘器收集的飞灰</w:t>
            </w:r>
            <w:r>
              <w:rPr>
                <w:rFonts w:hint="eastAsia" w:cs="Times New Roman"/>
                <w:color w:val="FF0000"/>
                <w:sz w:val="24"/>
                <w:szCs w:val="24"/>
                <w:highlight w:val="none"/>
                <w:lang w:val="en-US" w:eastAsia="zh-CN"/>
              </w:rPr>
              <w:t>在更换布袋时收集，和灰渣一起暂存，</w:t>
            </w:r>
            <w:r>
              <w:rPr>
                <w:rFonts w:hint="default" w:ascii="Times New Roman" w:hAnsi="Times New Roman" w:cs="Times New Roman"/>
                <w:color w:val="FF0000"/>
                <w:sz w:val="24"/>
                <w:szCs w:val="24"/>
                <w:highlight w:val="none"/>
                <w:lang w:val="en-US" w:eastAsia="zh-CN"/>
              </w:rPr>
              <w:t>外售给有能力的有机肥厂综合</w:t>
            </w:r>
            <w:r>
              <w:rPr>
                <w:rFonts w:hint="default" w:ascii="Times New Roman" w:hAnsi="Times New Roman" w:cs="Times New Roman"/>
                <w:color w:val="FF0000"/>
                <w:sz w:val="24"/>
                <w:szCs w:val="24"/>
                <w:highlight w:val="none"/>
              </w:rPr>
              <w:t>利用。</w:t>
            </w:r>
          </w:p>
          <w:p w14:paraId="44E4C457">
            <w:pPr>
              <w:spacing w:line="360" w:lineRule="auto"/>
              <w:ind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②</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锅炉</w:t>
            </w:r>
            <w:r>
              <w:rPr>
                <w:rFonts w:hint="default" w:ascii="Times New Roman" w:hAnsi="Times New Roman" w:cs="Times New Roman"/>
                <w:color w:val="000000" w:themeColor="text1"/>
                <w:sz w:val="24"/>
                <w:szCs w:val="24"/>
                <w:highlight w:val="none"/>
                <w14:textFill>
                  <w14:solidFill>
                    <w14:schemeClr w14:val="tx1"/>
                  </w14:solidFill>
                </w14:textFill>
              </w:rPr>
              <w:t>炉渣</w:t>
            </w:r>
          </w:p>
          <w:p w14:paraId="313AC46C">
            <w:pPr>
              <w:spacing w:line="360" w:lineRule="auto"/>
              <w:ind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炉渣产生量根据《污染源源强核算技术指南锅炉》（HJ991-2018）中8.1物料衡算法计算。</w:t>
            </w:r>
          </w:p>
          <w:p w14:paraId="6C68E479">
            <w:pPr>
              <w:spacing w:line="360" w:lineRule="auto"/>
              <w:ind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drawing>
                <wp:inline distT="0" distB="0" distL="114300" distR="114300">
                  <wp:extent cx="2221865" cy="485775"/>
                  <wp:effectExtent l="0" t="0" r="6985" b="9525"/>
                  <wp:docPr id="16"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00"/>
                          <pic:cNvPicPr>
                            <a:picLocks noChangeAspect="1"/>
                          </pic:cNvPicPr>
                        </pic:nvPicPr>
                        <pic:blipFill>
                          <a:blip r:embed="rId27"/>
                          <a:stretch>
                            <a:fillRect/>
                          </a:stretch>
                        </pic:blipFill>
                        <pic:spPr>
                          <a:xfrm>
                            <a:off x="0" y="0"/>
                            <a:ext cx="2221865" cy="485775"/>
                          </a:xfrm>
                          <a:prstGeom prst="rect">
                            <a:avLst/>
                          </a:prstGeom>
                          <a:noFill/>
                          <a:ln>
                            <a:noFill/>
                          </a:ln>
                        </pic:spPr>
                      </pic:pic>
                    </a:graphicData>
                  </a:graphic>
                </wp:inline>
              </w:drawing>
            </w:r>
          </w:p>
          <w:p w14:paraId="6E16A3DC">
            <w:pPr>
              <w:spacing w:line="360" w:lineRule="auto"/>
              <w:ind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式中：E</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hc</w:t>
            </w:r>
            <w:r>
              <w:rPr>
                <w:rFonts w:hint="default" w:ascii="Times New Roman" w:hAnsi="Times New Roman" w:cs="Times New Roman"/>
                <w:color w:val="000000" w:themeColor="text1"/>
                <w:sz w:val="24"/>
                <w:szCs w:val="24"/>
                <w:highlight w:val="none"/>
                <w14:textFill>
                  <w14:solidFill>
                    <w14:schemeClr w14:val="tx1"/>
                  </w14:solidFill>
                </w14:textFill>
              </w:rPr>
              <w:t>----核算时段内炉渣产生量，t；</w:t>
            </w:r>
          </w:p>
          <w:p w14:paraId="094CD1B5">
            <w:pPr>
              <w:spacing w:line="360" w:lineRule="auto"/>
              <w:ind w:firstLine="1200" w:firstLineChars="5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R----核算时段内锅炉燃料耗量，t；</w:t>
            </w:r>
          </w:p>
          <w:p w14:paraId="31C76E47">
            <w:pPr>
              <w:spacing w:line="360" w:lineRule="auto"/>
              <w:ind w:firstLine="1200" w:firstLineChars="5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A</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ar</w:t>
            </w:r>
            <w:r>
              <w:rPr>
                <w:rFonts w:hint="default" w:ascii="Times New Roman" w:hAnsi="Times New Roman" w:cs="Times New Roman"/>
                <w:color w:val="000000" w:themeColor="text1"/>
                <w:sz w:val="24"/>
                <w:szCs w:val="24"/>
                <w:highlight w:val="none"/>
                <w14:textFill>
                  <w14:solidFill>
                    <w14:schemeClr w14:val="tx1"/>
                  </w14:solidFill>
                </w14:textFill>
              </w:rPr>
              <w:t>----收到基灰分的质量分数，%；</w:t>
            </w:r>
          </w:p>
          <w:p w14:paraId="42039AC9">
            <w:pPr>
              <w:spacing w:line="360" w:lineRule="auto"/>
              <w:ind w:firstLine="1050" w:firstLineChars="50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2000250" cy="504825"/>
                  <wp:effectExtent l="0" t="0" r="0" b="9525"/>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28"/>
                          <a:stretch>
                            <a:fillRect/>
                          </a:stretch>
                        </pic:blipFill>
                        <pic:spPr>
                          <a:xfrm>
                            <a:off x="0" y="0"/>
                            <a:ext cx="2000250" cy="504825"/>
                          </a:xfrm>
                          <a:prstGeom prst="rect">
                            <a:avLst/>
                          </a:prstGeom>
                          <a:noFill/>
                          <a:ln>
                            <a:noFill/>
                          </a:ln>
                        </pic:spPr>
                      </pic:pic>
                    </a:graphicData>
                  </a:graphic>
                </wp:inline>
              </w:drawing>
            </w:r>
          </w:p>
          <w:p w14:paraId="2C08BF67">
            <w:pPr>
              <w:spacing w:line="360" w:lineRule="auto"/>
              <w:ind w:left="1050" w:leftChars="500" w:firstLine="0" w:firstLineChars="0"/>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依据生物质燃料分析报告，A</w:t>
            </w:r>
            <w:r>
              <w:rPr>
                <w:rFonts w:hint="eastAsia"/>
                <w:color w:val="000000" w:themeColor="text1"/>
                <w:sz w:val="24"/>
                <w:szCs w:val="24"/>
                <w:vertAlign w:val="subscript"/>
                <w:lang w:val="en-US" w:eastAsia="zh-CN"/>
                <w14:textFill>
                  <w14:solidFill>
                    <w14:schemeClr w14:val="tx1"/>
                  </w14:solidFill>
                </w14:textFill>
              </w:rPr>
              <w:t>ad</w:t>
            </w:r>
            <w:r>
              <w:rPr>
                <w:rFonts w:hint="eastAsia"/>
                <w:color w:val="000000" w:themeColor="text1"/>
                <w:sz w:val="24"/>
                <w:szCs w:val="24"/>
                <w:lang w:val="en-US" w:eastAsia="zh-CN"/>
                <w14:textFill>
                  <w14:solidFill>
                    <w14:schemeClr w14:val="tx1"/>
                  </w14:solidFill>
                </w14:textFill>
              </w:rPr>
              <w:t>=6.56%，M</w:t>
            </w:r>
            <w:r>
              <w:rPr>
                <w:rFonts w:hint="eastAsia"/>
                <w:color w:val="000000" w:themeColor="text1"/>
                <w:sz w:val="24"/>
                <w:szCs w:val="24"/>
                <w:vertAlign w:val="subscript"/>
                <w:lang w:val="en-US" w:eastAsia="zh-CN"/>
                <w14:textFill>
                  <w14:solidFill>
                    <w14:schemeClr w14:val="tx1"/>
                  </w14:solidFill>
                </w14:textFill>
              </w:rPr>
              <w:t>t,ar</w:t>
            </w:r>
            <w:r>
              <w:rPr>
                <w:rFonts w:hint="eastAsia"/>
                <w:color w:val="000000" w:themeColor="text1"/>
                <w:sz w:val="24"/>
                <w:szCs w:val="24"/>
                <w:lang w:val="en-US" w:eastAsia="zh-CN"/>
                <w14:textFill>
                  <w14:solidFill>
                    <w14:schemeClr w14:val="tx1"/>
                  </w14:solidFill>
                </w14:textFill>
              </w:rPr>
              <w:t>=5.5%，M</w:t>
            </w:r>
            <w:r>
              <w:rPr>
                <w:rFonts w:hint="eastAsia"/>
                <w:color w:val="000000" w:themeColor="text1"/>
                <w:sz w:val="24"/>
                <w:szCs w:val="24"/>
                <w:vertAlign w:val="subscript"/>
                <w:lang w:val="en-US" w:eastAsia="zh-CN"/>
                <w14:textFill>
                  <w14:solidFill>
                    <w14:schemeClr w14:val="tx1"/>
                  </w14:solidFill>
                </w14:textFill>
              </w:rPr>
              <w:t>ad</w:t>
            </w:r>
            <w:r>
              <w:rPr>
                <w:rFonts w:hint="eastAsia"/>
                <w:color w:val="000000" w:themeColor="text1"/>
                <w:sz w:val="24"/>
                <w:szCs w:val="24"/>
                <w:lang w:val="en-US" w:eastAsia="zh-CN"/>
                <w14:textFill>
                  <w14:solidFill>
                    <w14:schemeClr w14:val="tx1"/>
                  </w14:solidFill>
                </w14:textFill>
              </w:rPr>
              <w:t>=5.55%，计算得</w:t>
            </w:r>
            <w:r>
              <w:rPr>
                <w:rFonts w:hint="default" w:ascii="Times New Roman" w:hAnsi="Times New Roman" w:cs="Times New Roman"/>
                <w:color w:val="000000" w:themeColor="text1"/>
                <w:sz w:val="24"/>
                <w:szCs w:val="24"/>
                <w:highlight w:val="none"/>
                <w14:textFill>
                  <w14:solidFill>
                    <w14:schemeClr w14:val="tx1"/>
                  </w14:solidFill>
                </w14:textFill>
              </w:rPr>
              <w:t>A</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ar</w:t>
            </w:r>
            <w:r>
              <w:rPr>
                <w:rFonts w:hint="eastAsia"/>
                <w:color w:val="000000" w:themeColor="text1"/>
                <w:sz w:val="24"/>
                <w:szCs w:val="24"/>
                <w:lang w:val="en-US" w:eastAsia="zh-CN"/>
                <w14:textFill>
                  <w14:solidFill>
                    <w14:schemeClr w14:val="tx1"/>
                  </w14:solidFill>
                </w14:textFill>
              </w:rPr>
              <w:t>为6.59。</w:t>
            </w:r>
          </w:p>
          <w:p w14:paraId="652846E6">
            <w:pPr>
              <w:spacing w:line="360" w:lineRule="auto"/>
              <w:ind w:firstLine="1200" w:firstLineChars="5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q4----锅炉机械不完全燃烧热损失，%；取12%。</w:t>
            </w:r>
          </w:p>
          <w:p w14:paraId="5A83B803">
            <w:pPr>
              <w:spacing w:line="360" w:lineRule="auto"/>
              <w:ind w:firstLine="1200" w:firstLineChars="5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Qnet，ar----收到基低位发热量，MJ/</w:t>
            </w:r>
            <w:r>
              <w:rPr>
                <w:rFonts w:hint="eastAsia" w:cs="Times New Roman"/>
                <w:color w:val="000000" w:themeColor="text1"/>
                <w:sz w:val="24"/>
                <w:szCs w:val="24"/>
                <w:highlight w:val="none"/>
                <w:lang w:eastAsia="zh-CN"/>
                <w14:textFill>
                  <w14:solidFill>
                    <w14:schemeClr w14:val="tx1"/>
                  </w14:solidFill>
                </w14:textFill>
              </w:rPr>
              <w:t>kg</w:t>
            </w:r>
            <w:r>
              <w:rPr>
                <w:rFonts w:hint="default" w:ascii="Times New Roman" w:hAnsi="Times New Roman" w:cs="Times New Roman"/>
                <w:color w:val="000000" w:themeColor="text1"/>
                <w:sz w:val="24"/>
                <w:szCs w:val="24"/>
                <w:highlight w:val="none"/>
                <w14:textFill>
                  <w14:solidFill>
                    <w14:schemeClr w14:val="tx1"/>
                  </w14:solidFill>
                </w14:textFill>
              </w:rPr>
              <w:t>；取16.77</w:t>
            </w:r>
          </w:p>
          <w:p w14:paraId="39B65FED">
            <w:pPr>
              <w:spacing w:line="360" w:lineRule="auto"/>
              <w:ind w:firstLine="480" w:firstLineChars="200"/>
              <w:rPr>
                <w:rFonts w:hint="default" w:ascii="Times New Roman" w:hAnsi="Times New Roman" w:cs="Times New Roman"/>
                <w:color w:val="FF0000"/>
                <w:sz w:val="24"/>
                <w:szCs w:val="24"/>
                <w:highlight w:val="none"/>
                <w:lang w:val="en-US" w:eastAsia="zh-CN"/>
              </w:rPr>
            </w:pPr>
            <w:r>
              <w:rPr>
                <w:rFonts w:hint="default" w:ascii="Times New Roman" w:hAnsi="Times New Roman" w:cs="Times New Roman"/>
                <w:color w:val="FF0000"/>
                <w:sz w:val="24"/>
                <w:szCs w:val="24"/>
                <w:highlight w:val="none"/>
              </w:rPr>
              <w:t>经计算，本项目</w:t>
            </w:r>
            <w:r>
              <w:rPr>
                <w:rFonts w:hint="default" w:ascii="Times New Roman" w:hAnsi="Times New Roman" w:cs="Times New Roman"/>
                <w:color w:val="FF0000"/>
                <w:sz w:val="24"/>
                <w:szCs w:val="24"/>
                <w:highlight w:val="none"/>
                <w:lang w:eastAsia="zh-CN"/>
              </w:rPr>
              <w:t>锅炉</w:t>
            </w:r>
            <w:r>
              <w:rPr>
                <w:rFonts w:hint="default" w:ascii="Times New Roman" w:hAnsi="Times New Roman" w:cs="Times New Roman"/>
                <w:color w:val="FF0000"/>
                <w:sz w:val="24"/>
                <w:szCs w:val="24"/>
                <w:highlight w:val="none"/>
              </w:rPr>
              <w:t>燃烧产生的灰渣量为</w:t>
            </w:r>
            <w:r>
              <w:rPr>
                <w:rFonts w:hint="eastAsia" w:ascii="Times New Roman" w:hAnsi="Times New Roman" w:cs="Times New Roman"/>
                <w:color w:val="FF0000"/>
                <w:sz w:val="24"/>
                <w:szCs w:val="24"/>
                <w:highlight w:val="none"/>
                <w:lang w:val="en-US" w:eastAsia="zh-CN"/>
              </w:rPr>
              <w:t>128.225</w:t>
            </w:r>
            <w:r>
              <w:rPr>
                <w:rFonts w:hint="default" w:ascii="Times New Roman" w:hAnsi="Times New Roman" w:cs="Times New Roman"/>
                <w:color w:val="FF0000"/>
                <w:sz w:val="24"/>
                <w:szCs w:val="24"/>
                <w:highlight w:val="none"/>
              </w:rPr>
              <w:t>t/a，由布袋除尘器收集的飞灰为</w:t>
            </w:r>
            <w:r>
              <w:rPr>
                <w:rFonts w:hint="eastAsia" w:ascii="Times New Roman" w:hAnsi="Times New Roman" w:cs="Times New Roman"/>
                <w:color w:val="FF0000"/>
                <w:sz w:val="24"/>
                <w:szCs w:val="24"/>
                <w:highlight w:val="none"/>
                <w:lang w:val="en-US" w:eastAsia="zh-CN"/>
              </w:rPr>
              <w:t>72.925</w:t>
            </w:r>
            <w:r>
              <w:rPr>
                <w:rFonts w:hint="default" w:ascii="Times New Roman" w:hAnsi="Times New Roman" w:cs="Times New Roman"/>
                <w:color w:val="FF0000"/>
                <w:sz w:val="24"/>
                <w:szCs w:val="24"/>
                <w:highlight w:val="none"/>
              </w:rPr>
              <w:t>t/a，则</w:t>
            </w:r>
            <w:r>
              <w:rPr>
                <w:rFonts w:hint="default" w:ascii="Times New Roman" w:hAnsi="Times New Roman" w:cs="Times New Roman"/>
                <w:color w:val="FF0000"/>
                <w:sz w:val="24"/>
                <w:szCs w:val="24"/>
                <w:highlight w:val="none"/>
                <w:lang w:eastAsia="zh-CN"/>
              </w:rPr>
              <w:t>锅炉</w:t>
            </w:r>
            <w:r>
              <w:rPr>
                <w:rFonts w:hint="default" w:ascii="Times New Roman" w:hAnsi="Times New Roman" w:cs="Times New Roman"/>
                <w:color w:val="FF0000"/>
                <w:sz w:val="24"/>
                <w:szCs w:val="24"/>
                <w:highlight w:val="none"/>
              </w:rPr>
              <w:t>炉渣量为</w:t>
            </w:r>
            <w:r>
              <w:rPr>
                <w:rFonts w:hint="eastAsia" w:ascii="Times New Roman" w:hAnsi="Times New Roman" w:cs="Times New Roman"/>
                <w:color w:val="FF0000"/>
                <w:sz w:val="24"/>
                <w:szCs w:val="24"/>
                <w:highlight w:val="none"/>
                <w:lang w:val="en-US" w:eastAsia="zh-CN"/>
              </w:rPr>
              <w:t>55.3</w:t>
            </w:r>
            <w:r>
              <w:rPr>
                <w:rFonts w:hint="default" w:ascii="Times New Roman" w:hAnsi="Times New Roman" w:cs="Times New Roman"/>
                <w:color w:val="FF0000"/>
                <w:sz w:val="24"/>
                <w:szCs w:val="24"/>
                <w:highlight w:val="none"/>
              </w:rPr>
              <w:t>t/a。</w:t>
            </w:r>
            <w:r>
              <w:rPr>
                <w:rFonts w:hint="default" w:ascii="Times New Roman" w:hAnsi="Times New Roman" w:cs="Times New Roman"/>
                <w:color w:val="FF0000"/>
                <w:sz w:val="24"/>
                <w:szCs w:val="24"/>
                <w:highlight w:val="none"/>
                <w:lang w:val="en-US" w:eastAsia="zh-CN"/>
              </w:rPr>
              <w:t>灰</w:t>
            </w:r>
            <w:r>
              <w:rPr>
                <w:rFonts w:hint="default" w:ascii="Times New Roman" w:hAnsi="Times New Roman" w:cs="Times New Roman"/>
                <w:color w:val="FF0000"/>
                <w:sz w:val="24"/>
                <w:szCs w:val="24"/>
                <w:highlight w:val="none"/>
              </w:rPr>
              <w:t>渣集中存储在库房内，每7天外售1次，</w:t>
            </w:r>
            <w:r>
              <w:rPr>
                <w:rFonts w:hint="default" w:ascii="Times New Roman" w:hAnsi="Times New Roman" w:cs="Times New Roman"/>
                <w:color w:val="FF0000"/>
                <w:sz w:val="24"/>
                <w:szCs w:val="24"/>
                <w:highlight w:val="none"/>
                <w:lang w:val="en-US" w:eastAsia="zh-CN"/>
              </w:rPr>
              <w:t>外售给有能力的有机肥厂综合</w:t>
            </w:r>
            <w:r>
              <w:rPr>
                <w:rFonts w:hint="default" w:ascii="Times New Roman" w:hAnsi="Times New Roman" w:cs="Times New Roman"/>
                <w:color w:val="FF0000"/>
                <w:sz w:val="24"/>
                <w:szCs w:val="24"/>
                <w:highlight w:val="none"/>
              </w:rPr>
              <w:t>利用。</w:t>
            </w:r>
            <w:r>
              <w:rPr>
                <w:rFonts w:hint="default" w:ascii="Times New Roman" w:hAnsi="Times New Roman" w:cs="Times New Roman"/>
                <w:color w:val="FF0000"/>
                <w:sz w:val="24"/>
                <w:szCs w:val="24"/>
                <w:highlight w:val="none"/>
                <w:lang w:val="en-US" w:eastAsia="zh-CN"/>
              </w:rPr>
              <w:t>除尘器产生的废旧布袋产生量为0.2t/a，袋装储存，厂家回收。</w:t>
            </w:r>
          </w:p>
          <w:p w14:paraId="3A419A6A">
            <w:pPr>
              <w:spacing w:line="360" w:lineRule="auto"/>
              <w:ind w:firstLine="480" w:firstLineChars="20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生物质灰渣外运需遵循“分类转运、密闭为主、湿法辅助”原则，优先采用干灰罐车、湿灰密闭箱车等低污染方式，也可根据场景选用干灰装袋、干渣篷布覆盖、气力输送+现场转运等方式；环境管理需落实全流程管控，涵盖源头预处理（储存、含水率、温度控制）、装载（防尘、装载量限制、场地清理）、运输（车辆资质、路线时间规划、实时监控）、卸载（场地要求、规范操作、遗撒清理）、转移联单与台账、应急处置及监督考核等关键环节，核心是避免运输过程中产生扬尘、泄漏、遗撒等二次污染，确保符合相关环保规范及环评批复要求。</w:t>
            </w:r>
          </w:p>
          <w:p w14:paraId="4678EC43">
            <w:pPr>
              <w:adjustRightInd w:val="0"/>
              <w:snapToGrid w:val="0"/>
              <w:jc w:val="cente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t>表4-</w:t>
            </w:r>
            <w:r>
              <w:rPr>
                <w:rFonts w:hint="default" w:ascii="Times New Roman" w:hAnsi="Times New Roman" w:cs="Times New Roman"/>
                <w:b/>
                <w:bCs w:val="0"/>
                <w:color w:val="000000" w:themeColor="text1"/>
                <w:spacing w:val="0"/>
                <w:sz w:val="24"/>
                <w:szCs w:val="24"/>
                <w:highlight w:val="none"/>
                <w:lang w:val="en-US" w:eastAsia="zh-CN"/>
                <w14:textFill>
                  <w14:solidFill>
                    <w14:schemeClr w14:val="tx1"/>
                  </w14:solidFill>
                </w14:textFill>
              </w:rPr>
              <w:t>10</w:t>
            </w:r>
            <w: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t>固体废物排放信息</w:t>
            </w:r>
          </w:p>
          <w:tbl>
            <w:tblPr>
              <w:tblStyle w:val="13"/>
              <w:tblW w:w="4996"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2"/>
              <w:gridCol w:w="1237"/>
              <w:gridCol w:w="1051"/>
              <w:gridCol w:w="1075"/>
              <w:gridCol w:w="736"/>
              <w:gridCol w:w="835"/>
              <w:gridCol w:w="1439"/>
              <w:gridCol w:w="1003"/>
            </w:tblGrid>
            <w:tr w14:paraId="0FA0974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9" w:type="dxa"/>
                  <w:tcBorders>
                    <w:top w:val="single" w:color="auto" w:sz="8" w:space="0"/>
                    <w:bottom w:val="single" w:color="auto" w:sz="4" w:space="0"/>
                    <w:right w:val="single" w:color="auto" w:sz="4" w:space="0"/>
                    <w:tl2br w:val="nil"/>
                    <w:tr2bl w:val="nil"/>
                  </w:tcBorders>
                  <w:noWrap w:val="0"/>
                  <w:vAlign w:val="center"/>
                </w:tcPr>
                <w:p w14:paraId="0A0ED3D7">
                  <w:pPr>
                    <w:adjustRightInd w:val="0"/>
                    <w:snapToGrid w:val="0"/>
                    <w:jc w:val="center"/>
                    <w:rPr>
                      <w:rFonts w:hint="default" w:ascii="Times New Roman" w:hAnsi="Times New Roman" w:eastAsia="宋体"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18"/>
                      <w:szCs w:val="18"/>
                      <w:highlight w:val="none"/>
                      <w:vertAlign w:val="baseline"/>
                      <w:lang w:val="en-US" w:eastAsia="zh-CN"/>
                      <w14:textFill>
                        <w14:solidFill>
                          <w14:schemeClr w14:val="tx1"/>
                        </w14:solidFill>
                      </w14:textFill>
                    </w:rPr>
                    <w:t>产生环节</w:t>
                  </w:r>
                </w:p>
              </w:tc>
              <w:tc>
                <w:tcPr>
                  <w:tcW w:w="1214" w:type="dxa"/>
                  <w:tcBorders>
                    <w:top w:val="single" w:color="auto" w:sz="8" w:space="0"/>
                    <w:left w:val="single" w:color="auto" w:sz="4" w:space="0"/>
                    <w:bottom w:val="single" w:color="auto" w:sz="4" w:space="0"/>
                    <w:right w:val="single" w:color="auto" w:sz="4" w:space="0"/>
                    <w:tl2br w:val="nil"/>
                    <w:tr2bl w:val="nil"/>
                  </w:tcBorders>
                  <w:noWrap w:val="0"/>
                  <w:vAlign w:val="center"/>
                </w:tcPr>
                <w:p w14:paraId="305524E7">
                  <w:pPr>
                    <w:adjustRightInd w:val="0"/>
                    <w:snapToGrid w:val="0"/>
                    <w:jc w:val="center"/>
                    <w:rPr>
                      <w:rFonts w:hint="default" w:ascii="Times New Roman" w:hAnsi="Times New Roman" w:eastAsia="宋体"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代码</w:t>
                  </w:r>
                </w:p>
              </w:tc>
              <w:tc>
                <w:tcPr>
                  <w:tcW w:w="1032" w:type="dxa"/>
                  <w:tcBorders>
                    <w:top w:val="single" w:color="auto" w:sz="8" w:space="0"/>
                    <w:left w:val="single" w:color="auto" w:sz="4" w:space="0"/>
                    <w:bottom w:val="single" w:color="auto" w:sz="4" w:space="0"/>
                    <w:right w:val="single" w:color="auto" w:sz="4" w:space="0"/>
                    <w:tl2br w:val="nil"/>
                    <w:tr2bl w:val="nil"/>
                  </w:tcBorders>
                  <w:noWrap w:val="0"/>
                  <w:vAlign w:val="center"/>
                </w:tcPr>
                <w:p w14:paraId="703824B8">
                  <w:pPr>
                    <w:adjustRightInd w:val="0"/>
                    <w:snapToGrid w:val="0"/>
                    <w:jc w:val="center"/>
                    <w:rPr>
                      <w:rFonts w:hint="default" w:ascii="Times New Roman" w:hAnsi="Times New Roman" w:eastAsia="宋体"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18"/>
                      <w:szCs w:val="18"/>
                      <w:highlight w:val="none"/>
                      <w:vertAlign w:val="baseline"/>
                      <w:lang w:val="en-US" w:eastAsia="zh-CN"/>
                      <w14:textFill>
                        <w14:solidFill>
                          <w14:schemeClr w14:val="tx1"/>
                        </w14:solidFill>
                      </w14:textFill>
                    </w:rPr>
                    <w:t>名称</w:t>
                  </w:r>
                </w:p>
              </w:tc>
              <w:tc>
                <w:tcPr>
                  <w:tcW w:w="1055" w:type="dxa"/>
                  <w:tcBorders>
                    <w:top w:val="single" w:color="auto" w:sz="8" w:space="0"/>
                    <w:left w:val="single" w:color="auto" w:sz="4" w:space="0"/>
                    <w:bottom w:val="single" w:color="auto" w:sz="4" w:space="0"/>
                    <w:right w:val="single" w:color="auto" w:sz="4" w:space="0"/>
                    <w:tl2br w:val="nil"/>
                    <w:tr2bl w:val="nil"/>
                  </w:tcBorders>
                  <w:noWrap w:val="0"/>
                  <w:vAlign w:val="center"/>
                </w:tcPr>
                <w:p w14:paraId="4EE601CA">
                  <w:pPr>
                    <w:adjustRightInd w:val="0"/>
                    <w:snapToGrid w:val="0"/>
                    <w:jc w:val="center"/>
                    <w:rPr>
                      <w:rFonts w:hint="default" w:ascii="Times New Roman" w:hAnsi="Times New Roman" w:eastAsia="宋体"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18"/>
                      <w:szCs w:val="18"/>
                      <w:highlight w:val="none"/>
                      <w:vertAlign w:val="baseline"/>
                      <w:lang w:val="en-US" w:eastAsia="zh-CN"/>
                      <w14:textFill>
                        <w14:solidFill>
                          <w14:schemeClr w14:val="tx1"/>
                        </w14:solidFill>
                      </w14:textFill>
                    </w:rPr>
                    <w:t>属性</w:t>
                  </w:r>
                </w:p>
              </w:tc>
              <w:tc>
                <w:tcPr>
                  <w:tcW w:w="723" w:type="dxa"/>
                  <w:tcBorders>
                    <w:top w:val="single" w:color="auto" w:sz="8" w:space="0"/>
                    <w:left w:val="single" w:color="auto" w:sz="4" w:space="0"/>
                    <w:bottom w:val="single" w:color="auto" w:sz="4" w:space="0"/>
                    <w:right w:val="single" w:color="auto" w:sz="4" w:space="0"/>
                    <w:tl2br w:val="nil"/>
                    <w:tr2bl w:val="nil"/>
                  </w:tcBorders>
                  <w:noWrap w:val="0"/>
                  <w:vAlign w:val="center"/>
                </w:tcPr>
                <w:p w14:paraId="01B926B7">
                  <w:pPr>
                    <w:adjustRightInd w:val="0"/>
                    <w:snapToGrid w:val="0"/>
                    <w:jc w:val="center"/>
                    <w:rPr>
                      <w:rFonts w:hint="default" w:ascii="Times New Roman" w:hAnsi="Times New Roman" w:eastAsia="宋体"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18"/>
                      <w:szCs w:val="18"/>
                      <w:highlight w:val="none"/>
                      <w:vertAlign w:val="baseline"/>
                      <w:lang w:val="en-US" w:eastAsia="zh-CN"/>
                      <w14:textFill>
                        <w14:solidFill>
                          <w14:schemeClr w14:val="tx1"/>
                        </w14:solidFill>
                      </w14:textFill>
                    </w:rPr>
                    <w:t>年产生量t/a</w:t>
                  </w:r>
                </w:p>
              </w:tc>
              <w:tc>
                <w:tcPr>
                  <w:tcW w:w="820" w:type="dxa"/>
                  <w:tcBorders>
                    <w:top w:val="single" w:color="auto" w:sz="8" w:space="0"/>
                    <w:left w:val="single" w:color="auto" w:sz="4" w:space="0"/>
                    <w:bottom w:val="single" w:color="auto" w:sz="4" w:space="0"/>
                    <w:right w:val="single" w:color="auto" w:sz="4" w:space="0"/>
                    <w:tl2br w:val="nil"/>
                    <w:tr2bl w:val="nil"/>
                  </w:tcBorders>
                  <w:noWrap w:val="0"/>
                  <w:vAlign w:val="center"/>
                </w:tcPr>
                <w:p w14:paraId="5F4D2F71">
                  <w:pPr>
                    <w:adjustRightInd w:val="0"/>
                    <w:snapToGrid w:val="0"/>
                    <w:jc w:val="center"/>
                    <w:rPr>
                      <w:rFonts w:hint="default" w:ascii="Times New Roman" w:hAnsi="Times New Roman" w:eastAsia="宋体"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18"/>
                      <w:szCs w:val="18"/>
                      <w:highlight w:val="none"/>
                      <w:vertAlign w:val="baseline"/>
                      <w:lang w:val="en-US" w:eastAsia="zh-CN"/>
                      <w14:textFill>
                        <w14:solidFill>
                          <w14:schemeClr w14:val="tx1"/>
                        </w14:solidFill>
                      </w14:textFill>
                    </w:rPr>
                    <w:t>贮存方式</w:t>
                  </w:r>
                </w:p>
              </w:tc>
              <w:tc>
                <w:tcPr>
                  <w:tcW w:w="1413" w:type="dxa"/>
                  <w:tcBorders>
                    <w:top w:val="single" w:color="auto" w:sz="8" w:space="0"/>
                    <w:left w:val="single" w:color="auto" w:sz="4" w:space="0"/>
                    <w:bottom w:val="single" w:color="auto" w:sz="4" w:space="0"/>
                    <w:right w:val="single" w:color="auto" w:sz="4" w:space="0"/>
                    <w:tl2br w:val="nil"/>
                    <w:tr2bl w:val="nil"/>
                  </w:tcBorders>
                  <w:noWrap w:val="0"/>
                  <w:vAlign w:val="center"/>
                </w:tcPr>
                <w:p w14:paraId="10BB90A7">
                  <w:pPr>
                    <w:adjustRightInd w:val="0"/>
                    <w:snapToGrid w:val="0"/>
                    <w:jc w:val="center"/>
                    <w:rPr>
                      <w:rFonts w:hint="default" w:ascii="Times New Roman" w:hAnsi="Times New Roman" w:eastAsia="宋体"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18"/>
                      <w:szCs w:val="18"/>
                      <w:highlight w:val="none"/>
                      <w:vertAlign w:val="baseline"/>
                      <w:lang w:val="en-US" w:eastAsia="zh-CN"/>
                      <w14:textFill>
                        <w14:solidFill>
                          <w14:schemeClr w14:val="tx1"/>
                        </w14:solidFill>
                      </w14:textFill>
                    </w:rPr>
                    <w:t>处置方式和去向</w:t>
                  </w:r>
                </w:p>
              </w:tc>
              <w:tc>
                <w:tcPr>
                  <w:tcW w:w="984" w:type="dxa"/>
                  <w:tcBorders>
                    <w:top w:val="single" w:color="auto" w:sz="8" w:space="0"/>
                    <w:left w:val="single" w:color="auto" w:sz="4" w:space="0"/>
                    <w:bottom w:val="single" w:color="auto" w:sz="4" w:space="0"/>
                    <w:tl2br w:val="nil"/>
                    <w:tr2bl w:val="nil"/>
                  </w:tcBorders>
                  <w:noWrap w:val="0"/>
                  <w:vAlign w:val="center"/>
                </w:tcPr>
                <w:p w14:paraId="0625BEEC">
                  <w:pPr>
                    <w:adjustRightInd w:val="0"/>
                    <w:snapToGrid w:val="0"/>
                    <w:jc w:val="center"/>
                    <w:rPr>
                      <w:rFonts w:hint="default" w:ascii="Times New Roman" w:hAnsi="Times New Roman" w:eastAsia="宋体"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18"/>
                      <w:szCs w:val="18"/>
                      <w:highlight w:val="none"/>
                      <w:vertAlign w:val="baseline"/>
                      <w:lang w:val="en-US" w:eastAsia="zh-CN"/>
                      <w14:textFill>
                        <w14:solidFill>
                          <w14:schemeClr w14:val="tx1"/>
                        </w14:solidFill>
                      </w14:textFill>
                    </w:rPr>
                    <w:t>处置或利用量t/a</w:t>
                  </w:r>
                </w:p>
              </w:tc>
            </w:tr>
            <w:tr w14:paraId="681C3D1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9" w:type="dxa"/>
                  <w:tcBorders>
                    <w:top w:val="single" w:color="auto" w:sz="4" w:space="0"/>
                    <w:bottom w:val="single" w:color="auto" w:sz="4" w:space="0"/>
                    <w:right w:val="single" w:color="auto" w:sz="4" w:space="0"/>
                    <w:tl2br w:val="nil"/>
                    <w:tr2bl w:val="nil"/>
                  </w:tcBorders>
                  <w:noWrap w:val="0"/>
                  <w:vAlign w:val="center"/>
                </w:tcPr>
                <w:p w14:paraId="7100DAF5">
                  <w:pPr>
                    <w:spacing w:line="240" w:lineRule="auto"/>
                    <w:jc w:val="center"/>
                    <w:rPr>
                      <w:rFonts w:hint="default" w:ascii="Times New Roman" w:hAnsi="Times New Roman" w:cs="Times New Roman"/>
                      <w:b w:val="0"/>
                      <w:bCs w:val="0"/>
                      <w:color w:val="000000" w:themeColor="text1"/>
                      <w:spacing w:val="0"/>
                      <w:sz w:val="18"/>
                      <w:szCs w:val="18"/>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18"/>
                      <w:szCs w:val="18"/>
                      <w:highlight w:val="none"/>
                      <w:lang w:val="en-US" w:eastAsia="zh-CN"/>
                      <w14:textFill>
                        <w14:solidFill>
                          <w14:schemeClr w14:val="tx1"/>
                        </w14:solidFill>
                      </w14:textFill>
                    </w:rPr>
                    <w:t>锅炉水软化</w:t>
                  </w:r>
                </w:p>
              </w:tc>
              <w:tc>
                <w:tcPr>
                  <w:tcW w:w="121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1C5D3FC">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t>900-008-S59</w:t>
                  </w:r>
                </w:p>
              </w:tc>
              <w:tc>
                <w:tcPr>
                  <w:tcW w:w="103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EA3D7EA">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t>废离子交换树脂</w:t>
                  </w:r>
                </w:p>
              </w:tc>
              <w:tc>
                <w:tcPr>
                  <w:tcW w:w="1055" w:type="dxa"/>
                  <w:vMerge w:val="restart"/>
                  <w:tcBorders>
                    <w:top w:val="single" w:color="auto" w:sz="4" w:space="0"/>
                    <w:left w:val="single" w:color="auto" w:sz="4" w:space="0"/>
                    <w:right w:val="single" w:color="auto" w:sz="4" w:space="0"/>
                    <w:tl2br w:val="nil"/>
                    <w:tr2bl w:val="nil"/>
                  </w:tcBorders>
                  <w:noWrap w:val="0"/>
                  <w:vAlign w:val="center"/>
                </w:tcPr>
                <w:p w14:paraId="783AA734">
                  <w:pPr>
                    <w:adjustRightInd w:val="0"/>
                    <w:snapToGrid w:val="0"/>
                    <w:jc w:val="center"/>
                    <w:rPr>
                      <w:rFonts w:hint="default" w:ascii="Times New Roman" w:hAnsi="Times New Roman" w:eastAsia="宋体" w:cs="Times New Roman"/>
                      <w:bCs/>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t>一般固体废物</w:t>
                  </w:r>
                </w:p>
              </w:tc>
              <w:tc>
                <w:tcPr>
                  <w:tcW w:w="72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90E0546">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t>0.10</w:t>
                  </w:r>
                </w:p>
              </w:tc>
              <w:tc>
                <w:tcPr>
                  <w:tcW w:w="82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E601C73">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t>--</w:t>
                  </w:r>
                </w:p>
              </w:tc>
              <w:tc>
                <w:tcPr>
                  <w:tcW w:w="141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FCA39CD">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t>厂家回收</w:t>
                  </w:r>
                </w:p>
              </w:tc>
              <w:tc>
                <w:tcPr>
                  <w:tcW w:w="984" w:type="dxa"/>
                  <w:tcBorders>
                    <w:top w:val="single" w:color="auto" w:sz="4" w:space="0"/>
                    <w:left w:val="single" w:color="auto" w:sz="4" w:space="0"/>
                    <w:bottom w:val="single" w:color="auto" w:sz="4" w:space="0"/>
                    <w:tl2br w:val="nil"/>
                    <w:tr2bl w:val="nil"/>
                  </w:tcBorders>
                  <w:noWrap w:val="0"/>
                  <w:vAlign w:val="center"/>
                </w:tcPr>
                <w:p w14:paraId="07F9907A">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t>0.10</w:t>
                  </w:r>
                </w:p>
              </w:tc>
            </w:tr>
            <w:tr w14:paraId="12F8782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9" w:type="dxa"/>
                  <w:vMerge w:val="restart"/>
                  <w:tcBorders>
                    <w:top w:val="single" w:color="auto" w:sz="4" w:space="0"/>
                    <w:right w:val="single" w:color="auto" w:sz="4" w:space="0"/>
                    <w:tl2br w:val="nil"/>
                    <w:tr2bl w:val="nil"/>
                  </w:tcBorders>
                  <w:noWrap w:val="0"/>
                  <w:vAlign w:val="center"/>
                </w:tcPr>
                <w:p w14:paraId="6EA695B2">
                  <w:pPr>
                    <w:adjustRightInd w:val="0"/>
                    <w:snapToGrid w:val="0"/>
                    <w:jc w:val="center"/>
                    <w:rPr>
                      <w:rFonts w:hint="default" w:ascii="Times New Roman" w:hAnsi="Times New Roman" w:eastAsia="宋体" w:cs="Times New Roman"/>
                      <w:bCs/>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bCs/>
                      <w:color w:val="000000" w:themeColor="text1"/>
                      <w:sz w:val="18"/>
                      <w:szCs w:val="18"/>
                      <w:highlight w:val="none"/>
                      <w:lang w:val="en-US" w:eastAsia="zh-CN"/>
                      <w14:textFill>
                        <w14:solidFill>
                          <w14:schemeClr w14:val="tx1"/>
                        </w14:solidFill>
                      </w14:textFill>
                    </w:rPr>
                    <w:t>锅炉</w:t>
                  </w:r>
                </w:p>
              </w:tc>
              <w:tc>
                <w:tcPr>
                  <w:tcW w:w="121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8481B77">
                  <w:pPr>
                    <w:adjustRightInd w:val="0"/>
                    <w:snapToGrid w:val="0"/>
                    <w:jc w:val="center"/>
                    <w:rPr>
                      <w:rFonts w:hint="default" w:ascii="Times New Roman" w:hAnsi="Times New Roman" w:eastAsia="宋体" w:cs="Times New Roman"/>
                      <w:bCs/>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900-099-S03</w:t>
                  </w:r>
                </w:p>
              </w:tc>
              <w:tc>
                <w:tcPr>
                  <w:tcW w:w="103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3EDD10F">
                  <w:pPr>
                    <w:adjustRightInd w:val="0"/>
                    <w:snapToGrid w:val="0"/>
                    <w:jc w:val="center"/>
                    <w:rPr>
                      <w:rFonts w:hint="default" w:ascii="Times New Roman" w:hAnsi="Times New Roman" w:eastAsia="宋体" w:cs="Times New Roman"/>
                      <w:bCs/>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炉渣</w:t>
                  </w:r>
                </w:p>
              </w:tc>
              <w:tc>
                <w:tcPr>
                  <w:tcW w:w="1055" w:type="dxa"/>
                  <w:vMerge w:val="continue"/>
                  <w:tcBorders>
                    <w:left w:val="single" w:color="auto" w:sz="4" w:space="0"/>
                    <w:right w:val="single" w:color="auto" w:sz="4" w:space="0"/>
                    <w:tl2br w:val="nil"/>
                    <w:tr2bl w:val="nil"/>
                  </w:tcBorders>
                  <w:noWrap w:val="0"/>
                  <w:vAlign w:val="center"/>
                </w:tcPr>
                <w:p w14:paraId="26B94F10">
                  <w:pPr>
                    <w:adjustRightInd w:val="0"/>
                    <w:snapToGrid w:val="0"/>
                    <w:jc w:val="center"/>
                    <w:rPr>
                      <w:rFonts w:hint="default" w:ascii="Times New Roman" w:hAnsi="Times New Roman" w:eastAsia="宋体" w:cs="Times New Roman"/>
                      <w:bCs/>
                      <w:color w:val="000000" w:themeColor="text1"/>
                      <w:kern w:val="2"/>
                      <w:sz w:val="18"/>
                      <w:szCs w:val="18"/>
                      <w:highlight w:val="none"/>
                      <w:lang w:val="en-US" w:eastAsia="zh-CN" w:bidi="ar-SA"/>
                      <w14:textFill>
                        <w14:solidFill>
                          <w14:schemeClr w14:val="tx1"/>
                        </w14:solidFill>
                      </w14:textFill>
                    </w:rPr>
                  </w:pPr>
                </w:p>
              </w:tc>
              <w:tc>
                <w:tcPr>
                  <w:tcW w:w="72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7D692E1">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t>55.3</w:t>
                  </w:r>
                </w:p>
              </w:tc>
              <w:tc>
                <w:tcPr>
                  <w:tcW w:w="820" w:type="dxa"/>
                  <w:vMerge w:val="restart"/>
                  <w:tcBorders>
                    <w:top w:val="single" w:color="auto" w:sz="4" w:space="0"/>
                    <w:left w:val="single" w:color="auto" w:sz="4" w:space="0"/>
                    <w:right w:val="single" w:color="auto" w:sz="4" w:space="0"/>
                    <w:tl2br w:val="nil"/>
                    <w:tr2bl w:val="nil"/>
                  </w:tcBorders>
                  <w:noWrap w:val="0"/>
                  <w:vAlign w:val="center"/>
                </w:tcPr>
                <w:p w14:paraId="588EA146">
                  <w:pPr>
                    <w:adjustRightInd w:val="0"/>
                    <w:snapToGrid w:val="0"/>
                    <w:jc w:val="center"/>
                    <w:rPr>
                      <w:rFonts w:hint="default" w:ascii="Times New Roman" w:hAnsi="Times New Roman" w:eastAsia="宋体" w:cs="Times New Roman"/>
                      <w:bCs/>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袋装储存</w:t>
                  </w:r>
                </w:p>
              </w:tc>
              <w:tc>
                <w:tcPr>
                  <w:tcW w:w="1413" w:type="dxa"/>
                  <w:vMerge w:val="restart"/>
                  <w:tcBorders>
                    <w:top w:val="single" w:color="auto" w:sz="4" w:space="0"/>
                    <w:left w:val="single" w:color="auto" w:sz="4" w:space="0"/>
                    <w:right w:val="single" w:color="auto" w:sz="4" w:space="0"/>
                    <w:tl2br w:val="nil"/>
                    <w:tr2bl w:val="nil"/>
                  </w:tcBorders>
                  <w:noWrap w:val="0"/>
                  <w:vAlign w:val="center"/>
                </w:tcPr>
                <w:p w14:paraId="1681E2A5">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kern w:val="2"/>
                      <w:sz w:val="18"/>
                      <w:szCs w:val="18"/>
                      <w:highlight w:val="none"/>
                      <w:lang w:val="en-US" w:eastAsia="zh-CN" w:bidi="ar-SA"/>
                      <w14:textFill>
                        <w14:solidFill>
                          <w14:schemeClr w14:val="tx1"/>
                        </w14:solidFill>
                      </w14:textFill>
                    </w:rPr>
                    <w:t>外售给有能力的有机肥厂综合利用</w:t>
                  </w:r>
                </w:p>
              </w:tc>
              <w:tc>
                <w:tcPr>
                  <w:tcW w:w="984" w:type="dxa"/>
                  <w:tcBorders>
                    <w:top w:val="single" w:color="auto" w:sz="4" w:space="0"/>
                    <w:left w:val="single" w:color="auto" w:sz="4" w:space="0"/>
                    <w:bottom w:val="single" w:color="auto" w:sz="4" w:space="0"/>
                    <w:tl2br w:val="nil"/>
                    <w:tr2bl w:val="nil"/>
                  </w:tcBorders>
                  <w:noWrap w:val="0"/>
                  <w:vAlign w:val="center"/>
                </w:tcPr>
                <w:p w14:paraId="22527C54">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t>55.3</w:t>
                  </w:r>
                </w:p>
              </w:tc>
            </w:tr>
            <w:tr w14:paraId="31432C2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9" w:type="dxa"/>
                  <w:vMerge w:val="continue"/>
                  <w:tcBorders>
                    <w:right w:val="single" w:color="auto" w:sz="4" w:space="0"/>
                    <w:tl2br w:val="nil"/>
                    <w:tr2bl w:val="nil"/>
                  </w:tcBorders>
                  <w:noWrap w:val="0"/>
                  <w:vAlign w:val="center"/>
                </w:tcPr>
                <w:p w14:paraId="58584F96">
                  <w:pPr>
                    <w:spacing w:line="240" w:lineRule="auto"/>
                    <w:jc w:val="center"/>
                    <w:rPr>
                      <w:rFonts w:hint="default" w:ascii="Times New Roman" w:hAnsi="Times New Roman" w:cs="Times New Roman"/>
                      <w:b w:val="0"/>
                      <w:bCs w:val="0"/>
                      <w:color w:val="000000" w:themeColor="text1"/>
                      <w:spacing w:val="0"/>
                      <w:sz w:val="18"/>
                      <w:szCs w:val="18"/>
                      <w:highlight w:val="none"/>
                      <w:lang w:val="en-US" w:eastAsia="zh-CN"/>
                      <w14:textFill>
                        <w14:solidFill>
                          <w14:schemeClr w14:val="tx1"/>
                        </w14:solidFill>
                      </w14:textFill>
                    </w:rPr>
                  </w:pPr>
                </w:p>
              </w:tc>
              <w:tc>
                <w:tcPr>
                  <w:tcW w:w="121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F69A7C1">
                  <w:pPr>
                    <w:adjustRightInd w:val="0"/>
                    <w:snapToGrid w:val="0"/>
                    <w:jc w:val="center"/>
                    <w:rPr>
                      <w:rFonts w:hint="default" w:ascii="Times New Roman" w:hAnsi="Times New Roman" w:eastAsia="宋体" w:cs="Times New Roman"/>
                      <w:bCs/>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900-099-S59</w:t>
                  </w:r>
                </w:p>
              </w:tc>
              <w:tc>
                <w:tcPr>
                  <w:tcW w:w="103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755166F">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布袋除尘器收尘</w:t>
                  </w:r>
                </w:p>
              </w:tc>
              <w:tc>
                <w:tcPr>
                  <w:tcW w:w="1055" w:type="dxa"/>
                  <w:vMerge w:val="continue"/>
                  <w:tcBorders>
                    <w:left w:val="single" w:color="auto" w:sz="4" w:space="0"/>
                    <w:right w:val="single" w:color="auto" w:sz="4" w:space="0"/>
                    <w:tl2br w:val="nil"/>
                    <w:tr2bl w:val="nil"/>
                  </w:tcBorders>
                  <w:noWrap w:val="0"/>
                  <w:vAlign w:val="center"/>
                </w:tcPr>
                <w:p w14:paraId="29BD3DD4">
                  <w:pPr>
                    <w:adjustRightInd w:val="0"/>
                    <w:snapToGrid w:val="0"/>
                    <w:jc w:val="center"/>
                    <w:rPr>
                      <w:rFonts w:hint="default" w:ascii="Times New Roman" w:hAnsi="Times New Roman" w:eastAsia="宋体" w:cs="Times New Roman"/>
                      <w:bCs/>
                      <w:color w:val="000000" w:themeColor="text1"/>
                      <w:kern w:val="2"/>
                      <w:sz w:val="18"/>
                      <w:szCs w:val="18"/>
                      <w:highlight w:val="none"/>
                      <w:lang w:val="en-US" w:eastAsia="zh-CN" w:bidi="ar-SA"/>
                      <w14:textFill>
                        <w14:solidFill>
                          <w14:schemeClr w14:val="tx1"/>
                        </w14:solidFill>
                      </w14:textFill>
                    </w:rPr>
                  </w:pPr>
                </w:p>
              </w:tc>
              <w:tc>
                <w:tcPr>
                  <w:tcW w:w="72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476C1C6">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t>72.925</w:t>
                  </w:r>
                </w:p>
              </w:tc>
              <w:tc>
                <w:tcPr>
                  <w:tcW w:w="820" w:type="dxa"/>
                  <w:vMerge w:val="continue"/>
                  <w:tcBorders>
                    <w:left w:val="single" w:color="auto" w:sz="4" w:space="0"/>
                    <w:right w:val="single" w:color="auto" w:sz="4" w:space="0"/>
                    <w:tl2br w:val="nil"/>
                    <w:tr2bl w:val="nil"/>
                  </w:tcBorders>
                  <w:noWrap w:val="0"/>
                  <w:vAlign w:val="center"/>
                </w:tcPr>
                <w:p w14:paraId="0C489B4B">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p>
              </w:tc>
              <w:tc>
                <w:tcPr>
                  <w:tcW w:w="1413" w:type="dxa"/>
                  <w:vMerge w:val="continue"/>
                  <w:tcBorders>
                    <w:left w:val="single" w:color="auto" w:sz="4" w:space="0"/>
                    <w:right w:val="single" w:color="auto" w:sz="4" w:space="0"/>
                    <w:tl2br w:val="nil"/>
                    <w:tr2bl w:val="nil"/>
                  </w:tcBorders>
                  <w:noWrap w:val="0"/>
                  <w:vAlign w:val="center"/>
                </w:tcPr>
                <w:p w14:paraId="4060F128">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p>
              </w:tc>
              <w:tc>
                <w:tcPr>
                  <w:tcW w:w="984" w:type="dxa"/>
                  <w:tcBorders>
                    <w:top w:val="single" w:color="auto" w:sz="4" w:space="0"/>
                    <w:left w:val="single" w:color="auto" w:sz="4" w:space="0"/>
                    <w:bottom w:val="single" w:color="auto" w:sz="4" w:space="0"/>
                    <w:tl2br w:val="nil"/>
                    <w:tr2bl w:val="nil"/>
                  </w:tcBorders>
                  <w:noWrap w:val="0"/>
                  <w:vAlign w:val="center"/>
                </w:tcPr>
                <w:p w14:paraId="6C6D6E0E">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t>72.925</w:t>
                  </w:r>
                </w:p>
              </w:tc>
            </w:tr>
            <w:tr w14:paraId="31E1E30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9" w:type="dxa"/>
                  <w:vMerge w:val="continue"/>
                  <w:tcBorders>
                    <w:bottom w:val="single" w:color="auto" w:sz="4" w:space="0"/>
                    <w:right w:val="single" w:color="auto" w:sz="4" w:space="0"/>
                    <w:tl2br w:val="nil"/>
                    <w:tr2bl w:val="nil"/>
                  </w:tcBorders>
                  <w:noWrap w:val="0"/>
                  <w:vAlign w:val="center"/>
                </w:tcPr>
                <w:p w14:paraId="09EF64DD">
                  <w:pPr>
                    <w:spacing w:line="240" w:lineRule="auto"/>
                    <w:jc w:val="center"/>
                    <w:rPr>
                      <w:rFonts w:hint="default" w:ascii="Times New Roman" w:hAnsi="Times New Roman" w:cs="Times New Roman"/>
                      <w:b w:val="0"/>
                      <w:bCs w:val="0"/>
                      <w:color w:val="000000" w:themeColor="text1"/>
                      <w:spacing w:val="0"/>
                      <w:sz w:val="18"/>
                      <w:szCs w:val="18"/>
                      <w:highlight w:val="none"/>
                      <w:lang w:val="en-US" w:eastAsia="zh-CN"/>
                      <w14:textFill>
                        <w14:solidFill>
                          <w14:schemeClr w14:val="tx1"/>
                        </w14:solidFill>
                      </w14:textFill>
                    </w:rPr>
                  </w:pPr>
                </w:p>
              </w:tc>
              <w:tc>
                <w:tcPr>
                  <w:tcW w:w="121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63C8AEF">
                  <w:pPr>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900-009-S59</w:t>
                  </w:r>
                </w:p>
              </w:tc>
              <w:tc>
                <w:tcPr>
                  <w:tcW w:w="103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7311F55">
                  <w:pPr>
                    <w:adjustRightInd w:val="0"/>
                    <w:snapToGrid w:val="0"/>
                    <w:jc w:val="center"/>
                    <w:rPr>
                      <w:rFonts w:hint="default"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bCs/>
                      <w:color w:val="000000" w:themeColor="text1"/>
                      <w:sz w:val="18"/>
                      <w:szCs w:val="18"/>
                      <w:highlight w:val="none"/>
                      <w:lang w:val="en-US" w:eastAsia="zh-CN"/>
                      <w14:textFill>
                        <w14:solidFill>
                          <w14:schemeClr w14:val="tx1"/>
                        </w14:solidFill>
                      </w14:textFill>
                    </w:rPr>
                    <w:t>废布袋</w:t>
                  </w:r>
                </w:p>
              </w:tc>
              <w:tc>
                <w:tcPr>
                  <w:tcW w:w="1055" w:type="dxa"/>
                  <w:vMerge w:val="continue"/>
                  <w:tcBorders>
                    <w:left w:val="single" w:color="auto" w:sz="4" w:space="0"/>
                    <w:bottom w:val="single" w:color="auto" w:sz="4" w:space="0"/>
                    <w:right w:val="single" w:color="auto" w:sz="4" w:space="0"/>
                    <w:tl2br w:val="nil"/>
                    <w:tr2bl w:val="nil"/>
                  </w:tcBorders>
                  <w:noWrap w:val="0"/>
                  <w:vAlign w:val="center"/>
                </w:tcPr>
                <w:p w14:paraId="5BC998F3">
                  <w:pPr>
                    <w:adjustRightInd w:val="0"/>
                    <w:snapToGrid w:val="0"/>
                    <w:jc w:val="center"/>
                    <w:rPr>
                      <w:rFonts w:hint="default" w:ascii="Times New Roman" w:hAnsi="Times New Roman" w:eastAsia="宋体" w:cs="Times New Roman"/>
                      <w:bCs/>
                      <w:color w:val="000000" w:themeColor="text1"/>
                      <w:kern w:val="2"/>
                      <w:sz w:val="18"/>
                      <w:szCs w:val="18"/>
                      <w:highlight w:val="none"/>
                      <w:lang w:val="en-US" w:eastAsia="zh-CN" w:bidi="ar-SA"/>
                      <w14:textFill>
                        <w14:solidFill>
                          <w14:schemeClr w14:val="tx1"/>
                        </w14:solidFill>
                      </w14:textFill>
                    </w:rPr>
                  </w:pPr>
                </w:p>
              </w:tc>
              <w:tc>
                <w:tcPr>
                  <w:tcW w:w="72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6531181">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t>0.2</w:t>
                  </w:r>
                </w:p>
              </w:tc>
              <w:tc>
                <w:tcPr>
                  <w:tcW w:w="820" w:type="dxa"/>
                  <w:vMerge w:val="continue"/>
                  <w:tcBorders>
                    <w:left w:val="single" w:color="auto" w:sz="4" w:space="0"/>
                    <w:bottom w:val="single" w:color="auto" w:sz="4" w:space="0"/>
                    <w:right w:val="single" w:color="auto" w:sz="4" w:space="0"/>
                    <w:tl2br w:val="nil"/>
                    <w:tr2bl w:val="nil"/>
                  </w:tcBorders>
                  <w:noWrap w:val="0"/>
                  <w:vAlign w:val="center"/>
                </w:tcPr>
                <w:p w14:paraId="1C0B0EBE">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p>
              </w:tc>
              <w:tc>
                <w:tcPr>
                  <w:tcW w:w="1413" w:type="dxa"/>
                  <w:tcBorders>
                    <w:left w:val="single" w:color="auto" w:sz="4" w:space="0"/>
                    <w:bottom w:val="single" w:color="auto" w:sz="4" w:space="0"/>
                    <w:right w:val="single" w:color="auto" w:sz="4" w:space="0"/>
                    <w:tl2br w:val="nil"/>
                    <w:tr2bl w:val="nil"/>
                  </w:tcBorders>
                  <w:noWrap w:val="0"/>
                  <w:vAlign w:val="center"/>
                </w:tcPr>
                <w:p w14:paraId="1592BB34">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t>厂家回收</w:t>
                  </w:r>
                </w:p>
              </w:tc>
              <w:tc>
                <w:tcPr>
                  <w:tcW w:w="984" w:type="dxa"/>
                  <w:tcBorders>
                    <w:top w:val="single" w:color="auto" w:sz="4" w:space="0"/>
                    <w:left w:val="single" w:color="auto" w:sz="4" w:space="0"/>
                    <w:bottom w:val="single" w:color="auto" w:sz="4" w:space="0"/>
                    <w:tl2br w:val="nil"/>
                    <w:tr2bl w:val="nil"/>
                  </w:tcBorders>
                  <w:noWrap w:val="0"/>
                  <w:vAlign w:val="center"/>
                </w:tcPr>
                <w:p w14:paraId="51CE7B55">
                  <w:pPr>
                    <w:adjustRightInd w:val="0"/>
                    <w:snapToGrid w:val="0"/>
                    <w:jc w:val="cente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0"/>
                      <w:sz w:val="18"/>
                      <w:szCs w:val="18"/>
                      <w:highlight w:val="none"/>
                      <w:vertAlign w:val="baseline"/>
                      <w:lang w:val="en-US" w:eastAsia="zh-CN"/>
                      <w14:textFill>
                        <w14:solidFill>
                          <w14:schemeClr w14:val="tx1"/>
                        </w14:solidFill>
                      </w14:textFill>
                    </w:rPr>
                    <w:t>0.2</w:t>
                  </w:r>
                </w:p>
              </w:tc>
            </w:tr>
          </w:tbl>
          <w:p w14:paraId="42EC767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textAlignment w:val="auto"/>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pPr>
            <w:r>
              <w:rPr>
                <w:rFonts w:hint="eastAsia" w:cs="Times New Roman"/>
                <w:b/>
                <w:bCs w:val="0"/>
                <w:color w:val="000000" w:themeColor="text1"/>
                <w:spacing w:val="0"/>
                <w:sz w:val="24"/>
                <w:szCs w:val="24"/>
                <w:highlight w:val="none"/>
                <w:lang w:val="en-US" w:eastAsia="zh-CN"/>
                <w14:textFill>
                  <w14:solidFill>
                    <w14:schemeClr w14:val="tx1"/>
                  </w14:solidFill>
                </w14:textFill>
              </w:rPr>
              <w:t>5.</w:t>
            </w:r>
            <w: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t>土壤和地下水</w:t>
            </w:r>
          </w:p>
          <w:p w14:paraId="1425084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pacing w:val="0"/>
                <w:sz w:val="24"/>
                <w:szCs w:val="24"/>
                <w:highlight w:val="none"/>
                <w:lang w:val="en-US" w:eastAsia="zh-CN"/>
                <w14:textFill>
                  <w14:solidFill>
                    <w14:schemeClr w14:val="tx1"/>
                  </w14:solidFill>
                </w14:textFill>
              </w:rPr>
              <w:t>本项目</w:t>
            </w:r>
            <w:r>
              <w:rPr>
                <w:rFonts w:hint="default" w:ascii="Times New Roman" w:hAnsi="Times New Roman" w:cs="Times New Roman"/>
                <w:bCs/>
                <w:color w:val="000000" w:themeColor="text1"/>
                <w:spacing w:val="0"/>
                <w:sz w:val="24"/>
                <w:szCs w:val="24"/>
                <w:highlight w:val="none"/>
                <w:lang w:val="en-US" w:eastAsia="zh-CN"/>
                <w14:textFill>
                  <w14:solidFill>
                    <w14:schemeClr w14:val="tx1"/>
                  </w14:solidFill>
                </w14:textFill>
              </w:rPr>
              <w:t>主要为锅炉房建设项目，锅炉房采取地面硬化措施，无地下水、土壤污染途径。</w:t>
            </w:r>
          </w:p>
          <w:p w14:paraId="7BF4EB74">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pPr>
            <w:r>
              <w:rPr>
                <w:rFonts w:hint="eastAsia" w:cs="Times New Roman"/>
                <w:b/>
                <w:bCs w:val="0"/>
                <w:color w:val="000000" w:themeColor="text1"/>
                <w:spacing w:val="0"/>
                <w:sz w:val="24"/>
                <w:szCs w:val="24"/>
                <w:highlight w:val="none"/>
                <w:lang w:val="en-US" w:eastAsia="zh-CN"/>
                <w14:textFill>
                  <w14:solidFill>
                    <w14:schemeClr w14:val="tx1"/>
                  </w14:solidFill>
                </w14:textFill>
              </w:rPr>
              <w:t>6.</w:t>
            </w:r>
            <w: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t>环境风险</w:t>
            </w:r>
          </w:p>
          <w:p w14:paraId="7044E3F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本项目无环境风险物质，不进行具体分析。</w:t>
            </w:r>
          </w:p>
          <w:p w14:paraId="259E5F83">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pPr>
            <w:r>
              <w:rPr>
                <w:rFonts w:hint="eastAsia" w:cs="Times New Roman"/>
                <w:b/>
                <w:bCs w:val="0"/>
                <w:color w:val="000000" w:themeColor="text1"/>
                <w:spacing w:val="0"/>
                <w:sz w:val="24"/>
                <w:szCs w:val="24"/>
                <w:highlight w:val="none"/>
                <w:lang w:val="en-US" w:eastAsia="zh-CN"/>
                <w14:textFill>
                  <w14:solidFill>
                    <w14:schemeClr w14:val="tx1"/>
                  </w14:solidFill>
                </w14:textFill>
              </w:rPr>
              <w:t>7.</w:t>
            </w:r>
            <w:r>
              <w:rPr>
                <w:rFonts w:hint="default" w:ascii="Times New Roman" w:hAnsi="Times New Roman" w:eastAsia="宋体" w:cs="Times New Roman"/>
                <w:b/>
                <w:bCs w:val="0"/>
                <w:color w:val="000000" w:themeColor="text1"/>
                <w:spacing w:val="0"/>
                <w:sz w:val="24"/>
                <w:szCs w:val="24"/>
                <w:highlight w:val="none"/>
                <w:lang w:val="en-US" w:eastAsia="zh-CN"/>
                <w14:textFill>
                  <w14:solidFill>
                    <w14:schemeClr w14:val="tx1"/>
                  </w14:solidFill>
                </w14:textFill>
              </w:rPr>
              <w:t>环保投资</w:t>
            </w:r>
          </w:p>
          <w:p w14:paraId="1BB4B21E">
            <w:pPr>
              <w:jc w:val="center"/>
              <w:rPr>
                <w:rFonts w:hint="default" w:ascii="Times New Roman" w:hAnsi="Times New Roman" w:cs="Times New Roman"/>
                <w:b/>
                <w:bCs/>
                <w:color w:val="000000" w:themeColor="text1"/>
                <w:sz w:val="24"/>
                <w:szCs w:val="24"/>
                <w:highlight w:val="none"/>
                <w14:textFill>
                  <w14:solidFill>
                    <w14:schemeClr w14:val="tx1"/>
                  </w14:solidFill>
                </w14:textFill>
              </w:rPr>
            </w:pPr>
            <w:r>
              <w:rPr>
                <w:rFonts w:hint="default" w:ascii="Times New Roman" w:hAnsi="Times New Roman" w:cs="Times New Roman"/>
                <w:b/>
                <w:bCs/>
                <w:color w:val="000000" w:themeColor="text1"/>
                <w:sz w:val="24"/>
                <w:szCs w:val="24"/>
                <w:highlight w:val="none"/>
                <w14:textFill>
                  <w14:solidFill>
                    <w14:schemeClr w14:val="tx1"/>
                  </w14:solidFill>
                </w14:textFill>
              </w:rPr>
              <w:t>表</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4-11</w:t>
            </w:r>
            <w:r>
              <w:rPr>
                <w:rFonts w:hint="default" w:ascii="Times New Roman" w:hAnsi="Times New Roman" w:cs="Times New Roman"/>
                <w:b/>
                <w:bCs/>
                <w:color w:val="000000" w:themeColor="text1"/>
                <w:sz w:val="24"/>
                <w:szCs w:val="24"/>
                <w:highlight w:val="none"/>
                <w14:textFill>
                  <w14:solidFill>
                    <w14:schemeClr w14:val="tx1"/>
                  </w14:solidFill>
                </w14:textFill>
              </w:rPr>
              <w:t>环保投资估算</w:t>
            </w:r>
          </w:p>
          <w:tbl>
            <w:tblPr>
              <w:tblStyle w:val="13"/>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7"/>
              <w:gridCol w:w="4900"/>
              <w:gridCol w:w="2054"/>
            </w:tblGrid>
            <w:tr w14:paraId="10F468D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tblHeader/>
                <w:jc w:val="center"/>
              </w:trPr>
              <w:tc>
                <w:tcPr>
                  <w:tcW w:w="1137" w:type="dxa"/>
                  <w:tcBorders>
                    <w:tl2br w:val="nil"/>
                    <w:tr2bl w:val="nil"/>
                  </w:tcBorders>
                  <w:noWrap w:val="0"/>
                  <w:vAlign w:val="center"/>
                </w:tcPr>
                <w:p w14:paraId="4946B8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投资项目</w:t>
                  </w:r>
                </w:p>
              </w:tc>
              <w:tc>
                <w:tcPr>
                  <w:tcW w:w="4900" w:type="dxa"/>
                  <w:tcBorders>
                    <w:tl2br w:val="nil"/>
                    <w:tr2bl w:val="nil"/>
                  </w:tcBorders>
                  <w:noWrap w:val="0"/>
                  <w:vAlign w:val="center"/>
                </w:tcPr>
                <w:p w14:paraId="1A43A6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采取措施或设备</w:t>
                  </w:r>
                </w:p>
              </w:tc>
              <w:tc>
                <w:tcPr>
                  <w:tcW w:w="2054" w:type="dxa"/>
                  <w:tcBorders>
                    <w:tl2br w:val="nil"/>
                    <w:tr2bl w:val="nil"/>
                  </w:tcBorders>
                  <w:noWrap w:val="0"/>
                  <w:vAlign w:val="center"/>
                </w:tcPr>
                <w:p w14:paraId="63B0AA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环保投资</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万元</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p>
              </w:tc>
            </w:tr>
            <w:tr w14:paraId="69AB2A3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dxa"/>
                  <w:tcBorders>
                    <w:tl2br w:val="nil"/>
                    <w:tr2bl w:val="nil"/>
                  </w:tcBorders>
                  <w:noWrap w:val="0"/>
                  <w:vAlign w:val="center"/>
                </w:tcPr>
                <w:p w14:paraId="32881A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废气治理</w:t>
                  </w:r>
                </w:p>
              </w:tc>
              <w:tc>
                <w:tcPr>
                  <w:tcW w:w="4900" w:type="dxa"/>
                  <w:tcBorders>
                    <w:tl2br w:val="nil"/>
                    <w:tr2bl w:val="nil"/>
                  </w:tcBorders>
                  <w:noWrap w:val="0"/>
                  <w:vAlign w:val="center"/>
                </w:tcPr>
                <w:p w14:paraId="1958BA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旋风除尘器+袋式除尘器</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处理加1根30m烟囱</w:t>
                  </w:r>
                </w:p>
              </w:tc>
              <w:tc>
                <w:tcPr>
                  <w:tcW w:w="2054" w:type="dxa"/>
                  <w:tcBorders>
                    <w:tl2br w:val="nil"/>
                    <w:tr2bl w:val="nil"/>
                  </w:tcBorders>
                  <w:noWrap w:val="0"/>
                  <w:vAlign w:val="center"/>
                </w:tcPr>
                <w:p w14:paraId="0EACB3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w:t>
                  </w:r>
                </w:p>
              </w:tc>
            </w:tr>
            <w:tr w14:paraId="5E28032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dxa"/>
                  <w:tcBorders>
                    <w:tl2br w:val="nil"/>
                    <w:tr2bl w:val="nil"/>
                  </w:tcBorders>
                  <w:noWrap w:val="0"/>
                  <w:vAlign w:val="center"/>
                </w:tcPr>
                <w:p w14:paraId="669170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噪声治理</w:t>
                  </w:r>
                </w:p>
              </w:tc>
              <w:tc>
                <w:tcPr>
                  <w:tcW w:w="4900" w:type="dxa"/>
                  <w:tcBorders>
                    <w:tl2br w:val="nil"/>
                    <w:tr2bl w:val="nil"/>
                  </w:tcBorders>
                  <w:noWrap w:val="0"/>
                  <w:vAlign w:val="center"/>
                </w:tcPr>
                <w:p w14:paraId="33B63A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FF0000"/>
                      <w:sz w:val="21"/>
                      <w:szCs w:val="21"/>
                    </w:rPr>
                    <w:t>合理布局、采用低噪声设备、减振、隔声</w:t>
                  </w:r>
                </w:p>
              </w:tc>
              <w:tc>
                <w:tcPr>
                  <w:tcW w:w="2054" w:type="dxa"/>
                  <w:tcBorders>
                    <w:tl2br w:val="nil"/>
                    <w:tr2bl w:val="nil"/>
                  </w:tcBorders>
                  <w:noWrap w:val="0"/>
                  <w:vAlign w:val="center"/>
                </w:tcPr>
                <w:p w14:paraId="699DAF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r>
            <w:tr w14:paraId="5CA530F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dxa"/>
                  <w:tcBorders>
                    <w:tl2br w:val="nil"/>
                    <w:tr2bl w:val="nil"/>
                  </w:tcBorders>
                  <w:noWrap w:val="0"/>
                  <w:vAlign w:val="center"/>
                </w:tcPr>
                <w:p w14:paraId="5E20A3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固废治理</w:t>
                  </w:r>
                </w:p>
              </w:tc>
              <w:tc>
                <w:tcPr>
                  <w:tcW w:w="4900" w:type="dxa"/>
                  <w:tcBorders>
                    <w:tl2br w:val="nil"/>
                    <w:tr2bl w:val="nil"/>
                  </w:tcBorders>
                  <w:noWrap w:val="0"/>
                  <w:vAlign w:val="center"/>
                </w:tcPr>
                <w:p w14:paraId="3612F0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固体废物贮存及转运</w:t>
                  </w:r>
                  <w:r>
                    <w:rPr>
                      <w:rFonts w:hint="eastAsia" w:cs="Times New Roman"/>
                      <w:color w:val="FF0000"/>
                      <w:sz w:val="21"/>
                      <w:szCs w:val="21"/>
                      <w:highlight w:val="none"/>
                      <w:lang w:val="en-US" w:eastAsia="zh-CN"/>
                    </w:rPr>
                    <w:t>（灰渣库，10m</w:t>
                  </w:r>
                  <w:r>
                    <w:rPr>
                      <w:rFonts w:hint="eastAsia" w:cs="Times New Roman"/>
                      <w:color w:val="FF0000"/>
                      <w:sz w:val="21"/>
                      <w:szCs w:val="21"/>
                      <w:highlight w:val="none"/>
                      <w:vertAlign w:val="superscript"/>
                      <w:lang w:val="en-US" w:eastAsia="zh-CN"/>
                    </w:rPr>
                    <w:t>2</w:t>
                  </w:r>
                  <w:r>
                    <w:rPr>
                      <w:rFonts w:hint="eastAsia" w:cs="Times New Roman"/>
                      <w:color w:val="FF0000"/>
                      <w:sz w:val="21"/>
                      <w:szCs w:val="21"/>
                      <w:highlight w:val="none"/>
                      <w:lang w:val="en-US" w:eastAsia="zh-CN"/>
                    </w:rPr>
                    <w:t>）</w:t>
                  </w:r>
                </w:p>
              </w:tc>
              <w:tc>
                <w:tcPr>
                  <w:tcW w:w="2054" w:type="dxa"/>
                  <w:tcBorders>
                    <w:tl2br w:val="nil"/>
                    <w:tr2bl w:val="nil"/>
                  </w:tcBorders>
                  <w:noWrap w:val="0"/>
                  <w:vAlign w:val="center"/>
                </w:tcPr>
                <w:p w14:paraId="2B59C2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p>
              </w:tc>
            </w:tr>
            <w:tr w14:paraId="12AC486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dxa"/>
                  <w:tcBorders>
                    <w:tl2br w:val="nil"/>
                    <w:tr2bl w:val="nil"/>
                  </w:tcBorders>
                  <w:noWrap w:val="0"/>
                  <w:vAlign w:val="center"/>
                </w:tcPr>
                <w:p w14:paraId="64C169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运行维护</w:t>
                  </w:r>
                </w:p>
              </w:tc>
              <w:tc>
                <w:tcPr>
                  <w:tcW w:w="4900" w:type="dxa"/>
                  <w:tcBorders>
                    <w:tl2br w:val="nil"/>
                    <w:tr2bl w:val="nil"/>
                  </w:tcBorders>
                  <w:noWrap w:val="0"/>
                  <w:vAlign w:val="center"/>
                </w:tcPr>
                <w:p w14:paraId="72A5D5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FF0000"/>
                      <w:sz w:val="21"/>
                      <w:szCs w:val="21"/>
                      <w:highlight w:val="none"/>
                    </w:rPr>
                    <w:t>环保设施运行维护费用</w:t>
                  </w:r>
                  <w:r>
                    <w:rPr>
                      <w:rFonts w:hint="default" w:ascii="Times New Roman" w:hAnsi="Times New Roman" w:cs="Times New Roman"/>
                      <w:color w:val="FF0000"/>
                      <w:sz w:val="21"/>
                      <w:szCs w:val="21"/>
                      <w:highlight w:val="none"/>
                      <w:lang w:eastAsia="zh-CN"/>
                    </w:rPr>
                    <w:t>及</w:t>
                  </w:r>
                  <w:r>
                    <w:rPr>
                      <w:rFonts w:hint="eastAsia" w:cs="Times New Roman"/>
                      <w:color w:val="FF0000"/>
                      <w:sz w:val="21"/>
                      <w:szCs w:val="21"/>
                      <w:highlight w:val="none"/>
                      <w:lang w:val="en-US" w:eastAsia="zh-CN"/>
                    </w:rPr>
                    <w:t>跟踪</w:t>
                  </w:r>
                  <w:r>
                    <w:rPr>
                      <w:rFonts w:hint="default" w:ascii="Times New Roman" w:hAnsi="Times New Roman" w:cs="Times New Roman"/>
                      <w:color w:val="FF0000"/>
                      <w:sz w:val="21"/>
                      <w:szCs w:val="21"/>
                      <w:highlight w:val="none"/>
                      <w:lang w:eastAsia="zh-CN"/>
                    </w:rPr>
                    <w:t>监测</w:t>
                  </w:r>
                </w:p>
              </w:tc>
              <w:tc>
                <w:tcPr>
                  <w:tcW w:w="2054" w:type="dxa"/>
                  <w:tcBorders>
                    <w:tl2br w:val="nil"/>
                    <w:tr2bl w:val="nil"/>
                  </w:tcBorders>
                  <w:noWrap w:val="0"/>
                  <w:vAlign w:val="center"/>
                </w:tcPr>
                <w:p w14:paraId="525926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w:t>
                  </w:r>
                </w:p>
              </w:tc>
            </w:tr>
            <w:tr w14:paraId="6D62055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7" w:type="dxa"/>
                  <w:gridSpan w:val="2"/>
                  <w:tcBorders>
                    <w:tl2br w:val="nil"/>
                    <w:tr2bl w:val="nil"/>
                  </w:tcBorders>
                  <w:noWrap w:val="0"/>
                  <w:vAlign w:val="center"/>
                </w:tcPr>
                <w:p w14:paraId="4820E6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环保投资合计</w:t>
                  </w:r>
                </w:p>
              </w:tc>
              <w:tc>
                <w:tcPr>
                  <w:tcW w:w="2054" w:type="dxa"/>
                  <w:tcBorders>
                    <w:tl2br w:val="nil"/>
                    <w:tr2bl w:val="nil"/>
                  </w:tcBorders>
                  <w:noWrap w:val="0"/>
                  <w:vAlign w:val="center"/>
                </w:tcPr>
                <w:p w14:paraId="107979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14</w:t>
                  </w:r>
                </w:p>
              </w:tc>
            </w:tr>
            <w:tr w14:paraId="69C2450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7" w:type="dxa"/>
                  <w:gridSpan w:val="2"/>
                  <w:tcBorders>
                    <w:tl2br w:val="nil"/>
                    <w:tr2bl w:val="nil"/>
                  </w:tcBorders>
                  <w:noWrap w:val="0"/>
                  <w:vAlign w:val="center"/>
                </w:tcPr>
                <w:p w14:paraId="4A5CA6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总投资</w:t>
                  </w:r>
                </w:p>
              </w:tc>
              <w:tc>
                <w:tcPr>
                  <w:tcW w:w="2054" w:type="dxa"/>
                  <w:tcBorders>
                    <w:tl2br w:val="nil"/>
                    <w:tr2bl w:val="nil"/>
                  </w:tcBorders>
                  <w:noWrap w:val="0"/>
                  <w:vAlign w:val="center"/>
                </w:tcPr>
                <w:p w14:paraId="6AF6C7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30</w:t>
                  </w:r>
                </w:p>
              </w:tc>
            </w:tr>
            <w:tr w14:paraId="163DF8A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7" w:type="dxa"/>
                  <w:gridSpan w:val="2"/>
                  <w:tcBorders>
                    <w:tl2br w:val="nil"/>
                    <w:tr2bl w:val="nil"/>
                  </w:tcBorders>
                  <w:noWrap w:val="0"/>
                  <w:vAlign w:val="center"/>
                </w:tcPr>
                <w:p w14:paraId="50BCAE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环保投资占比（%）</w:t>
                  </w:r>
                </w:p>
              </w:tc>
              <w:tc>
                <w:tcPr>
                  <w:tcW w:w="2054" w:type="dxa"/>
                  <w:tcBorders>
                    <w:tl2br w:val="nil"/>
                    <w:tr2bl w:val="nil"/>
                  </w:tcBorders>
                  <w:noWrap w:val="0"/>
                  <w:vAlign w:val="center"/>
                </w:tcPr>
                <w:p w14:paraId="5A21FF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46.67</w:t>
                  </w:r>
                </w:p>
              </w:tc>
            </w:tr>
          </w:tbl>
          <w:p w14:paraId="615A9A5E">
            <w:pPr>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b/>
                <w:bCs w:val="0"/>
                <w:color w:val="FF0000"/>
                <w:spacing w:val="0"/>
                <w:sz w:val="24"/>
                <w:szCs w:val="24"/>
                <w:highlight w:val="none"/>
                <w:lang w:val="en-US" w:eastAsia="zh-CN"/>
              </w:rPr>
            </w:pPr>
            <w:r>
              <w:rPr>
                <w:rFonts w:hint="eastAsia" w:ascii="Times New Roman" w:hAnsi="Times New Roman" w:eastAsia="宋体" w:cs="Times New Roman"/>
                <w:b/>
                <w:bCs w:val="0"/>
                <w:color w:val="FF0000"/>
                <w:spacing w:val="0"/>
                <w:sz w:val="24"/>
                <w:szCs w:val="24"/>
                <w:highlight w:val="none"/>
                <w:lang w:val="en-US" w:eastAsia="zh-CN"/>
              </w:rPr>
              <w:t>与排污许可证的衔接</w:t>
            </w:r>
          </w:p>
          <w:p w14:paraId="724447EB">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360" w:lineRule="auto"/>
              <w:ind w:left="0" w:right="0" w:firstLine="0"/>
              <w:rPr>
                <w:rFonts w:hint="default" w:ascii="Times New Roman" w:hAnsi="Times New Roman" w:eastAsia="宋体" w:cs="Times New Roman"/>
                <w:b w:val="0"/>
                <w:bCs w:val="0"/>
                <w:color w:val="FF0000"/>
                <w:kern w:val="2"/>
                <w:sz w:val="24"/>
                <w:szCs w:val="24"/>
                <w:highlight w:val="none"/>
                <w:lang w:val="en-US" w:eastAsia="zh-CN" w:bidi="ar-SA"/>
              </w:rPr>
            </w:pPr>
            <w:r>
              <w:rPr>
                <w:rFonts w:hint="eastAsia" w:ascii="Times New Roman" w:hAnsi="Times New Roman" w:eastAsia="宋体" w:cs="Times New Roman"/>
                <w:b/>
                <w:bCs w:val="0"/>
                <w:color w:val="FF0000"/>
                <w:spacing w:val="0"/>
                <w:sz w:val="24"/>
                <w:szCs w:val="24"/>
                <w:highlight w:val="none"/>
                <w:lang w:val="en-US" w:eastAsia="zh-CN"/>
              </w:rPr>
              <w:t xml:space="preserve">   </w:t>
            </w:r>
            <w:r>
              <w:rPr>
                <w:rFonts w:hint="eastAsia" w:ascii="Times New Roman" w:hAnsi="Times New Roman" w:eastAsia="宋体" w:cs="Times New Roman"/>
                <w:b w:val="0"/>
                <w:bCs w:val="0"/>
                <w:color w:val="FF0000"/>
                <w:kern w:val="2"/>
                <w:sz w:val="24"/>
                <w:szCs w:val="24"/>
                <w:highlight w:val="none"/>
                <w:lang w:val="en-US" w:eastAsia="zh-CN" w:bidi="ar-SA"/>
              </w:rPr>
              <w:t xml:space="preserve"> </w:t>
            </w:r>
            <w:bookmarkStart w:id="17" w:name="_Toc22255"/>
            <w:r>
              <w:rPr>
                <w:rFonts w:hint="eastAsia" w:ascii="Times New Roman" w:hAnsi="Times New Roman" w:eastAsia="宋体" w:cs="Times New Roman"/>
                <w:b w:val="0"/>
                <w:bCs w:val="0"/>
                <w:color w:val="FF0000"/>
                <w:kern w:val="2"/>
                <w:sz w:val="24"/>
                <w:szCs w:val="24"/>
                <w:highlight w:val="none"/>
                <w:lang w:val="en-US" w:eastAsia="zh-CN" w:bidi="ar-SA"/>
              </w:rPr>
              <w:t>依据《排污许可证管理办法》，</w:t>
            </w:r>
            <w:r>
              <w:rPr>
                <w:rFonts w:hint="default" w:ascii="Times New Roman" w:hAnsi="Times New Roman" w:eastAsia="宋体" w:cs="Times New Roman"/>
                <w:b w:val="0"/>
                <w:bCs w:val="0"/>
                <w:color w:val="FF0000"/>
                <w:kern w:val="2"/>
                <w:sz w:val="24"/>
                <w:szCs w:val="24"/>
                <w:highlight w:val="none"/>
                <w:lang w:val="en-US" w:eastAsia="zh-CN" w:bidi="ar-SA"/>
              </w:rPr>
              <w:t>排污单位应当依法申请取得排污许可证</w:t>
            </w:r>
            <w:r>
              <w:rPr>
                <w:rFonts w:hint="eastAsia" w:ascii="Times New Roman" w:hAnsi="Times New Roman" w:eastAsia="宋体" w:cs="Times New Roman"/>
                <w:b w:val="0"/>
                <w:bCs w:val="0"/>
                <w:color w:val="FF0000"/>
                <w:kern w:val="2"/>
                <w:sz w:val="24"/>
                <w:szCs w:val="24"/>
                <w:highlight w:val="none"/>
                <w:lang w:val="en-US" w:eastAsia="zh-CN" w:bidi="ar-SA"/>
              </w:rPr>
              <w:t>，本项目为热力生产与供应，依据《固定污染源排污许可分类管理名录（2021版）》，本项目属于通用工序中的锅炉，属于登记管理，本项目原有工程为其他人造板行业和其他家具行业，人造板年产5000立方米，家具采用水基胶，年用120吨，属于简化管理（其他家具制造219，年使用20吨及以上水性涂料或者胶粘剂的），综上所述，应在本项目通过后，进行排污许可证申报（简化管理）。</w:t>
            </w:r>
            <w:bookmarkEnd w:id="17"/>
          </w:p>
          <w:p w14:paraId="22D782AE">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bCs/>
                <w:color w:val="000000" w:themeColor="text1"/>
                <w:spacing w:val="0"/>
                <w:kern w:val="2"/>
                <w:sz w:val="21"/>
                <w:szCs w:val="21"/>
                <w:highlight w:val="none"/>
                <w:lang w:val="en-US" w:eastAsia="zh-CN" w:bidi="ar-SA"/>
                <w14:textFill>
                  <w14:solidFill>
                    <w14:schemeClr w14:val="tx1"/>
                  </w14:solidFill>
                </w14:textFill>
              </w:rPr>
            </w:pPr>
          </w:p>
        </w:tc>
      </w:tr>
    </w:tbl>
    <w:p w14:paraId="74ACFC0B">
      <w:pPr>
        <w:adjustRightInd w:val="0"/>
        <w:snapToGrid w:val="0"/>
        <w:spacing w:line="360" w:lineRule="auto"/>
        <w:rPr>
          <w:rFonts w:hint="default" w:ascii="Times New Roman" w:hAnsi="Times New Roman" w:cs="Times New Roman"/>
          <w:b/>
          <w:color w:val="000000" w:themeColor="text1"/>
          <w:kern w:val="0"/>
          <w:sz w:val="28"/>
          <w:szCs w:val="28"/>
          <w:highlight w:val="none"/>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5D919CE8">
      <w:pPr>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bookmarkStart w:id="18" w:name="_Toc3043"/>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五、</w:t>
      </w:r>
      <w:bookmarkStart w:id="19" w:name="_Hlk54167917"/>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环境保护措施监督检查清单</w:t>
      </w:r>
      <w:bookmarkEnd w:id="18"/>
      <w:bookmarkEnd w:id="19"/>
    </w:p>
    <w:tbl>
      <w:tblPr>
        <w:tblStyle w:val="1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580"/>
        <w:gridCol w:w="1478"/>
        <w:gridCol w:w="1604"/>
        <w:gridCol w:w="2360"/>
      </w:tblGrid>
      <w:tr w14:paraId="4B4C1B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778" w:type="dxa"/>
            <w:tcBorders>
              <w:tl2br w:val="single" w:color="auto" w:sz="4" w:space="0"/>
            </w:tcBorders>
            <w:noWrap w:val="0"/>
            <w:vAlign w:val="top"/>
          </w:tcPr>
          <w:p w14:paraId="4A5D6053">
            <w:pPr>
              <w:adjustRightInd w:val="0"/>
              <w:snapToGrid w:val="0"/>
              <w:ind w:firstLine="84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内容</w:t>
            </w:r>
          </w:p>
          <w:p w14:paraId="2FF72E00">
            <w:pPr>
              <w:adjustRightInd w:val="0"/>
              <w:snapToGrid w:val="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要素</w:t>
            </w:r>
          </w:p>
        </w:tc>
        <w:tc>
          <w:tcPr>
            <w:tcW w:w="1580" w:type="dxa"/>
            <w:noWrap w:val="0"/>
            <w:vAlign w:val="center"/>
          </w:tcPr>
          <w:p w14:paraId="5FECDCBA">
            <w:pPr>
              <w:adjustRightInd w:val="0"/>
              <w:snapToGrid w:val="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排放口</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编号、</w:t>
            </w:r>
          </w:p>
          <w:p w14:paraId="5C7563D3">
            <w:pPr>
              <w:adjustRightInd w:val="0"/>
              <w:snapToGrid w:val="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名称</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/污染源</w:t>
            </w:r>
          </w:p>
        </w:tc>
        <w:tc>
          <w:tcPr>
            <w:tcW w:w="1478" w:type="dxa"/>
            <w:noWrap w:val="0"/>
            <w:vAlign w:val="center"/>
          </w:tcPr>
          <w:p w14:paraId="3E6B33A8">
            <w:pPr>
              <w:adjustRightInd w:val="0"/>
              <w:snapToGrid w:val="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污染物项目</w:t>
            </w:r>
          </w:p>
        </w:tc>
        <w:tc>
          <w:tcPr>
            <w:tcW w:w="1604" w:type="dxa"/>
            <w:noWrap w:val="0"/>
            <w:vAlign w:val="center"/>
          </w:tcPr>
          <w:p w14:paraId="3DB250A1">
            <w:pPr>
              <w:adjustRightInd w:val="0"/>
              <w:snapToGrid w:val="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环境保护措施</w:t>
            </w:r>
          </w:p>
        </w:tc>
        <w:tc>
          <w:tcPr>
            <w:tcW w:w="2360" w:type="dxa"/>
            <w:noWrap w:val="0"/>
            <w:vAlign w:val="center"/>
          </w:tcPr>
          <w:p w14:paraId="50B43D0D">
            <w:pPr>
              <w:adjustRightInd w:val="0"/>
              <w:snapToGrid w:val="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执行标准</w:t>
            </w:r>
          </w:p>
        </w:tc>
      </w:tr>
      <w:tr w14:paraId="7C5275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778" w:type="dxa"/>
            <w:noWrap w:val="0"/>
            <w:vAlign w:val="center"/>
          </w:tcPr>
          <w:p w14:paraId="7559632C">
            <w:pPr>
              <w:adjustRightInd w:val="0"/>
              <w:snapToGrid w:val="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大气环境</w:t>
            </w:r>
          </w:p>
        </w:tc>
        <w:tc>
          <w:tcPr>
            <w:tcW w:w="1580" w:type="dxa"/>
            <w:noWrap w:val="0"/>
            <w:vAlign w:val="center"/>
          </w:tcPr>
          <w:p w14:paraId="0BDE1E42">
            <w:pPr>
              <w:adjustRightInd w:val="0"/>
              <w:snapToGrid w:val="0"/>
              <w:jc w:val="cente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锅炉烟囱（DA001）</w:t>
            </w:r>
          </w:p>
        </w:tc>
        <w:tc>
          <w:tcPr>
            <w:tcW w:w="1478" w:type="dxa"/>
            <w:noWrap w:val="0"/>
            <w:vAlign w:val="center"/>
          </w:tcPr>
          <w:p w14:paraId="6ABC31D0">
            <w:pPr>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SO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p>
          <w:p w14:paraId="60F3C74C">
            <w:pPr>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NO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X</w:t>
            </w:r>
          </w:p>
          <w:p w14:paraId="5EA0F890">
            <w:pPr>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颗粒物</w:t>
            </w:r>
          </w:p>
          <w:p w14:paraId="1FBCCB7B">
            <w:pPr>
              <w:jc w:val="cente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烟气黑度</w:t>
            </w:r>
          </w:p>
        </w:tc>
        <w:tc>
          <w:tcPr>
            <w:tcW w:w="1604" w:type="dxa"/>
            <w:noWrap w:val="0"/>
            <w:vAlign w:val="center"/>
          </w:tcPr>
          <w:p w14:paraId="46B42EDF">
            <w:pPr>
              <w:adjustRightInd w:val="0"/>
              <w:snapToGrid w:val="0"/>
              <w:jc w:val="cente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旋风除尘器+袋式除尘器</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+30m烟囱</w:t>
            </w:r>
          </w:p>
        </w:tc>
        <w:tc>
          <w:tcPr>
            <w:tcW w:w="2360" w:type="dxa"/>
            <w:noWrap w:val="0"/>
            <w:vAlign w:val="center"/>
          </w:tcPr>
          <w:p w14:paraId="435AA584">
            <w:pPr>
              <w:adjustRightInd w:val="0"/>
              <w:snapToGrid w:val="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《锅炉大气污染物排放标准》（GB13271-2014）表2“燃煤锅炉”排放限值要求</w:t>
            </w:r>
          </w:p>
        </w:tc>
      </w:tr>
      <w:tr w14:paraId="09B027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778" w:type="dxa"/>
            <w:noWrap w:val="0"/>
            <w:vAlign w:val="center"/>
          </w:tcPr>
          <w:p w14:paraId="336378D0">
            <w:pPr>
              <w:adjustRightInd w:val="0"/>
              <w:snapToGrid w:val="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地表水环境</w:t>
            </w:r>
          </w:p>
        </w:tc>
        <w:tc>
          <w:tcPr>
            <w:tcW w:w="1580" w:type="dxa"/>
            <w:noWrap w:val="0"/>
            <w:vAlign w:val="center"/>
          </w:tcPr>
          <w:p w14:paraId="0AA53493">
            <w:pPr>
              <w:adjustRightInd w:val="0"/>
              <w:snapToGrid w:val="0"/>
              <w:jc w:val="center"/>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锅炉及软化排污水</w:t>
            </w:r>
          </w:p>
        </w:tc>
        <w:tc>
          <w:tcPr>
            <w:tcW w:w="1478" w:type="dxa"/>
            <w:noWrap w:val="0"/>
            <w:vAlign w:val="center"/>
          </w:tcPr>
          <w:p w14:paraId="59552C4D">
            <w:pPr>
              <w:adjustRightInd w:val="0"/>
              <w:snapToGrid w:val="0"/>
              <w:jc w:val="cente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bookmarkStart w:id="46" w:name="_GoBack"/>
            <w:r>
              <w:rPr>
                <w:rFonts w:hint="eastAsia" w:ascii="Times New Roman" w:hAnsi="Times New Roman" w:cs="Times New Roman"/>
                <w:color w:val="0000FF"/>
                <w:sz w:val="24"/>
                <w:szCs w:val="24"/>
                <w:highlight w:val="none"/>
                <w:lang w:val="en-US" w:eastAsia="zh-CN"/>
              </w:rPr>
              <w:t>pH、</w:t>
            </w:r>
            <w:r>
              <w:rPr>
                <w:rFonts w:hint="default" w:ascii="Times New Roman" w:hAnsi="Times New Roman" w:cs="Times New Roman"/>
                <w:color w:val="0000FF"/>
                <w:sz w:val="24"/>
                <w:szCs w:val="24"/>
                <w:highlight w:val="none"/>
                <w:lang w:val="en-US" w:eastAsia="zh-CN"/>
              </w:rPr>
              <w:t>化学需氧量、氨氮、悬浮物</w:t>
            </w:r>
            <w:bookmarkEnd w:id="46"/>
          </w:p>
        </w:tc>
        <w:tc>
          <w:tcPr>
            <w:tcW w:w="1604" w:type="dxa"/>
            <w:noWrap w:val="0"/>
            <w:vAlign w:val="center"/>
          </w:tcPr>
          <w:p w14:paraId="147FA8B5">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锅炉及软化排污水用于锅炉炉渣拌湿降尘</w:t>
            </w:r>
          </w:p>
        </w:tc>
        <w:tc>
          <w:tcPr>
            <w:tcW w:w="2360" w:type="dxa"/>
            <w:noWrap w:val="0"/>
            <w:vAlign w:val="center"/>
          </w:tcPr>
          <w:p w14:paraId="0DE32E33">
            <w:pPr>
              <w:adjustRightInd w:val="0"/>
              <w:snapToGrid w:val="0"/>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p>
        </w:tc>
      </w:tr>
      <w:tr w14:paraId="51479E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778" w:type="dxa"/>
            <w:noWrap w:val="0"/>
            <w:vAlign w:val="center"/>
          </w:tcPr>
          <w:p w14:paraId="78B503BE">
            <w:pPr>
              <w:adjustRightInd w:val="0"/>
              <w:snapToGrid w:val="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声环境</w:t>
            </w:r>
          </w:p>
        </w:tc>
        <w:tc>
          <w:tcPr>
            <w:tcW w:w="1580" w:type="dxa"/>
            <w:noWrap w:val="0"/>
            <w:vAlign w:val="center"/>
          </w:tcPr>
          <w:p w14:paraId="57E2699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设备</w:t>
            </w:r>
          </w:p>
        </w:tc>
        <w:tc>
          <w:tcPr>
            <w:tcW w:w="1478" w:type="dxa"/>
            <w:noWrap w:val="0"/>
            <w:vAlign w:val="center"/>
          </w:tcPr>
          <w:p w14:paraId="7762A691">
            <w:pPr>
              <w:jc w:val="cente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噪声</w:t>
            </w:r>
          </w:p>
        </w:tc>
        <w:tc>
          <w:tcPr>
            <w:tcW w:w="1604" w:type="dxa"/>
            <w:noWrap w:val="0"/>
            <w:vAlign w:val="center"/>
          </w:tcPr>
          <w:p w14:paraId="1F60FD1C">
            <w:pPr>
              <w:adjustRightInd w:val="0"/>
              <w:snapToGrid w:val="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合理布局、采用低噪声设备</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减振、隔声</w:t>
            </w:r>
          </w:p>
        </w:tc>
        <w:tc>
          <w:tcPr>
            <w:tcW w:w="2360" w:type="dxa"/>
            <w:noWrap w:val="0"/>
            <w:vAlign w:val="center"/>
          </w:tcPr>
          <w:p w14:paraId="10AA186E">
            <w:pPr>
              <w:adjustRightInd w:val="0"/>
              <w:snapToGrid w:val="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《工业企业</w:t>
            </w:r>
            <w:r>
              <w:rPr>
                <w:rFonts w:hint="default" w:ascii="Times New Roman" w:hAnsi="Times New Roman" w:cs="Times New Roman"/>
                <w:color w:val="000000" w:themeColor="text1"/>
                <w:sz w:val="24"/>
                <w:szCs w:val="24"/>
                <w:highlight w:val="none"/>
                <w:lang w:eastAsia="zh-CN"/>
                <w14:textFill>
                  <w14:solidFill>
                    <w14:schemeClr w14:val="tx1"/>
                  </w14:solidFill>
                </w14:textFill>
              </w:rPr>
              <w:t>厂界环境</w:t>
            </w:r>
            <w:r>
              <w:rPr>
                <w:rFonts w:hint="default" w:ascii="Times New Roman" w:hAnsi="Times New Roman" w:cs="Times New Roman"/>
                <w:color w:val="000000" w:themeColor="text1"/>
                <w:sz w:val="24"/>
                <w:szCs w:val="24"/>
                <w:highlight w:val="none"/>
                <w14:textFill>
                  <w14:solidFill>
                    <w14:schemeClr w14:val="tx1"/>
                  </w14:solidFill>
                </w14:textFill>
              </w:rPr>
              <w:t>噪声排放标准》（GB12348-2008）</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类</w:t>
            </w:r>
          </w:p>
        </w:tc>
      </w:tr>
      <w:tr w14:paraId="7F2E74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778" w:type="dxa"/>
            <w:noWrap w:val="0"/>
            <w:vAlign w:val="center"/>
          </w:tcPr>
          <w:p w14:paraId="510F2903">
            <w:pPr>
              <w:adjustRightInd w:val="0"/>
              <w:snapToGrid w:val="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电磁辐射</w:t>
            </w:r>
          </w:p>
        </w:tc>
        <w:tc>
          <w:tcPr>
            <w:tcW w:w="1580" w:type="dxa"/>
            <w:noWrap w:val="0"/>
            <w:vAlign w:val="center"/>
          </w:tcPr>
          <w:p w14:paraId="6A634C4A">
            <w:pPr>
              <w:adjustRightInd w:val="0"/>
              <w:snapToGrid w:val="0"/>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无</w:t>
            </w:r>
          </w:p>
        </w:tc>
        <w:tc>
          <w:tcPr>
            <w:tcW w:w="1478" w:type="dxa"/>
            <w:noWrap w:val="0"/>
            <w:vAlign w:val="center"/>
          </w:tcPr>
          <w:p w14:paraId="6A93CE14">
            <w:pPr>
              <w:adjustRightInd w:val="0"/>
              <w:snapToGrid w:val="0"/>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无</w:t>
            </w:r>
          </w:p>
        </w:tc>
        <w:tc>
          <w:tcPr>
            <w:tcW w:w="1604" w:type="dxa"/>
            <w:noWrap w:val="0"/>
            <w:vAlign w:val="center"/>
          </w:tcPr>
          <w:p w14:paraId="24393E5C">
            <w:pPr>
              <w:adjustRightInd w:val="0"/>
              <w:snapToGrid w:val="0"/>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无</w:t>
            </w:r>
          </w:p>
        </w:tc>
        <w:tc>
          <w:tcPr>
            <w:tcW w:w="2360" w:type="dxa"/>
            <w:noWrap w:val="0"/>
            <w:vAlign w:val="center"/>
          </w:tcPr>
          <w:p w14:paraId="0E39ECAE">
            <w:pPr>
              <w:adjustRightInd w:val="0"/>
              <w:snapToGrid w:val="0"/>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无</w:t>
            </w:r>
          </w:p>
        </w:tc>
      </w:tr>
      <w:tr w14:paraId="07D5B7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778" w:type="dxa"/>
            <w:noWrap w:val="0"/>
            <w:vAlign w:val="center"/>
          </w:tcPr>
          <w:p w14:paraId="6D5B564E">
            <w:pPr>
              <w:adjustRightInd w:val="0"/>
              <w:snapToGrid w:val="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固体废物</w:t>
            </w:r>
          </w:p>
        </w:tc>
        <w:tc>
          <w:tcPr>
            <w:tcW w:w="7022" w:type="dxa"/>
            <w:gridSpan w:val="4"/>
            <w:noWrap w:val="0"/>
            <w:vAlign w:val="center"/>
          </w:tcPr>
          <w:p w14:paraId="05B3DEAD">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本项目产生的固体废物主要为废离子交换树脂、锅炉灰渣及废旧布袋。</w:t>
            </w:r>
            <w:r>
              <w:rPr>
                <w:rFonts w:hint="default" w:ascii="Times New Roman" w:hAnsi="Times New Roman" w:cs="Times New Roman"/>
                <w:bCs/>
                <w:color w:val="000000" w:themeColor="text1"/>
                <w:spacing w:val="0"/>
                <w:sz w:val="24"/>
                <w:szCs w:val="24"/>
                <w:highlight w:val="none"/>
                <w:lang w:val="en-US" w:eastAsia="zh-CN"/>
                <w14:textFill>
                  <w14:solidFill>
                    <w14:schemeClr w14:val="tx1"/>
                  </w14:solidFill>
                </w14:textFill>
              </w:rPr>
              <w:t>废离子交换树脂由厂家更换回收。锅炉灰渣</w:t>
            </w:r>
            <w:r>
              <w:rPr>
                <w:rFonts w:hint="eastAsia" w:cs="Times New Roman"/>
                <w:bCs/>
                <w:color w:val="000000" w:themeColor="text1"/>
                <w:spacing w:val="0"/>
                <w:sz w:val="24"/>
                <w:szCs w:val="24"/>
                <w:highlight w:val="none"/>
                <w:lang w:val="en-US" w:eastAsia="zh-CN"/>
                <w14:textFill>
                  <w14:solidFill>
                    <w14:schemeClr w14:val="tx1"/>
                  </w14:solidFill>
                </w14:textFill>
              </w:rPr>
              <w:t>和除尘器收集灰</w:t>
            </w:r>
            <w:r>
              <w:rPr>
                <w:rFonts w:hint="default" w:ascii="Times New Roman" w:hAnsi="Times New Roman" w:cs="Times New Roman"/>
                <w:bCs/>
                <w:color w:val="000000" w:themeColor="text1"/>
                <w:spacing w:val="0"/>
                <w:sz w:val="24"/>
                <w:szCs w:val="24"/>
                <w:highlight w:val="none"/>
                <w:lang w:val="en-US" w:eastAsia="zh-CN"/>
                <w14:textFill>
                  <w14:solidFill>
                    <w14:schemeClr w14:val="tx1"/>
                  </w14:solidFill>
                </w14:textFill>
              </w:rPr>
              <w:t>外售给有能力的有机肥厂综合利用。废旧布袋由厂家更换回收。</w:t>
            </w:r>
          </w:p>
        </w:tc>
      </w:tr>
      <w:tr w14:paraId="1DCC30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778" w:type="dxa"/>
            <w:noWrap w:val="0"/>
            <w:vAlign w:val="center"/>
          </w:tcPr>
          <w:p w14:paraId="581CF2F8">
            <w:pPr>
              <w:adjustRightInd w:val="0"/>
              <w:snapToGrid w:val="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土壤及地下水</w:t>
            </w:r>
          </w:p>
          <w:p w14:paraId="47F7EA90">
            <w:pPr>
              <w:adjustRightInd w:val="0"/>
              <w:snapToGrid w:val="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污染防治措施</w:t>
            </w:r>
          </w:p>
        </w:tc>
        <w:tc>
          <w:tcPr>
            <w:tcW w:w="7022" w:type="dxa"/>
            <w:gridSpan w:val="4"/>
            <w:noWrap w:val="0"/>
            <w:vAlign w:val="center"/>
          </w:tcPr>
          <w:p w14:paraId="0E2E953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000000" w:themeColor="text1"/>
                <w:sz w:val="24"/>
                <w:szCs w:val="24"/>
                <w:highlight w:val="none"/>
                <w:lang w:val="en-US"/>
                <w14:textFill>
                  <w14:solidFill>
                    <w14:schemeClr w14:val="tx1"/>
                  </w14:solidFill>
                </w14:textFill>
              </w:rPr>
            </w:pPr>
            <w:r>
              <w:rPr>
                <w:rFonts w:hint="eastAsia" w:ascii="Times New Roman" w:hAnsi="Times New Roman" w:eastAsia="宋体" w:cs="Times New Roman"/>
                <w:bCs/>
                <w:color w:val="FF0000"/>
                <w:spacing w:val="0"/>
                <w:sz w:val="24"/>
                <w:szCs w:val="24"/>
                <w:highlight w:val="none"/>
                <w:lang w:val="en-US" w:eastAsia="zh-CN"/>
              </w:rPr>
              <w:t>本项目锅炉房为一般防渗区，</w:t>
            </w:r>
            <w:r>
              <w:rPr>
                <w:rFonts w:hint="default" w:ascii="Times New Roman" w:hAnsi="Times New Roman" w:eastAsia="宋体" w:cs="Times New Roman"/>
                <w:bCs/>
                <w:color w:val="FF0000"/>
                <w:spacing w:val="0"/>
                <w:sz w:val="24"/>
                <w:szCs w:val="24"/>
                <w:highlight w:val="none"/>
                <w:lang w:val="en-US" w:eastAsia="zh-CN"/>
              </w:rPr>
              <w:t>等效黏土防渗层 Mb≥1.5m，渗透系数 K≤1.0×10⁻⁷cm/s</w:t>
            </w:r>
          </w:p>
        </w:tc>
      </w:tr>
      <w:tr w14:paraId="6A3B84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778" w:type="dxa"/>
            <w:noWrap w:val="0"/>
            <w:vAlign w:val="center"/>
          </w:tcPr>
          <w:p w14:paraId="37B7FFB0">
            <w:pPr>
              <w:adjustRightInd w:val="0"/>
              <w:snapToGrid w:val="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生态保护措施</w:t>
            </w:r>
          </w:p>
        </w:tc>
        <w:tc>
          <w:tcPr>
            <w:tcW w:w="7022" w:type="dxa"/>
            <w:gridSpan w:val="4"/>
            <w:noWrap w:val="0"/>
            <w:vAlign w:val="center"/>
          </w:tcPr>
          <w:p w14:paraId="7205A00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无</w:t>
            </w:r>
          </w:p>
        </w:tc>
      </w:tr>
      <w:tr w14:paraId="34FF1A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778" w:type="dxa"/>
            <w:noWrap w:val="0"/>
            <w:vAlign w:val="center"/>
          </w:tcPr>
          <w:p w14:paraId="0B29AC90">
            <w:pPr>
              <w:adjustRightInd w:val="0"/>
              <w:snapToGrid w:val="0"/>
              <w:jc w:val="center"/>
              <w:rPr>
                <w:rFonts w:hint="default" w:ascii="Times New Roman" w:hAnsi="Times New Roman" w:cs="Times New Roman"/>
                <w:color w:val="000000" w:themeColor="text1"/>
                <w:spacing w:val="-8"/>
                <w:sz w:val="24"/>
                <w:szCs w:val="24"/>
                <w:highlight w:val="none"/>
                <w14:textFill>
                  <w14:solidFill>
                    <w14:schemeClr w14:val="tx1"/>
                  </w14:solidFill>
                </w14:textFill>
              </w:rPr>
            </w:pPr>
            <w:r>
              <w:rPr>
                <w:rFonts w:hint="default" w:ascii="Times New Roman" w:hAnsi="Times New Roman" w:cs="Times New Roman"/>
                <w:color w:val="000000" w:themeColor="text1"/>
                <w:spacing w:val="-8"/>
                <w:sz w:val="24"/>
                <w:szCs w:val="24"/>
                <w:highlight w:val="none"/>
                <w14:textFill>
                  <w14:solidFill>
                    <w14:schemeClr w14:val="tx1"/>
                  </w14:solidFill>
                </w14:textFill>
              </w:rPr>
              <w:t>环境风险</w:t>
            </w:r>
          </w:p>
          <w:p w14:paraId="4CD7906A">
            <w:pPr>
              <w:adjustRightInd w:val="0"/>
              <w:snapToGrid w:val="0"/>
              <w:jc w:val="center"/>
              <w:rPr>
                <w:rFonts w:hint="default" w:ascii="Times New Roman" w:hAnsi="Times New Roman" w:cs="Times New Roman"/>
                <w:color w:val="000000" w:themeColor="text1"/>
                <w:spacing w:val="-8"/>
                <w:sz w:val="24"/>
                <w:szCs w:val="24"/>
                <w:highlight w:val="none"/>
                <w14:textFill>
                  <w14:solidFill>
                    <w14:schemeClr w14:val="tx1"/>
                  </w14:solidFill>
                </w14:textFill>
              </w:rPr>
            </w:pPr>
            <w:r>
              <w:rPr>
                <w:rFonts w:hint="default" w:ascii="Times New Roman" w:hAnsi="Times New Roman" w:cs="Times New Roman"/>
                <w:color w:val="000000" w:themeColor="text1"/>
                <w:spacing w:val="-8"/>
                <w:sz w:val="24"/>
                <w:szCs w:val="24"/>
                <w:highlight w:val="none"/>
                <w14:textFill>
                  <w14:solidFill>
                    <w14:schemeClr w14:val="tx1"/>
                  </w14:solidFill>
                </w14:textFill>
              </w:rPr>
              <w:t>防范措施</w:t>
            </w:r>
          </w:p>
        </w:tc>
        <w:tc>
          <w:tcPr>
            <w:tcW w:w="7022" w:type="dxa"/>
            <w:gridSpan w:val="4"/>
            <w:noWrap w:val="0"/>
            <w:vAlign w:val="center"/>
          </w:tcPr>
          <w:p w14:paraId="60A2B9A5">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无</w:t>
            </w:r>
          </w:p>
        </w:tc>
      </w:tr>
      <w:tr w14:paraId="77C325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778" w:type="dxa"/>
            <w:noWrap w:val="0"/>
            <w:vAlign w:val="center"/>
          </w:tcPr>
          <w:p w14:paraId="128A8CED">
            <w:pPr>
              <w:adjustRightInd w:val="0"/>
              <w:snapToGrid w:val="0"/>
              <w:jc w:val="center"/>
              <w:rPr>
                <w:rFonts w:hint="default" w:ascii="Times New Roman" w:hAnsi="Times New Roman" w:cs="Times New Roman"/>
                <w:color w:val="000000" w:themeColor="text1"/>
                <w:spacing w:val="-8"/>
                <w:sz w:val="24"/>
                <w:szCs w:val="24"/>
                <w:highlight w:val="none"/>
                <w14:textFill>
                  <w14:solidFill>
                    <w14:schemeClr w14:val="tx1"/>
                  </w14:solidFill>
                </w14:textFill>
              </w:rPr>
            </w:pPr>
            <w:r>
              <w:rPr>
                <w:rFonts w:hint="default" w:ascii="Times New Roman" w:hAnsi="Times New Roman" w:cs="Times New Roman"/>
                <w:color w:val="000000" w:themeColor="text1"/>
                <w:spacing w:val="-8"/>
                <w:sz w:val="24"/>
                <w:szCs w:val="24"/>
                <w:highlight w:val="none"/>
                <w14:textFill>
                  <w14:solidFill>
                    <w14:schemeClr w14:val="tx1"/>
                  </w14:solidFill>
                </w14:textFill>
              </w:rPr>
              <w:t>其他环境</w:t>
            </w:r>
          </w:p>
          <w:p w14:paraId="2DE7B678">
            <w:pPr>
              <w:adjustRightInd w:val="0"/>
              <w:snapToGrid w:val="0"/>
              <w:jc w:val="center"/>
              <w:rPr>
                <w:rFonts w:hint="default" w:ascii="Times New Roman" w:hAnsi="Times New Roman" w:cs="Times New Roman"/>
                <w:color w:val="000000" w:themeColor="text1"/>
                <w:spacing w:val="-8"/>
                <w:sz w:val="24"/>
                <w:szCs w:val="24"/>
                <w:highlight w:val="none"/>
                <w14:textFill>
                  <w14:solidFill>
                    <w14:schemeClr w14:val="tx1"/>
                  </w14:solidFill>
                </w14:textFill>
              </w:rPr>
            </w:pPr>
            <w:r>
              <w:rPr>
                <w:rFonts w:hint="default" w:ascii="Times New Roman" w:hAnsi="Times New Roman" w:cs="Times New Roman"/>
                <w:color w:val="000000" w:themeColor="text1"/>
                <w:spacing w:val="-8"/>
                <w:sz w:val="24"/>
                <w:szCs w:val="24"/>
                <w:highlight w:val="none"/>
                <w14:textFill>
                  <w14:solidFill>
                    <w14:schemeClr w14:val="tx1"/>
                  </w14:solidFill>
                </w14:textFill>
              </w:rPr>
              <w:t>管理要求</w:t>
            </w:r>
          </w:p>
        </w:tc>
        <w:tc>
          <w:tcPr>
            <w:tcW w:w="7022" w:type="dxa"/>
            <w:gridSpan w:val="4"/>
            <w:noWrap w:val="0"/>
            <w:vAlign w:val="center"/>
          </w:tcPr>
          <w:p w14:paraId="3A37C50D">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无</w:t>
            </w:r>
          </w:p>
        </w:tc>
      </w:tr>
    </w:tbl>
    <w:p w14:paraId="03F409D7">
      <w:pPr>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br w:type="page"/>
      </w:r>
      <w:bookmarkStart w:id="20" w:name="_Toc27050"/>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六、结论</w:t>
      </w:r>
      <w:bookmarkEnd w:id="20"/>
    </w:p>
    <w:tbl>
      <w:tblPr>
        <w:tblStyle w:val="1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618ECB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26EC7FE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本项目建设符合国家产业政策要求，项目在采用本次环境影响评价提出的各项污染防治措施后，对项目周围环境及各保护目标环境质量现状影响较小。因此，从环境保护角度而言，本项目建设是可行的</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p>
        </w:tc>
      </w:tr>
    </w:tbl>
    <w:p w14:paraId="5AA71CD8">
      <w:pPr>
        <w:rPr>
          <w:rFonts w:hint="default" w:ascii="Times New Roman" w:hAnsi="Times New Roman" w:cs="Times New Roman"/>
          <w:color w:val="000000" w:themeColor="text1"/>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4737A11B">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textAlignment w:val="auto"/>
        <w:outlineLvl w:val="0"/>
        <w:rPr>
          <w:rFonts w:hint="default" w:ascii="Times New Roman" w:hAnsi="Times New Roman" w:eastAsia="黑体" w:cs="Times New Roman"/>
          <w:snapToGrid w:val="0"/>
          <w:color w:val="000000" w:themeColor="text1"/>
          <w:sz w:val="32"/>
          <w:szCs w:val="32"/>
          <w:highlight w:val="none"/>
          <w14:textFill>
            <w14:solidFill>
              <w14:schemeClr w14:val="tx1"/>
            </w14:solidFill>
          </w14:textFill>
        </w:rPr>
      </w:pPr>
      <w:bookmarkStart w:id="21" w:name="_Toc17184"/>
      <w:bookmarkStart w:id="22" w:name="_Toc23768"/>
      <w:r>
        <w:rPr>
          <w:rFonts w:hint="default" w:ascii="Times New Roman" w:hAnsi="Times New Roman" w:eastAsia="黑体" w:cs="Times New Roman"/>
          <w:snapToGrid w:val="0"/>
          <w:color w:val="000000" w:themeColor="text1"/>
          <w:sz w:val="32"/>
          <w:szCs w:val="32"/>
          <w:highlight w:val="none"/>
          <w14:textFill>
            <w14:solidFill>
              <w14:schemeClr w14:val="tx1"/>
            </w14:solidFill>
          </w14:textFill>
        </w:rPr>
        <w:t>附表</w:t>
      </w:r>
      <w:bookmarkEnd w:id="21"/>
      <w:bookmarkEnd w:id="22"/>
    </w:p>
    <w:p w14:paraId="5322593D">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outlineLvl w:val="0"/>
        <w:rPr>
          <w:rFonts w:hint="default" w:ascii="Times New Roman" w:hAnsi="Times New Roman" w:eastAsia="方正小标宋_GBK" w:cs="Times New Roman"/>
          <w:snapToGrid w:val="0"/>
          <w:color w:val="000000" w:themeColor="text1"/>
          <w:sz w:val="38"/>
          <w:szCs w:val="38"/>
          <w:highlight w:val="none"/>
          <w14:textFill>
            <w14:solidFill>
              <w14:schemeClr w14:val="tx1"/>
            </w14:solidFill>
          </w14:textFill>
        </w:rPr>
      </w:pPr>
      <w:bookmarkStart w:id="23" w:name="_Toc25684"/>
      <w:r>
        <w:rPr>
          <w:rFonts w:hint="default" w:ascii="Times New Roman" w:hAnsi="Times New Roman" w:eastAsia="方正小标宋_GBK" w:cs="Times New Roman"/>
          <w:snapToGrid w:val="0"/>
          <w:color w:val="000000" w:themeColor="text1"/>
          <w:sz w:val="38"/>
          <w:szCs w:val="38"/>
          <w:highlight w:val="none"/>
          <w14:textFill>
            <w14:solidFill>
              <w14:schemeClr w14:val="tx1"/>
            </w14:solidFill>
          </w14:textFill>
        </w:rPr>
        <w:t>建设项目污染物排放量汇总表</w:t>
      </w:r>
      <w:bookmarkEnd w:id="23"/>
    </w:p>
    <w:tbl>
      <w:tblPr>
        <w:tblStyle w:val="13"/>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504"/>
        <w:gridCol w:w="1614"/>
        <w:gridCol w:w="1276"/>
        <w:gridCol w:w="1701"/>
        <w:gridCol w:w="1559"/>
        <w:gridCol w:w="1761"/>
        <w:gridCol w:w="1721"/>
        <w:gridCol w:w="1064"/>
      </w:tblGrid>
      <w:tr w14:paraId="48875A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tcBorders>
              <w:tl2br w:val="single" w:color="auto" w:sz="4" w:space="0"/>
            </w:tcBorders>
            <w:noWrap w:val="0"/>
            <w:tcMar>
              <w:left w:w="28" w:type="dxa"/>
              <w:right w:w="28" w:type="dxa"/>
            </w:tcMar>
            <w:vAlign w:val="center"/>
          </w:tcPr>
          <w:p w14:paraId="355E2F35">
            <w:pPr>
              <w:spacing w:beforeLines="0" w:afterLines="0" w:line="240" w:lineRule="auto"/>
              <w:jc w:val="cente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t>项目</w:t>
            </w:r>
          </w:p>
          <w:p w14:paraId="0BE81A16">
            <w:pPr>
              <w:spacing w:beforeLines="0" w:afterLines="0" w:line="240" w:lineRule="auto"/>
              <w:jc w:val="cente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t>分类</w:t>
            </w:r>
          </w:p>
        </w:tc>
        <w:tc>
          <w:tcPr>
            <w:tcW w:w="1504" w:type="dxa"/>
            <w:noWrap w:val="0"/>
            <w:tcMar>
              <w:left w:w="28" w:type="dxa"/>
              <w:right w:w="28" w:type="dxa"/>
            </w:tcMar>
            <w:vAlign w:val="center"/>
          </w:tcPr>
          <w:p w14:paraId="59B73589">
            <w:pPr>
              <w:spacing w:beforeLines="0" w:afterLines="0" w:line="240" w:lineRule="auto"/>
              <w:jc w:val="cente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t>污染物名称</w:t>
            </w:r>
          </w:p>
        </w:tc>
        <w:tc>
          <w:tcPr>
            <w:tcW w:w="1614" w:type="dxa"/>
            <w:noWrap w:val="0"/>
            <w:tcMar>
              <w:left w:w="28" w:type="dxa"/>
              <w:right w:w="28" w:type="dxa"/>
            </w:tcMar>
            <w:vAlign w:val="center"/>
          </w:tcPr>
          <w:p w14:paraId="7225486D">
            <w:pPr>
              <w:spacing w:beforeLines="0" w:afterLines="0" w:line="240" w:lineRule="auto"/>
              <w:jc w:val="cente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t>现有工程</w:t>
            </w:r>
          </w:p>
          <w:p w14:paraId="2C4DB270">
            <w:pPr>
              <w:spacing w:beforeLines="0" w:afterLines="0" w:line="240" w:lineRule="auto"/>
              <w:jc w:val="cente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t>排放量（固体废物产生量）</w:t>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instrText xml:space="preserve"> = 1 \* GB3 \* MERGEFORMAT </w:instrText>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 w:val="21"/>
                <w:szCs w:val="21"/>
                <w:highlight w:val="none"/>
                <w14:textFill>
                  <w14:solidFill>
                    <w14:schemeClr w14:val="tx1"/>
                  </w14:solidFill>
                </w14:textFill>
              </w:rPr>
              <w:t>①</w:t>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fldChar w:fldCharType="end"/>
            </w:r>
          </w:p>
        </w:tc>
        <w:tc>
          <w:tcPr>
            <w:tcW w:w="1276" w:type="dxa"/>
            <w:noWrap w:val="0"/>
            <w:tcMar>
              <w:left w:w="28" w:type="dxa"/>
              <w:right w:w="28" w:type="dxa"/>
            </w:tcMar>
            <w:vAlign w:val="center"/>
          </w:tcPr>
          <w:p w14:paraId="196B8895">
            <w:pPr>
              <w:spacing w:beforeLines="0" w:afterLines="0" w:line="240" w:lineRule="auto"/>
              <w:jc w:val="cente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t>现有工程</w:t>
            </w:r>
          </w:p>
          <w:p w14:paraId="2BDF4900">
            <w:pPr>
              <w:spacing w:beforeLines="0" w:afterLines="0" w:line="240" w:lineRule="auto"/>
              <w:jc w:val="cente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t>许可排放量</w:t>
            </w:r>
          </w:p>
          <w:p w14:paraId="5CE270BD">
            <w:pPr>
              <w:spacing w:beforeLines="0" w:afterLines="0"/>
              <w:jc w:val="cente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instrText xml:space="preserve"> = 2 \* GB3 \* MERGEFORMAT </w:instrText>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fldChar w:fldCharType="separate"/>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t>②</w:t>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fldChar w:fldCharType="end"/>
            </w:r>
          </w:p>
        </w:tc>
        <w:tc>
          <w:tcPr>
            <w:tcW w:w="1701" w:type="dxa"/>
            <w:noWrap w:val="0"/>
            <w:tcMar>
              <w:left w:w="28" w:type="dxa"/>
              <w:right w:w="28" w:type="dxa"/>
            </w:tcMar>
            <w:vAlign w:val="center"/>
          </w:tcPr>
          <w:p w14:paraId="75CD3338">
            <w:pPr>
              <w:spacing w:beforeLines="0" w:afterLines="0" w:line="240" w:lineRule="auto"/>
              <w:jc w:val="cente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t>在建工程</w:t>
            </w:r>
          </w:p>
          <w:p w14:paraId="795F1184">
            <w:pPr>
              <w:spacing w:beforeLines="0" w:afterLines="0" w:line="240" w:lineRule="auto"/>
              <w:jc w:val="cente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t>排放量（固体废物产生量）</w:t>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instrText xml:space="preserve"> = 3 \* GB3 \* MERGEFORMAT </w:instrText>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 w:val="21"/>
                <w:szCs w:val="21"/>
                <w:highlight w:val="none"/>
                <w14:textFill>
                  <w14:solidFill>
                    <w14:schemeClr w14:val="tx1"/>
                  </w14:solidFill>
                </w14:textFill>
              </w:rPr>
              <w:t>③</w:t>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fldChar w:fldCharType="end"/>
            </w:r>
          </w:p>
        </w:tc>
        <w:tc>
          <w:tcPr>
            <w:tcW w:w="1559" w:type="dxa"/>
            <w:noWrap w:val="0"/>
            <w:tcMar>
              <w:left w:w="28" w:type="dxa"/>
              <w:right w:w="28" w:type="dxa"/>
            </w:tcMar>
            <w:vAlign w:val="center"/>
          </w:tcPr>
          <w:p w14:paraId="7BA07A1B">
            <w:pPr>
              <w:spacing w:beforeLines="0" w:afterLines="0" w:line="240" w:lineRule="auto"/>
              <w:jc w:val="cente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t>本项目</w:t>
            </w:r>
          </w:p>
          <w:p w14:paraId="053B71D3">
            <w:pPr>
              <w:spacing w:beforeLines="0" w:afterLines="0" w:line="240" w:lineRule="auto"/>
              <w:jc w:val="cente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t>排放量（固体废物产生量）</w:t>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instrText xml:space="preserve"> = 4 \* GB3 \* MERGEFORMAT </w:instrText>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 w:val="21"/>
                <w:szCs w:val="21"/>
                <w:highlight w:val="none"/>
                <w14:textFill>
                  <w14:solidFill>
                    <w14:schemeClr w14:val="tx1"/>
                  </w14:solidFill>
                </w14:textFill>
              </w:rPr>
              <w:t>④</w:t>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fldChar w:fldCharType="end"/>
            </w:r>
          </w:p>
        </w:tc>
        <w:tc>
          <w:tcPr>
            <w:tcW w:w="1761" w:type="dxa"/>
            <w:noWrap w:val="0"/>
            <w:tcMar>
              <w:left w:w="28" w:type="dxa"/>
              <w:right w:w="28" w:type="dxa"/>
            </w:tcMar>
            <w:vAlign w:val="center"/>
          </w:tcPr>
          <w:p w14:paraId="7B0A158B">
            <w:pPr>
              <w:spacing w:beforeLines="0" w:afterLines="0" w:line="240" w:lineRule="auto"/>
              <w:jc w:val="center"/>
              <w:rPr>
                <w:rFonts w:hint="default" w:ascii="Times New Roman" w:hAnsi="Times New Roman" w:eastAsia="黑体" w:cs="Times New Roman"/>
                <w:snapToGrid w:val="0"/>
                <w:color w:val="000000" w:themeColor="text1"/>
                <w:spacing w:val="-1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16"/>
                <w:kern w:val="21"/>
                <w:sz w:val="21"/>
                <w:szCs w:val="21"/>
                <w:highlight w:val="none"/>
                <w14:textFill>
                  <w14:solidFill>
                    <w14:schemeClr w14:val="tx1"/>
                  </w14:solidFill>
                </w14:textFill>
              </w:rPr>
              <w:t>以新带老削减量</w:t>
            </w:r>
          </w:p>
          <w:p w14:paraId="11F449A9">
            <w:pPr>
              <w:spacing w:beforeLines="0" w:afterLines="0" w:line="240" w:lineRule="auto"/>
              <w:jc w:val="center"/>
              <w:rPr>
                <w:rFonts w:hint="default" w:ascii="Times New Roman" w:hAnsi="Times New Roman" w:eastAsia="黑体" w:cs="Times New Roman"/>
                <w:snapToGrid w:val="0"/>
                <w:color w:val="000000" w:themeColor="text1"/>
                <w:spacing w:val="-1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16"/>
                <w:kern w:val="21"/>
                <w:sz w:val="21"/>
                <w:szCs w:val="21"/>
                <w:highlight w:val="none"/>
                <w14:textFill>
                  <w14:solidFill>
                    <w14:schemeClr w14:val="tx1"/>
                  </w14:solidFill>
                </w14:textFill>
              </w:rPr>
              <w:t>（新建项目不填）</w:t>
            </w:r>
            <w:r>
              <w:rPr>
                <w:rFonts w:hint="default" w:ascii="Times New Roman" w:hAnsi="Times New Roman" w:eastAsia="黑体" w:cs="Times New Roman"/>
                <w:snapToGrid w:val="0"/>
                <w:color w:val="000000" w:themeColor="text1"/>
                <w:spacing w:val="-16"/>
                <w:kern w:val="21"/>
                <w:sz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16"/>
                <w:kern w:val="21"/>
                <w:sz w:val="21"/>
                <w:szCs w:val="21"/>
                <w:highlight w:val="none"/>
                <w14:textFill>
                  <w14:solidFill>
                    <w14:schemeClr w14:val="tx1"/>
                  </w14:solidFill>
                </w14:textFill>
              </w:rPr>
              <w:instrText xml:space="preserve"> = 5 \* GB3 \* MERGEFORMAT </w:instrText>
            </w:r>
            <w:r>
              <w:rPr>
                <w:rFonts w:hint="default" w:ascii="Times New Roman" w:hAnsi="Times New Roman" w:eastAsia="黑体" w:cs="Times New Roman"/>
                <w:snapToGrid w:val="0"/>
                <w:color w:val="000000" w:themeColor="text1"/>
                <w:spacing w:val="-16"/>
                <w:kern w:val="21"/>
                <w:sz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 w:val="21"/>
                <w:szCs w:val="21"/>
                <w:highlight w:val="none"/>
                <w14:textFill>
                  <w14:solidFill>
                    <w14:schemeClr w14:val="tx1"/>
                  </w14:solidFill>
                </w14:textFill>
              </w:rPr>
              <w:t>⑤</w:t>
            </w:r>
            <w:r>
              <w:rPr>
                <w:rFonts w:hint="default" w:ascii="Times New Roman" w:hAnsi="Times New Roman" w:eastAsia="黑体" w:cs="Times New Roman"/>
                <w:snapToGrid w:val="0"/>
                <w:color w:val="000000" w:themeColor="text1"/>
                <w:spacing w:val="-16"/>
                <w:kern w:val="21"/>
                <w:sz w:val="21"/>
                <w:szCs w:val="21"/>
                <w:highlight w:val="none"/>
                <w14:textFill>
                  <w14:solidFill>
                    <w14:schemeClr w14:val="tx1"/>
                  </w14:solidFill>
                </w14:textFill>
              </w:rPr>
              <w:fldChar w:fldCharType="end"/>
            </w:r>
          </w:p>
        </w:tc>
        <w:tc>
          <w:tcPr>
            <w:tcW w:w="1721" w:type="dxa"/>
            <w:noWrap w:val="0"/>
            <w:tcMar>
              <w:left w:w="28" w:type="dxa"/>
              <w:right w:w="28" w:type="dxa"/>
            </w:tcMar>
            <w:vAlign w:val="center"/>
          </w:tcPr>
          <w:p w14:paraId="643A6831">
            <w:pPr>
              <w:spacing w:beforeLines="0" w:afterLines="0" w:line="240" w:lineRule="auto"/>
              <w:jc w:val="center"/>
              <w:rPr>
                <w:rFonts w:hint="default" w:ascii="Times New Roman" w:hAnsi="Times New Roman" w:eastAsia="黑体" w:cs="Times New Roman"/>
                <w:snapToGrid w:val="0"/>
                <w:color w:val="000000" w:themeColor="text1"/>
                <w:spacing w:val="-1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16"/>
                <w:kern w:val="21"/>
                <w:sz w:val="21"/>
                <w:szCs w:val="21"/>
                <w:highlight w:val="none"/>
                <w14:textFill>
                  <w14:solidFill>
                    <w14:schemeClr w14:val="tx1"/>
                  </w14:solidFill>
                </w14:textFill>
              </w:rPr>
              <w:t>本项目建成后</w:t>
            </w:r>
          </w:p>
          <w:p w14:paraId="31C939E5">
            <w:pPr>
              <w:spacing w:beforeLines="0" w:afterLines="0" w:line="240" w:lineRule="auto"/>
              <w:jc w:val="center"/>
              <w:rPr>
                <w:rFonts w:hint="default" w:ascii="Times New Roman" w:hAnsi="Times New Roman" w:eastAsia="黑体" w:cs="Times New Roman"/>
                <w:snapToGrid w:val="0"/>
                <w:color w:val="000000" w:themeColor="text1"/>
                <w:spacing w:val="-1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16"/>
                <w:kern w:val="21"/>
                <w:sz w:val="21"/>
                <w:szCs w:val="21"/>
                <w:highlight w:val="none"/>
                <w14:textFill>
                  <w14:solidFill>
                    <w14:schemeClr w14:val="tx1"/>
                  </w14:solidFill>
                </w14:textFill>
              </w:rPr>
              <w:t>全厂排放量（固体废物产生量）</w:t>
            </w:r>
            <w:r>
              <w:rPr>
                <w:rFonts w:hint="default" w:ascii="Times New Roman" w:hAnsi="Times New Roman" w:eastAsia="黑体" w:cs="Times New Roman"/>
                <w:snapToGrid w:val="0"/>
                <w:color w:val="000000" w:themeColor="text1"/>
                <w:spacing w:val="-16"/>
                <w:kern w:val="21"/>
                <w:sz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16"/>
                <w:kern w:val="21"/>
                <w:sz w:val="21"/>
                <w:szCs w:val="21"/>
                <w:highlight w:val="none"/>
                <w14:textFill>
                  <w14:solidFill>
                    <w14:schemeClr w14:val="tx1"/>
                  </w14:solidFill>
                </w14:textFill>
              </w:rPr>
              <w:instrText xml:space="preserve"> = 6 \* GB3 \* MERGEFORMAT </w:instrText>
            </w:r>
            <w:r>
              <w:rPr>
                <w:rFonts w:hint="default" w:ascii="Times New Roman" w:hAnsi="Times New Roman" w:eastAsia="黑体" w:cs="Times New Roman"/>
                <w:snapToGrid w:val="0"/>
                <w:color w:val="000000" w:themeColor="text1"/>
                <w:spacing w:val="-16"/>
                <w:kern w:val="21"/>
                <w:sz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 w:val="21"/>
                <w:szCs w:val="21"/>
                <w:highlight w:val="none"/>
                <w14:textFill>
                  <w14:solidFill>
                    <w14:schemeClr w14:val="tx1"/>
                  </w14:solidFill>
                </w14:textFill>
              </w:rPr>
              <w:t>⑥</w:t>
            </w:r>
            <w:r>
              <w:rPr>
                <w:rFonts w:hint="default" w:ascii="Times New Roman" w:hAnsi="Times New Roman" w:eastAsia="黑体" w:cs="Times New Roman"/>
                <w:snapToGrid w:val="0"/>
                <w:color w:val="000000" w:themeColor="text1"/>
                <w:spacing w:val="-16"/>
                <w:kern w:val="21"/>
                <w:sz w:val="21"/>
                <w:szCs w:val="21"/>
                <w:highlight w:val="none"/>
                <w14:textFill>
                  <w14:solidFill>
                    <w14:schemeClr w14:val="tx1"/>
                  </w14:solidFill>
                </w14:textFill>
              </w:rPr>
              <w:fldChar w:fldCharType="end"/>
            </w:r>
          </w:p>
        </w:tc>
        <w:tc>
          <w:tcPr>
            <w:tcW w:w="1064" w:type="dxa"/>
            <w:noWrap w:val="0"/>
            <w:tcMar>
              <w:left w:w="28" w:type="dxa"/>
              <w:right w:w="28" w:type="dxa"/>
            </w:tcMar>
            <w:vAlign w:val="center"/>
          </w:tcPr>
          <w:p w14:paraId="15F1CB0F">
            <w:pPr>
              <w:spacing w:beforeLines="0" w:afterLines="0" w:line="240" w:lineRule="auto"/>
              <w:jc w:val="cente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t>变化量</w:t>
            </w:r>
          </w:p>
          <w:p w14:paraId="5ABF081D">
            <w:pPr>
              <w:spacing w:beforeLines="0" w:afterLines="0" w:line="240" w:lineRule="auto"/>
              <w:jc w:val="cente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instrText xml:space="preserve"> = 7 \* GB3 \* MERGEFORMAT </w:instrText>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 w:val="21"/>
                <w:szCs w:val="21"/>
                <w:highlight w:val="none"/>
                <w14:textFill>
                  <w14:solidFill>
                    <w14:schemeClr w14:val="tx1"/>
                  </w14:solidFill>
                </w14:textFill>
              </w:rPr>
              <w:t>⑦</w:t>
            </w:r>
            <w:r>
              <w:rPr>
                <w:rFonts w:hint="default" w:ascii="Times New Roman" w:hAnsi="Times New Roman" w:eastAsia="黑体" w:cs="Times New Roman"/>
                <w:snapToGrid w:val="0"/>
                <w:color w:val="000000" w:themeColor="text1"/>
                <w:spacing w:val="-6"/>
                <w:kern w:val="21"/>
                <w:sz w:val="21"/>
                <w:szCs w:val="21"/>
                <w:highlight w:val="none"/>
                <w14:textFill>
                  <w14:solidFill>
                    <w14:schemeClr w14:val="tx1"/>
                  </w14:solidFill>
                </w14:textFill>
              </w:rPr>
              <w:fldChar w:fldCharType="end"/>
            </w:r>
          </w:p>
        </w:tc>
      </w:tr>
      <w:tr w14:paraId="37D506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restart"/>
            <w:noWrap w:val="0"/>
            <w:vAlign w:val="center"/>
          </w:tcPr>
          <w:p w14:paraId="45B39690">
            <w:pPr>
              <w:spacing w:beforeLines="0" w:afterLines="0" w:line="240" w:lineRule="auto"/>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t>废气</w:t>
            </w:r>
          </w:p>
        </w:tc>
        <w:tc>
          <w:tcPr>
            <w:tcW w:w="1504" w:type="dxa"/>
            <w:noWrap w:val="0"/>
            <w:vAlign w:val="center"/>
          </w:tcPr>
          <w:p w14:paraId="126976EF">
            <w:pPr>
              <w:spacing w:beforeLines="0" w:afterLines="0" w:line="240" w:lineRule="auto"/>
              <w:jc w:val="center"/>
              <w:rPr>
                <w:rFonts w:hint="default" w:ascii="Times New Roman" w:hAnsi="Times New Roman" w:eastAsia="宋体" w:cs="Times New Roman"/>
                <w:snapToGrid w:val="0"/>
                <w:color w:val="000000" w:themeColor="text1"/>
                <w:kern w:val="21"/>
                <w:sz w:val="21"/>
                <w:szCs w:val="21"/>
                <w:highlight w:val="none"/>
                <w:lang w:eastAsia="zh-CN"/>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lang w:eastAsia="zh-CN"/>
                <w14:textFill>
                  <w14:solidFill>
                    <w14:schemeClr w14:val="tx1"/>
                  </w14:solidFill>
                </w14:textFill>
              </w:rPr>
              <w:t>颗粒物</w:t>
            </w:r>
          </w:p>
        </w:tc>
        <w:tc>
          <w:tcPr>
            <w:tcW w:w="1614" w:type="dxa"/>
            <w:shd w:val="clear" w:color="auto" w:fill="auto"/>
            <w:noWrap w:val="0"/>
            <w:vAlign w:val="center"/>
          </w:tcPr>
          <w:p w14:paraId="46667B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0.5</w:t>
            </w:r>
          </w:p>
        </w:tc>
        <w:tc>
          <w:tcPr>
            <w:tcW w:w="1276" w:type="dxa"/>
            <w:shd w:val="clear" w:color="auto" w:fill="auto"/>
            <w:noWrap w:val="0"/>
            <w:vAlign w:val="center"/>
          </w:tcPr>
          <w:p w14:paraId="5CE5BC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01" w:type="dxa"/>
            <w:noWrap w:val="0"/>
            <w:vAlign w:val="center"/>
          </w:tcPr>
          <w:p w14:paraId="665F69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559" w:type="dxa"/>
            <w:shd w:val="clear" w:color="auto" w:fill="auto"/>
            <w:noWrap w:val="0"/>
            <w:vAlign w:val="center"/>
          </w:tcPr>
          <w:p w14:paraId="7A6C5B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pacing w:val="0"/>
                <w:sz w:val="21"/>
                <w:szCs w:val="21"/>
                <w:highlight w:val="none"/>
                <w:lang w:val="en-US" w:eastAsia="zh-CN"/>
                <w14:textFill>
                  <w14:solidFill>
                    <w14:schemeClr w14:val="tx1"/>
                  </w14:solidFill>
                </w14:textFill>
              </w:rPr>
              <w:t>0.366</w:t>
            </w:r>
          </w:p>
        </w:tc>
        <w:tc>
          <w:tcPr>
            <w:tcW w:w="1761" w:type="dxa"/>
            <w:noWrap w:val="0"/>
            <w:vAlign w:val="center"/>
          </w:tcPr>
          <w:p w14:paraId="45C00E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21" w:type="dxa"/>
            <w:noWrap w:val="0"/>
            <w:vAlign w:val="center"/>
          </w:tcPr>
          <w:p w14:paraId="3C7E26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eastAsia" w:cs="Times New Roman"/>
                <w:snapToGrid w:val="0"/>
                <w:color w:val="000000" w:themeColor="text1"/>
                <w:kern w:val="21"/>
                <w:sz w:val="21"/>
                <w:szCs w:val="21"/>
                <w:highlight w:val="none"/>
                <w:lang w:val="en-US" w:eastAsia="zh-CN"/>
                <w14:textFill>
                  <w14:solidFill>
                    <w14:schemeClr w14:val="tx1"/>
                  </w14:solidFill>
                </w14:textFill>
              </w:rPr>
              <w:t>0.866</w:t>
            </w:r>
          </w:p>
        </w:tc>
        <w:tc>
          <w:tcPr>
            <w:tcW w:w="1064" w:type="dxa"/>
            <w:noWrap w:val="0"/>
            <w:vAlign w:val="center"/>
          </w:tcPr>
          <w:p w14:paraId="0C3DCC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t>+</w:t>
            </w:r>
            <w:r>
              <w:rPr>
                <w:rFonts w:hint="eastAsia" w:cs="Times New Roman"/>
                <w:snapToGrid w:val="0"/>
                <w:color w:val="000000" w:themeColor="text1"/>
                <w:kern w:val="21"/>
                <w:sz w:val="21"/>
                <w:szCs w:val="21"/>
                <w:highlight w:val="none"/>
                <w:lang w:val="en-US" w:eastAsia="zh-CN"/>
                <w14:textFill>
                  <w14:solidFill>
                    <w14:schemeClr w14:val="tx1"/>
                  </w14:solidFill>
                </w14:textFill>
              </w:rPr>
              <w:t>0.366</w:t>
            </w:r>
          </w:p>
        </w:tc>
      </w:tr>
      <w:tr w14:paraId="2158CB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noWrap w:val="0"/>
            <w:vAlign w:val="center"/>
          </w:tcPr>
          <w:p w14:paraId="7E976D09">
            <w:pPr>
              <w:spacing w:beforeLines="0" w:afterLines="0" w:line="240" w:lineRule="auto"/>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p>
        </w:tc>
        <w:tc>
          <w:tcPr>
            <w:tcW w:w="1504" w:type="dxa"/>
            <w:noWrap w:val="0"/>
            <w:vAlign w:val="center"/>
          </w:tcPr>
          <w:p w14:paraId="64ACFCD5">
            <w:pPr>
              <w:spacing w:beforeLines="0" w:afterLines="0" w:line="240" w:lineRule="auto"/>
              <w:jc w:val="cente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t>SO</w:t>
            </w:r>
            <w:r>
              <w:rPr>
                <w:rFonts w:hint="default" w:ascii="Times New Roman" w:hAnsi="Times New Roman" w:cs="Times New Roman"/>
                <w:snapToGrid w:val="0"/>
                <w:color w:val="000000" w:themeColor="text1"/>
                <w:kern w:val="21"/>
                <w:sz w:val="21"/>
                <w:szCs w:val="21"/>
                <w:highlight w:val="none"/>
                <w:vertAlign w:val="subscript"/>
                <w:lang w:val="en-US" w:eastAsia="zh-CN"/>
                <w14:textFill>
                  <w14:solidFill>
                    <w14:schemeClr w14:val="tx1"/>
                  </w14:solidFill>
                </w14:textFill>
              </w:rPr>
              <w:t>2</w:t>
            </w:r>
          </w:p>
        </w:tc>
        <w:tc>
          <w:tcPr>
            <w:tcW w:w="1614" w:type="dxa"/>
            <w:shd w:val="clear" w:color="auto" w:fill="auto"/>
            <w:noWrap w:val="0"/>
            <w:vAlign w:val="center"/>
          </w:tcPr>
          <w:p w14:paraId="79CA2C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276" w:type="dxa"/>
            <w:shd w:val="clear" w:color="auto" w:fill="auto"/>
            <w:noWrap w:val="0"/>
            <w:vAlign w:val="center"/>
          </w:tcPr>
          <w:p w14:paraId="65A80A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01" w:type="dxa"/>
            <w:noWrap w:val="0"/>
            <w:vAlign w:val="center"/>
          </w:tcPr>
          <w:p w14:paraId="62B135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559" w:type="dxa"/>
            <w:shd w:val="clear" w:color="auto" w:fill="auto"/>
            <w:noWrap w:val="0"/>
            <w:vAlign w:val="center"/>
          </w:tcPr>
          <w:p w14:paraId="0EE885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pacing w:val="0"/>
                <w:sz w:val="21"/>
                <w:szCs w:val="21"/>
                <w:highlight w:val="none"/>
                <w:lang w:val="en-US" w:eastAsia="zh-CN"/>
                <w14:textFill>
                  <w14:solidFill>
                    <w14:schemeClr w14:val="tx1"/>
                  </w14:solidFill>
                </w14:textFill>
              </w:rPr>
              <w:t>0.342</w:t>
            </w:r>
          </w:p>
        </w:tc>
        <w:tc>
          <w:tcPr>
            <w:tcW w:w="1761" w:type="dxa"/>
            <w:noWrap w:val="0"/>
            <w:vAlign w:val="center"/>
          </w:tcPr>
          <w:p w14:paraId="704E65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21" w:type="dxa"/>
            <w:shd w:val="clear" w:color="auto" w:fill="auto"/>
            <w:noWrap w:val="0"/>
            <w:vAlign w:val="center"/>
          </w:tcPr>
          <w:p w14:paraId="613FC6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pacing w:val="0"/>
                <w:sz w:val="21"/>
                <w:szCs w:val="21"/>
                <w:highlight w:val="none"/>
                <w:lang w:val="en-US" w:eastAsia="zh-CN"/>
                <w14:textFill>
                  <w14:solidFill>
                    <w14:schemeClr w14:val="tx1"/>
                  </w14:solidFill>
                </w14:textFill>
              </w:rPr>
              <w:t>0.342</w:t>
            </w:r>
          </w:p>
        </w:tc>
        <w:tc>
          <w:tcPr>
            <w:tcW w:w="1064" w:type="dxa"/>
            <w:noWrap w:val="0"/>
            <w:vAlign w:val="center"/>
          </w:tcPr>
          <w:p w14:paraId="2FBB17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w:t>
            </w:r>
            <w:r>
              <w:rPr>
                <w:rFonts w:hint="eastAsia" w:cs="Times New Roman"/>
                <w:b w:val="0"/>
                <w:bCs w:val="0"/>
                <w:color w:val="000000" w:themeColor="text1"/>
                <w:spacing w:val="0"/>
                <w:sz w:val="21"/>
                <w:szCs w:val="21"/>
                <w:highlight w:val="none"/>
                <w:lang w:val="en-US" w:eastAsia="zh-CN"/>
                <w14:textFill>
                  <w14:solidFill>
                    <w14:schemeClr w14:val="tx1"/>
                  </w14:solidFill>
                </w14:textFill>
              </w:rPr>
              <w:t>0.342</w:t>
            </w:r>
          </w:p>
        </w:tc>
      </w:tr>
      <w:tr w14:paraId="2CCFED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noWrap w:val="0"/>
            <w:vAlign w:val="center"/>
          </w:tcPr>
          <w:p w14:paraId="174A1B25">
            <w:pPr>
              <w:spacing w:beforeLines="0" w:afterLines="0" w:line="240" w:lineRule="auto"/>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p>
        </w:tc>
        <w:tc>
          <w:tcPr>
            <w:tcW w:w="1504" w:type="dxa"/>
            <w:noWrap w:val="0"/>
            <w:vAlign w:val="center"/>
          </w:tcPr>
          <w:p w14:paraId="6982C5E1">
            <w:pPr>
              <w:spacing w:beforeLines="0" w:afterLines="0" w:line="240" w:lineRule="auto"/>
              <w:jc w:val="cente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t>NO</w:t>
            </w:r>
            <w:r>
              <w:rPr>
                <w:rFonts w:hint="default" w:ascii="Times New Roman" w:hAnsi="Times New Roman" w:cs="Times New Roman"/>
                <w:snapToGrid w:val="0"/>
                <w:color w:val="000000" w:themeColor="text1"/>
                <w:kern w:val="21"/>
                <w:sz w:val="21"/>
                <w:szCs w:val="21"/>
                <w:highlight w:val="none"/>
                <w:vertAlign w:val="subscript"/>
                <w:lang w:val="en-US" w:eastAsia="zh-CN"/>
                <w14:textFill>
                  <w14:solidFill>
                    <w14:schemeClr w14:val="tx1"/>
                  </w14:solidFill>
                </w14:textFill>
              </w:rPr>
              <w:t>X</w:t>
            </w:r>
          </w:p>
        </w:tc>
        <w:tc>
          <w:tcPr>
            <w:tcW w:w="1614" w:type="dxa"/>
            <w:shd w:val="clear" w:color="auto" w:fill="auto"/>
            <w:noWrap w:val="0"/>
            <w:vAlign w:val="center"/>
          </w:tcPr>
          <w:p w14:paraId="4D5B86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276" w:type="dxa"/>
            <w:shd w:val="clear" w:color="auto" w:fill="auto"/>
            <w:noWrap w:val="0"/>
            <w:vAlign w:val="center"/>
          </w:tcPr>
          <w:p w14:paraId="48B565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01" w:type="dxa"/>
            <w:noWrap w:val="0"/>
            <w:vAlign w:val="center"/>
          </w:tcPr>
          <w:p w14:paraId="009B29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559" w:type="dxa"/>
            <w:shd w:val="clear" w:color="auto" w:fill="auto"/>
            <w:noWrap w:val="0"/>
            <w:vAlign w:val="center"/>
          </w:tcPr>
          <w:p w14:paraId="006F14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pacing w:val="0"/>
                <w:sz w:val="21"/>
                <w:szCs w:val="21"/>
                <w:highlight w:val="none"/>
                <w:lang w:val="en-US" w:eastAsia="zh-CN"/>
                <w14:textFill>
                  <w14:solidFill>
                    <w14:schemeClr w14:val="tx1"/>
                  </w14:solidFill>
                </w14:textFill>
              </w:rPr>
              <w:t>1.983</w:t>
            </w:r>
          </w:p>
        </w:tc>
        <w:tc>
          <w:tcPr>
            <w:tcW w:w="1761" w:type="dxa"/>
            <w:noWrap w:val="0"/>
            <w:vAlign w:val="center"/>
          </w:tcPr>
          <w:p w14:paraId="6FDF45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21" w:type="dxa"/>
            <w:shd w:val="clear" w:color="auto" w:fill="auto"/>
            <w:noWrap w:val="0"/>
            <w:vAlign w:val="center"/>
          </w:tcPr>
          <w:p w14:paraId="444982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pacing w:val="0"/>
                <w:sz w:val="21"/>
                <w:szCs w:val="21"/>
                <w:highlight w:val="none"/>
                <w:lang w:val="en-US" w:eastAsia="zh-CN"/>
                <w14:textFill>
                  <w14:solidFill>
                    <w14:schemeClr w14:val="tx1"/>
                  </w14:solidFill>
                </w14:textFill>
              </w:rPr>
              <w:t>1.983</w:t>
            </w:r>
          </w:p>
        </w:tc>
        <w:tc>
          <w:tcPr>
            <w:tcW w:w="1064" w:type="dxa"/>
            <w:noWrap w:val="0"/>
            <w:vAlign w:val="center"/>
          </w:tcPr>
          <w:p w14:paraId="51C741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w:t>
            </w:r>
            <w:r>
              <w:rPr>
                <w:rFonts w:hint="eastAsia" w:cs="Times New Roman"/>
                <w:b w:val="0"/>
                <w:bCs w:val="0"/>
                <w:color w:val="000000" w:themeColor="text1"/>
                <w:spacing w:val="0"/>
                <w:sz w:val="21"/>
                <w:szCs w:val="21"/>
                <w:highlight w:val="none"/>
                <w:lang w:val="en-US" w:eastAsia="zh-CN"/>
                <w14:textFill>
                  <w14:solidFill>
                    <w14:schemeClr w14:val="tx1"/>
                  </w14:solidFill>
                </w14:textFill>
              </w:rPr>
              <w:t>1.983</w:t>
            </w:r>
          </w:p>
        </w:tc>
      </w:tr>
      <w:tr w14:paraId="3146D7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noWrap w:val="0"/>
            <w:vAlign w:val="center"/>
          </w:tcPr>
          <w:p w14:paraId="26533CD8">
            <w:pPr>
              <w:spacing w:beforeLines="0" w:afterLines="0" w:line="240" w:lineRule="auto"/>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p>
        </w:tc>
        <w:tc>
          <w:tcPr>
            <w:tcW w:w="1504" w:type="dxa"/>
            <w:noWrap w:val="0"/>
            <w:vAlign w:val="center"/>
          </w:tcPr>
          <w:p w14:paraId="63B7BD33">
            <w:pPr>
              <w:spacing w:beforeLines="0" w:afterLines="0" w:line="240" w:lineRule="auto"/>
              <w:jc w:val="cente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t>挥发性有机物</w:t>
            </w:r>
          </w:p>
        </w:tc>
        <w:tc>
          <w:tcPr>
            <w:tcW w:w="1614" w:type="dxa"/>
            <w:noWrap w:val="0"/>
            <w:vAlign w:val="center"/>
          </w:tcPr>
          <w:p w14:paraId="00B1FECA">
            <w:pPr>
              <w:spacing w:beforeLines="0" w:afterLines="0" w:line="240" w:lineRule="auto"/>
              <w:jc w:val="cente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0.0474</w:t>
            </w:r>
          </w:p>
        </w:tc>
        <w:tc>
          <w:tcPr>
            <w:tcW w:w="1276" w:type="dxa"/>
            <w:noWrap w:val="0"/>
            <w:vAlign w:val="center"/>
          </w:tcPr>
          <w:p w14:paraId="13DCDD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01" w:type="dxa"/>
            <w:noWrap w:val="0"/>
            <w:vAlign w:val="center"/>
          </w:tcPr>
          <w:p w14:paraId="28E5DE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559" w:type="dxa"/>
            <w:noWrap w:val="0"/>
            <w:vAlign w:val="center"/>
          </w:tcPr>
          <w:p w14:paraId="3E5F77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w:t>
            </w:r>
          </w:p>
        </w:tc>
        <w:tc>
          <w:tcPr>
            <w:tcW w:w="1761" w:type="dxa"/>
            <w:noWrap w:val="0"/>
            <w:vAlign w:val="center"/>
          </w:tcPr>
          <w:p w14:paraId="3BF1D7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21" w:type="dxa"/>
            <w:noWrap w:val="0"/>
            <w:vAlign w:val="center"/>
          </w:tcPr>
          <w:p w14:paraId="40CA76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0.0474</w:t>
            </w:r>
          </w:p>
        </w:tc>
        <w:tc>
          <w:tcPr>
            <w:tcW w:w="1064" w:type="dxa"/>
            <w:noWrap w:val="0"/>
            <w:vAlign w:val="center"/>
          </w:tcPr>
          <w:p w14:paraId="4AAB2A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1"/>
                <w:szCs w:val="21"/>
                <w:highlight w:val="none"/>
                <w:lang w:val="en-US" w:eastAsia="zh-CN"/>
                <w14:textFill>
                  <w14:solidFill>
                    <w14:schemeClr w14:val="tx1"/>
                  </w14:solidFill>
                </w14:textFill>
              </w:rPr>
              <w:t>/</w:t>
            </w:r>
          </w:p>
        </w:tc>
      </w:tr>
      <w:tr w14:paraId="25902E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588" w:type="dxa"/>
            <w:vMerge w:val="restart"/>
            <w:noWrap w:val="0"/>
            <w:vAlign w:val="center"/>
          </w:tcPr>
          <w:p w14:paraId="01713504">
            <w:pPr>
              <w:spacing w:beforeLines="0" w:afterLines="0" w:line="240" w:lineRule="auto"/>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t>一般工业</w:t>
            </w:r>
          </w:p>
          <w:p w14:paraId="6074309B">
            <w:pPr>
              <w:spacing w:beforeLines="0" w:afterLines="0" w:line="240" w:lineRule="auto"/>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t>固体废物</w:t>
            </w:r>
          </w:p>
        </w:tc>
        <w:tc>
          <w:tcPr>
            <w:tcW w:w="1504" w:type="dxa"/>
            <w:noWrap w:val="0"/>
            <w:vAlign w:val="center"/>
          </w:tcPr>
          <w:p w14:paraId="09788360">
            <w:pPr>
              <w:spacing w:beforeLines="0" w:afterLines="0" w:line="240" w:lineRule="auto"/>
              <w:jc w:val="center"/>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pacing w:val="0"/>
                <w:sz w:val="21"/>
                <w:szCs w:val="21"/>
                <w:highlight w:val="none"/>
                <w:vertAlign w:val="baseline"/>
                <w:lang w:val="en-US" w:eastAsia="zh-CN"/>
                <w14:textFill>
                  <w14:solidFill>
                    <w14:schemeClr w14:val="tx1"/>
                  </w14:solidFill>
                </w14:textFill>
              </w:rPr>
              <w:t>废离子交换树脂</w:t>
            </w:r>
          </w:p>
        </w:tc>
        <w:tc>
          <w:tcPr>
            <w:tcW w:w="1614" w:type="dxa"/>
            <w:noWrap w:val="0"/>
            <w:vAlign w:val="center"/>
          </w:tcPr>
          <w:p w14:paraId="7734A6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276" w:type="dxa"/>
            <w:noWrap w:val="0"/>
            <w:vAlign w:val="center"/>
          </w:tcPr>
          <w:p w14:paraId="4501B1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01" w:type="dxa"/>
            <w:noWrap w:val="0"/>
            <w:vAlign w:val="center"/>
          </w:tcPr>
          <w:p w14:paraId="2883DB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559" w:type="dxa"/>
            <w:noWrap w:val="0"/>
            <w:vAlign w:val="center"/>
          </w:tcPr>
          <w:p w14:paraId="7385B03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t>0.1</w:t>
            </w:r>
          </w:p>
        </w:tc>
        <w:tc>
          <w:tcPr>
            <w:tcW w:w="1761" w:type="dxa"/>
            <w:noWrap w:val="0"/>
            <w:vAlign w:val="center"/>
          </w:tcPr>
          <w:p w14:paraId="27E85E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21" w:type="dxa"/>
            <w:noWrap w:val="0"/>
            <w:vAlign w:val="center"/>
          </w:tcPr>
          <w:p w14:paraId="01D04CF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t>0.1</w:t>
            </w:r>
          </w:p>
        </w:tc>
        <w:tc>
          <w:tcPr>
            <w:tcW w:w="1064" w:type="dxa"/>
            <w:noWrap w:val="0"/>
            <w:vAlign w:val="center"/>
          </w:tcPr>
          <w:p w14:paraId="56A4C210">
            <w:pPr>
              <w:jc w:val="center"/>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t>+0.1</w:t>
            </w:r>
          </w:p>
        </w:tc>
      </w:tr>
      <w:tr w14:paraId="0ACEF3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1588" w:type="dxa"/>
            <w:vMerge w:val="continue"/>
            <w:noWrap w:val="0"/>
            <w:vAlign w:val="center"/>
          </w:tcPr>
          <w:p w14:paraId="68634B7E">
            <w:pPr>
              <w:spacing w:beforeLines="0" w:afterLines="0" w:line="240" w:lineRule="auto"/>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p>
        </w:tc>
        <w:tc>
          <w:tcPr>
            <w:tcW w:w="1504" w:type="dxa"/>
            <w:noWrap w:val="0"/>
            <w:vAlign w:val="center"/>
          </w:tcPr>
          <w:p w14:paraId="6C0A8EBC">
            <w:pPr>
              <w:adjustRightInd w:val="0"/>
              <w:snapToGrid w:val="0"/>
              <w:jc w:val="center"/>
              <w:rPr>
                <w:rFonts w:hint="default" w:ascii="Times New Roman" w:hAnsi="Times New Roman" w:cs="Times New Roman"/>
                <w:bCs/>
                <w:color w:val="000000" w:themeColor="text1"/>
                <w:spacing w:val="0"/>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炉渣</w:t>
            </w:r>
          </w:p>
        </w:tc>
        <w:tc>
          <w:tcPr>
            <w:tcW w:w="1614" w:type="dxa"/>
            <w:noWrap w:val="0"/>
            <w:vAlign w:val="center"/>
          </w:tcPr>
          <w:p w14:paraId="56A96D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276" w:type="dxa"/>
            <w:noWrap w:val="0"/>
            <w:vAlign w:val="center"/>
          </w:tcPr>
          <w:p w14:paraId="3229DC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01" w:type="dxa"/>
            <w:noWrap w:val="0"/>
            <w:vAlign w:val="center"/>
          </w:tcPr>
          <w:p w14:paraId="7CF868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559" w:type="dxa"/>
            <w:noWrap w:val="0"/>
            <w:vAlign w:val="center"/>
          </w:tcPr>
          <w:p w14:paraId="40EEDA6A">
            <w:pPr>
              <w:adjustRightInd w:val="0"/>
              <w:snapToGrid w:val="0"/>
              <w:jc w:val="center"/>
              <w:rPr>
                <w:rFonts w:hint="default" w:ascii="Times New Roman" w:hAnsi="Times New Roman" w:eastAsia="宋体" w:cs="Times New Roman"/>
                <w:bCs/>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cs="Times New Roman"/>
                <w:bCs/>
                <w:color w:val="000000" w:themeColor="text1"/>
                <w:spacing w:val="0"/>
                <w:sz w:val="21"/>
                <w:szCs w:val="21"/>
                <w:highlight w:val="none"/>
                <w:vertAlign w:val="baseline"/>
                <w:lang w:val="en-US" w:eastAsia="zh-CN"/>
                <w14:textFill>
                  <w14:solidFill>
                    <w14:schemeClr w14:val="tx1"/>
                  </w14:solidFill>
                </w14:textFill>
              </w:rPr>
              <w:t>55.3</w:t>
            </w:r>
          </w:p>
        </w:tc>
        <w:tc>
          <w:tcPr>
            <w:tcW w:w="1761" w:type="dxa"/>
            <w:noWrap w:val="0"/>
            <w:vAlign w:val="center"/>
          </w:tcPr>
          <w:p w14:paraId="36E515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21" w:type="dxa"/>
            <w:noWrap w:val="0"/>
            <w:vAlign w:val="center"/>
          </w:tcPr>
          <w:p w14:paraId="446639FC">
            <w:pPr>
              <w:adjustRightInd w:val="0"/>
              <w:snapToGrid w:val="0"/>
              <w:jc w:val="center"/>
              <w:rPr>
                <w:rFonts w:hint="default" w:ascii="Times New Roman" w:hAnsi="Times New Roman" w:eastAsia="宋体" w:cs="Times New Roman"/>
                <w:bCs/>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cs="Times New Roman"/>
                <w:bCs/>
                <w:color w:val="000000" w:themeColor="text1"/>
                <w:spacing w:val="0"/>
                <w:sz w:val="21"/>
                <w:szCs w:val="21"/>
                <w:highlight w:val="none"/>
                <w:vertAlign w:val="baseline"/>
                <w:lang w:val="en-US" w:eastAsia="zh-CN"/>
                <w14:textFill>
                  <w14:solidFill>
                    <w14:schemeClr w14:val="tx1"/>
                  </w14:solidFill>
                </w14:textFill>
              </w:rPr>
              <w:t>55.3</w:t>
            </w:r>
          </w:p>
        </w:tc>
        <w:tc>
          <w:tcPr>
            <w:tcW w:w="1064" w:type="dxa"/>
            <w:noWrap w:val="0"/>
            <w:vAlign w:val="center"/>
          </w:tcPr>
          <w:p w14:paraId="078EE28F">
            <w:pPr>
              <w:adjustRightInd w:val="0"/>
              <w:snapToGrid w:val="0"/>
              <w:jc w:val="center"/>
              <w:rPr>
                <w:rFonts w:hint="default" w:ascii="Times New Roman" w:hAnsi="Times New Roman" w:eastAsia="宋体" w:cs="Times New Roman"/>
                <w:bCs/>
                <w:color w:val="000000" w:themeColor="text1"/>
                <w:spacing w:val="0"/>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bCs/>
                <w:color w:val="000000" w:themeColor="text1"/>
                <w:spacing w:val="0"/>
                <w:sz w:val="21"/>
                <w:szCs w:val="21"/>
                <w:highlight w:val="none"/>
                <w:vertAlign w:val="baseline"/>
                <w:lang w:val="en-US" w:eastAsia="zh-CN"/>
                <w14:textFill>
                  <w14:solidFill>
                    <w14:schemeClr w14:val="tx1"/>
                  </w14:solidFill>
                </w14:textFill>
              </w:rPr>
              <w:t>+</w:t>
            </w:r>
            <w:r>
              <w:rPr>
                <w:rFonts w:hint="eastAsia" w:cs="Times New Roman"/>
                <w:bCs/>
                <w:color w:val="000000" w:themeColor="text1"/>
                <w:spacing w:val="0"/>
                <w:sz w:val="21"/>
                <w:szCs w:val="21"/>
                <w:highlight w:val="none"/>
                <w:vertAlign w:val="baseline"/>
                <w:lang w:val="en-US" w:eastAsia="zh-CN"/>
                <w14:textFill>
                  <w14:solidFill>
                    <w14:schemeClr w14:val="tx1"/>
                  </w14:solidFill>
                </w14:textFill>
              </w:rPr>
              <w:t>55.3</w:t>
            </w:r>
          </w:p>
        </w:tc>
      </w:tr>
      <w:tr w14:paraId="5A0828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 w:hRule="atLeast"/>
        </w:trPr>
        <w:tc>
          <w:tcPr>
            <w:tcW w:w="1588" w:type="dxa"/>
            <w:vMerge w:val="continue"/>
            <w:noWrap w:val="0"/>
            <w:vAlign w:val="center"/>
          </w:tcPr>
          <w:p w14:paraId="35CF3E2F">
            <w:pPr>
              <w:spacing w:beforeLines="0" w:afterLines="0" w:line="240" w:lineRule="auto"/>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p>
        </w:tc>
        <w:tc>
          <w:tcPr>
            <w:tcW w:w="1504" w:type="dxa"/>
            <w:noWrap w:val="0"/>
            <w:vAlign w:val="center"/>
          </w:tcPr>
          <w:p w14:paraId="79820353">
            <w:pPr>
              <w:adjustRightInd w:val="0"/>
              <w:snapToGrid w:val="0"/>
              <w:jc w:val="center"/>
              <w:rPr>
                <w:rFonts w:hint="default" w:ascii="Times New Roman" w:hAnsi="Times New Roman" w:cs="Times New Roman"/>
                <w:bCs/>
                <w:color w:val="000000" w:themeColor="text1"/>
                <w:spacing w:val="0"/>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布袋除尘器收尘</w:t>
            </w:r>
          </w:p>
        </w:tc>
        <w:tc>
          <w:tcPr>
            <w:tcW w:w="1614" w:type="dxa"/>
            <w:noWrap w:val="0"/>
            <w:vAlign w:val="center"/>
          </w:tcPr>
          <w:p w14:paraId="6CA0D1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276" w:type="dxa"/>
            <w:noWrap w:val="0"/>
            <w:vAlign w:val="center"/>
          </w:tcPr>
          <w:p w14:paraId="446799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01" w:type="dxa"/>
            <w:noWrap w:val="0"/>
            <w:vAlign w:val="center"/>
          </w:tcPr>
          <w:p w14:paraId="79D087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559" w:type="dxa"/>
            <w:noWrap w:val="0"/>
            <w:vAlign w:val="center"/>
          </w:tcPr>
          <w:p w14:paraId="71B14880">
            <w:pPr>
              <w:adjustRightInd w:val="0"/>
              <w:snapToGrid w:val="0"/>
              <w:jc w:val="center"/>
              <w:rPr>
                <w:rFonts w:hint="default" w:ascii="Times New Roman" w:hAnsi="Times New Roman" w:eastAsia="宋体" w:cs="Times New Roman"/>
                <w:bCs/>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cs="Times New Roman"/>
                <w:bCs/>
                <w:color w:val="000000" w:themeColor="text1"/>
                <w:spacing w:val="0"/>
                <w:sz w:val="21"/>
                <w:szCs w:val="21"/>
                <w:highlight w:val="none"/>
                <w:vertAlign w:val="baseline"/>
                <w:lang w:val="en-US" w:eastAsia="zh-CN"/>
                <w14:textFill>
                  <w14:solidFill>
                    <w14:schemeClr w14:val="tx1"/>
                  </w14:solidFill>
                </w14:textFill>
              </w:rPr>
              <w:t>72.925</w:t>
            </w:r>
          </w:p>
        </w:tc>
        <w:tc>
          <w:tcPr>
            <w:tcW w:w="1761" w:type="dxa"/>
            <w:noWrap w:val="0"/>
            <w:vAlign w:val="center"/>
          </w:tcPr>
          <w:p w14:paraId="64715D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21" w:type="dxa"/>
            <w:noWrap w:val="0"/>
            <w:vAlign w:val="center"/>
          </w:tcPr>
          <w:p w14:paraId="3601F515">
            <w:pPr>
              <w:adjustRightInd w:val="0"/>
              <w:snapToGrid w:val="0"/>
              <w:jc w:val="center"/>
              <w:rPr>
                <w:rFonts w:hint="default" w:ascii="Times New Roman" w:hAnsi="Times New Roman" w:eastAsia="宋体" w:cs="Times New Roman"/>
                <w:bCs/>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cs="Times New Roman"/>
                <w:bCs/>
                <w:color w:val="000000" w:themeColor="text1"/>
                <w:spacing w:val="0"/>
                <w:sz w:val="21"/>
                <w:szCs w:val="21"/>
                <w:highlight w:val="none"/>
                <w:vertAlign w:val="baseline"/>
                <w:lang w:val="en-US" w:eastAsia="zh-CN"/>
                <w14:textFill>
                  <w14:solidFill>
                    <w14:schemeClr w14:val="tx1"/>
                  </w14:solidFill>
                </w14:textFill>
              </w:rPr>
              <w:t>72.925</w:t>
            </w:r>
          </w:p>
        </w:tc>
        <w:tc>
          <w:tcPr>
            <w:tcW w:w="1064" w:type="dxa"/>
            <w:noWrap w:val="0"/>
            <w:vAlign w:val="center"/>
          </w:tcPr>
          <w:p w14:paraId="2A47B168">
            <w:pPr>
              <w:adjustRightInd w:val="0"/>
              <w:snapToGrid w:val="0"/>
              <w:jc w:val="center"/>
              <w:rPr>
                <w:rFonts w:hint="default" w:ascii="Times New Roman" w:hAnsi="Times New Roman" w:eastAsia="宋体" w:cs="Times New Roman"/>
                <w:bCs/>
                <w:color w:val="000000" w:themeColor="text1"/>
                <w:spacing w:val="0"/>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bCs/>
                <w:color w:val="000000" w:themeColor="text1"/>
                <w:spacing w:val="0"/>
                <w:sz w:val="21"/>
                <w:szCs w:val="21"/>
                <w:highlight w:val="none"/>
                <w:vertAlign w:val="baseline"/>
                <w:lang w:val="en-US" w:eastAsia="zh-CN"/>
                <w14:textFill>
                  <w14:solidFill>
                    <w14:schemeClr w14:val="tx1"/>
                  </w14:solidFill>
                </w14:textFill>
              </w:rPr>
              <w:t>+</w:t>
            </w:r>
            <w:r>
              <w:rPr>
                <w:rFonts w:hint="eastAsia" w:cs="Times New Roman"/>
                <w:bCs/>
                <w:color w:val="000000" w:themeColor="text1"/>
                <w:spacing w:val="0"/>
                <w:sz w:val="21"/>
                <w:szCs w:val="21"/>
                <w:highlight w:val="none"/>
                <w:vertAlign w:val="baseline"/>
                <w:lang w:val="en-US" w:eastAsia="zh-CN"/>
                <w14:textFill>
                  <w14:solidFill>
                    <w14:schemeClr w14:val="tx1"/>
                  </w14:solidFill>
                </w14:textFill>
              </w:rPr>
              <w:t>72.925</w:t>
            </w:r>
          </w:p>
        </w:tc>
      </w:tr>
      <w:tr w14:paraId="4EB0E1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 w:hRule="atLeast"/>
        </w:trPr>
        <w:tc>
          <w:tcPr>
            <w:tcW w:w="1588" w:type="dxa"/>
            <w:vMerge w:val="continue"/>
            <w:noWrap w:val="0"/>
            <w:vAlign w:val="center"/>
          </w:tcPr>
          <w:p w14:paraId="36805C86">
            <w:pPr>
              <w:spacing w:beforeLines="0" w:afterLines="0" w:line="240" w:lineRule="auto"/>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p>
        </w:tc>
        <w:tc>
          <w:tcPr>
            <w:tcW w:w="1504" w:type="dxa"/>
            <w:noWrap w:val="0"/>
            <w:vAlign w:val="center"/>
          </w:tcPr>
          <w:p w14:paraId="03182EB5">
            <w:pPr>
              <w:spacing w:beforeLines="0" w:afterLines="0" w:line="240" w:lineRule="auto"/>
              <w:jc w:val="center"/>
              <w:rPr>
                <w:rFonts w:hint="default" w:ascii="Times New Roman" w:hAnsi="Times New Roman" w:cs="Times New Roman"/>
                <w:bCs/>
                <w:color w:val="000000" w:themeColor="text1"/>
                <w:spacing w:val="0"/>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废布袋</w:t>
            </w:r>
          </w:p>
        </w:tc>
        <w:tc>
          <w:tcPr>
            <w:tcW w:w="1614" w:type="dxa"/>
            <w:noWrap w:val="0"/>
            <w:vAlign w:val="center"/>
          </w:tcPr>
          <w:p w14:paraId="5D0523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276" w:type="dxa"/>
            <w:noWrap w:val="0"/>
            <w:vAlign w:val="center"/>
          </w:tcPr>
          <w:p w14:paraId="2F615A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01" w:type="dxa"/>
            <w:noWrap w:val="0"/>
            <w:vAlign w:val="center"/>
          </w:tcPr>
          <w:p w14:paraId="13F6F8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559" w:type="dxa"/>
            <w:noWrap w:val="0"/>
            <w:vAlign w:val="center"/>
          </w:tcPr>
          <w:p w14:paraId="54A6911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t>0.2</w:t>
            </w:r>
          </w:p>
        </w:tc>
        <w:tc>
          <w:tcPr>
            <w:tcW w:w="1761" w:type="dxa"/>
            <w:noWrap w:val="0"/>
            <w:vAlign w:val="center"/>
          </w:tcPr>
          <w:p w14:paraId="709300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21" w:type="dxa"/>
            <w:noWrap w:val="0"/>
            <w:vAlign w:val="center"/>
          </w:tcPr>
          <w:p w14:paraId="691F342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t>0.2</w:t>
            </w:r>
          </w:p>
        </w:tc>
        <w:tc>
          <w:tcPr>
            <w:tcW w:w="1064" w:type="dxa"/>
            <w:noWrap w:val="0"/>
            <w:vAlign w:val="center"/>
          </w:tcPr>
          <w:p w14:paraId="435C2C0F">
            <w:pPr>
              <w:jc w:val="cente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t>+0.2</w:t>
            </w:r>
          </w:p>
        </w:tc>
      </w:tr>
      <w:tr w14:paraId="5395AA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noWrap w:val="0"/>
            <w:vAlign w:val="center"/>
          </w:tcPr>
          <w:p w14:paraId="46DBEC13">
            <w:pPr>
              <w:spacing w:beforeLines="0" w:afterLines="0" w:line="240" w:lineRule="auto"/>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t>危险废物</w:t>
            </w:r>
          </w:p>
        </w:tc>
        <w:tc>
          <w:tcPr>
            <w:tcW w:w="1504" w:type="dxa"/>
            <w:noWrap w:val="0"/>
            <w:vAlign w:val="center"/>
          </w:tcPr>
          <w:p w14:paraId="4722A33A">
            <w:pPr>
              <w:adjustRightInd w:val="0"/>
              <w:snapToGrid w:val="0"/>
              <w:jc w:val="center"/>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t>/</w:t>
            </w:r>
          </w:p>
        </w:tc>
        <w:tc>
          <w:tcPr>
            <w:tcW w:w="1614" w:type="dxa"/>
            <w:noWrap w:val="0"/>
            <w:vAlign w:val="center"/>
          </w:tcPr>
          <w:p w14:paraId="66CB21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276" w:type="dxa"/>
            <w:noWrap w:val="0"/>
            <w:vAlign w:val="center"/>
          </w:tcPr>
          <w:p w14:paraId="776CFF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01" w:type="dxa"/>
            <w:noWrap w:val="0"/>
            <w:vAlign w:val="center"/>
          </w:tcPr>
          <w:p w14:paraId="1D78C7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559" w:type="dxa"/>
            <w:noWrap w:val="0"/>
            <w:vAlign w:val="center"/>
          </w:tcPr>
          <w:p w14:paraId="4E9FE6AC">
            <w:pPr>
              <w:adjustRightInd w:val="0"/>
              <w:snapToGrid w:val="0"/>
              <w:jc w:val="center"/>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t>/</w:t>
            </w:r>
          </w:p>
        </w:tc>
        <w:tc>
          <w:tcPr>
            <w:tcW w:w="1761" w:type="dxa"/>
            <w:noWrap w:val="0"/>
            <w:vAlign w:val="center"/>
          </w:tcPr>
          <w:p w14:paraId="7602B6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721" w:type="dxa"/>
            <w:noWrap w:val="0"/>
            <w:vAlign w:val="center"/>
          </w:tcPr>
          <w:p w14:paraId="7A80911E">
            <w:pPr>
              <w:adjustRightInd w:val="0"/>
              <w:snapToGrid w:val="0"/>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c>
          <w:tcPr>
            <w:tcW w:w="1064" w:type="dxa"/>
            <w:noWrap w:val="0"/>
            <w:vAlign w:val="center"/>
          </w:tcPr>
          <w:p w14:paraId="562E5B8A">
            <w:pPr>
              <w:adjustRightInd w:val="0"/>
              <w:snapToGrid w:val="0"/>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sz w:val="21"/>
                <w:szCs w:val="21"/>
                <w:highlight w:val="none"/>
                <w:lang w:val="en-US" w:eastAsia="zh-CN" w:bidi="ar-SA"/>
                <w14:textFill>
                  <w14:solidFill>
                    <w14:schemeClr w14:val="tx1"/>
                  </w14:solidFill>
                </w14:textFill>
              </w:rPr>
              <w:t>/</w:t>
            </w:r>
          </w:p>
        </w:tc>
      </w:tr>
    </w:tbl>
    <w:p w14:paraId="16E69F1A">
      <w:pPr>
        <w:spacing w:before="192" w:beforeLines="80" w:after="24"/>
        <w:jc w:val="left"/>
        <w:rPr>
          <w:rFonts w:hint="default" w:ascii="Times New Roman" w:hAnsi="Times New Roman" w:eastAsia="宋体" w:cs="Times New Roman"/>
          <w:snapToGrid w:val="0"/>
          <w:color w:val="000000" w:themeColor="text1"/>
          <w:spacing w:val="-6"/>
          <w:kern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注：</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instrText xml:space="preserve"> = 6 \* GB3 \* MERGEFORMAT </w:instrTex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⑥</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instrText xml:space="preserve"> = 1 \* GB3 \* MERGEFORMAT </w:instrTex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①</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instrText xml:space="preserve"> = 3 \* GB3 \* MERGEFORMAT </w:instrTex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③</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instrText xml:space="preserve"> = 4 \* GB3 \* MERGEFORMAT </w:instrTex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④</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instrText xml:space="preserve"> = 5 \* GB3 \* MERGEFORMAT </w:instrTex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⑤</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instrText xml:space="preserve"> = 7 \* GB3 \* MERGEFORMAT </w:instrTex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⑦</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instrText xml:space="preserve"> = 6 \* GB3 \* MERGEFORMAT </w:instrTex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⑥</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instrText xml:space="preserve"> = 1 \* GB3 \* MERGEFORMAT </w:instrTex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①</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6"/>
          <w:kern w:val="21"/>
          <w:szCs w:val="21"/>
          <w:highlight w:val="none"/>
          <w:lang w:val="en-US" w:eastAsia="zh-CN"/>
          <w14:textFill>
            <w14:solidFill>
              <w14:schemeClr w14:val="tx1"/>
            </w14:solidFill>
          </w14:textFill>
        </w:rPr>
        <w:t>单位t/a</w:t>
      </w:r>
    </w:p>
    <w:p w14:paraId="6A042A22">
      <w:pPr>
        <w:rPr>
          <w:rFonts w:hint="default" w:ascii="Times New Roman" w:hAnsi="Times New Roman" w:cs="Times New Roman"/>
          <w:color w:val="000000" w:themeColor="text1"/>
          <w:highlight w:val="none"/>
          <w14:textFill>
            <w14:solidFill>
              <w14:schemeClr w14:val="tx1"/>
            </w14:solidFill>
          </w14:textFill>
        </w:rPr>
      </w:pPr>
    </w:p>
    <w:p w14:paraId="6EBBA0AA">
      <w:pPr>
        <w:rPr>
          <w:rFonts w:hint="default" w:ascii="Times New Roman" w:hAnsi="Times New Roman" w:cs="Times New Roman"/>
          <w:color w:val="000000" w:themeColor="text1"/>
          <w:highlight w:val="none"/>
          <w14:textFill>
            <w14:solidFill>
              <w14:schemeClr w14:val="tx1"/>
            </w14:solidFill>
          </w14:textFill>
        </w:r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2A28ED6">
      <w:pPr>
        <w:jc w:val="center"/>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z w:val="21"/>
          <w:highlight w:val="none"/>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3528060</wp:posOffset>
                </wp:positionH>
                <wp:positionV relativeFrom="paragraph">
                  <wp:posOffset>3980180</wp:posOffset>
                </wp:positionV>
                <wp:extent cx="779145" cy="278130"/>
                <wp:effectExtent l="107315" t="386715" r="8890" b="20955"/>
                <wp:wrapNone/>
                <wp:docPr id="1" name="自选图形 42"/>
                <wp:cNvGraphicFramePr/>
                <a:graphic xmlns:a="http://schemas.openxmlformats.org/drawingml/2006/main">
                  <a:graphicData uri="http://schemas.microsoft.com/office/word/2010/wordprocessingShape">
                    <wps:wsp>
                      <wps:cNvSpPr/>
                      <wps:spPr>
                        <a:xfrm>
                          <a:off x="0" y="0"/>
                          <a:ext cx="779145" cy="278130"/>
                        </a:xfrm>
                        <a:prstGeom prst="wedgeRoundRectCallout">
                          <a:avLst>
                            <a:gd name="adj1" fmla="val -61241"/>
                            <a:gd name="adj2" fmla="val -180588"/>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5AEE1630">
                            <w:pPr>
                              <w:rPr>
                                <w:rFonts w:hint="eastAsia" w:eastAsia="宋体"/>
                                <w:lang w:eastAsia="zh-CN"/>
                              </w:rPr>
                            </w:pPr>
                            <w:r>
                              <w:rPr>
                                <w:rFonts w:hint="eastAsia"/>
                                <w:lang w:eastAsia="zh-CN"/>
                              </w:rPr>
                              <w:t>项目位置</w:t>
                            </w:r>
                          </w:p>
                        </w:txbxContent>
                      </wps:txbx>
                      <wps:bodyPr wrap="square" upright="1"/>
                    </wps:wsp>
                  </a:graphicData>
                </a:graphic>
              </wp:anchor>
            </w:drawing>
          </mc:Choice>
          <mc:Fallback>
            <w:pict>
              <v:shape id="自选图形 42" o:spid="_x0000_s1026" o:spt="62" type="#_x0000_t62" style="position:absolute;left:0pt;margin-left:277.8pt;margin-top:313.4pt;height:21.9pt;width:61.35pt;z-index:251659264;mso-width-relative:page;mso-height-relative:page;" fillcolor="#FFFFFF" filled="t" stroked="t" coordsize="21600,21600" o:gfxdata="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sW/jT9sAAAAL&#10;AQAADwAAAAAAAAABACAAAAAiAAAAZHJzL2Rvd25yZXYueG1sUEsBAhQAFAAAAAgAh07iQK/pGmJS&#10;AgAAxgQAAA4AAAAAAAAAAQAgAAAAKgEAAGRycy9lMm9Eb2MueG1sUEsFBgAAAAAGAAYAWQEAAO4F&#10;AAAAAA==&#10;" adj="-2428,-28207,14400">
                <v:fill on="t" focussize="0,0"/>
                <v:stroke color="#000000" joinstyle="miter"/>
                <v:imagedata o:title=""/>
                <o:lock v:ext="edit" aspectratio="f"/>
                <v:textbox>
                  <w:txbxContent>
                    <w:p w14:paraId="5AEE1630">
                      <w:pPr>
                        <w:rPr>
                          <w:rFonts w:hint="eastAsia" w:eastAsia="宋体"/>
                          <w:lang w:eastAsia="zh-CN"/>
                        </w:rPr>
                      </w:pPr>
                      <w:r>
                        <w:rPr>
                          <w:rFonts w:hint="eastAsia"/>
                          <w:lang w:eastAsia="zh-CN"/>
                        </w:rPr>
                        <w:t>项目位置</w:t>
                      </w:r>
                    </w:p>
                  </w:txbxContent>
                </v:textbox>
              </v:shape>
            </w:pict>
          </mc:Fallback>
        </mc:AlternateContent>
      </w:r>
      <w:r>
        <w:rPr>
          <w:rFonts w:hint="default" w:ascii="Times New Roman" w:hAnsi="Times New Roman" w:cs="Times New Roman"/>
          <w:color w:val="000000" w:themeColor="text1"/>
          <w:sz w:val="21"/>
          <w:highlight w:val="none"/>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3350895</wp:posOffset>
                </wp:positionH>
                <wp:positionV relativeFrom="paragraph">
                  <wp:posOffset>3552190</wp:posOffset>
                </wp:positionV>
                <wp:extent cx="71755" cy="71755"/>
                <wp:effectExtent l="13970" t="15875" r="28575" b="26670"/>
                <wp:wrapNone/>
                <wp:docPr id="3" name="自选图形 44"/>
                <wp:cNvGraphicFramePr/>
                <a:graphic xmlns:a="http://schemas.openxmlformats.org/drawingml/2006/main">
                  <a:graphicData uri="http://schemas.microsoft.com/office/word/2010/wordprocessingShape">
                    <wps:wsp>
                      <wps:cNvSpPr/>
                      <wps:spPr>
                        <a:xfrm>
                          <a:off x="0" y="0"/>
                          <a:ext cx="71755" cy="71755"/>
                        </a:xfrm>
                        <a:prstGeom prst="star5">
                          <a:avLst/>
                        </a:prstGeom>
                        <a:solidFill>
                          <a:srgbClr val="C00000"/>
                        </a:solidFill>
                        <a:ln w="9525" cap="flat" cmpd="sng">
                          <a:solidFill>
                            <a:srgbClr val="C00000"/>
                          </a:solidFill>
                          <a:prstDash val="solid"/>
                          <a:miter/>
                          <a:headEnd type="none" w="med" len="med"/>
                          <a:tailEnd type="none" w="med" len="med"/>
                        </a:ln>
                      </wps:spPr>
                      <wps:bodyPr wrap="square" upright="1"/>
                    </wps:wsp>
                  </a:graphicData>
                </a:graphic>
              </wp:anchor>
            </w:drawing>
          </mc:Choice>
          <mc:Fallback>
            <w:pict>
              <v:shape id="自选图形 44" o:spid="_x0000_s1026" style="position:absolute;left:0pt;margin-left:263.85pt;margin-top:279.7pt;height:5.65pt;width:5.65pt;z-index:251661312;mso-width-relative:page;mso-height-relative:page;" fillcolor="#C00000" filled="t" stroked="t" coordsize="71755,71755" o:gfxdata="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wicSpNwAAAALAQAADwAAAAAAAAABACAA&#10;AAAiAAAAZHJzL2Rvd25yZXYueG1sUEsBAhQAFAAAAAgAh07iQDdjBaEJAgAAMQQAAA4AAAAAAAAA&#10;AQAgAAAAKwEAAGRycy9lMm9Eb2MueG1sUEsFBgAAAAAGAAYAWQEAAKYFAAAAAA==&#10;" path="m0,27407l27408,27408,35877,0,44346,27408,71754,27407,49581,44346,58050,71754,35877,54815,13704,71754,22173,44346xe">
                <v:path o:connectlocs="35877,0;0,27407;13704,71754;58050,71754;71754,27407" o:connectangles="247,164,82,82,0"/>
                <v:fill on="t" focussize="0,0"/>
                <v:stroke color="#C00000" joinstyle="miter"/>
                <v:imagedata o:title=""/>
                <o:lock v:ext="edit" aspectratio="f"/>
              </v:shape>
            </w:pict>
          </mc:Fallback>
        </mc:AlternateContent>
      </w:r>
      <w:r>
        <w:rPr>
          <w:rFonts w:hint="default" w:ascii="Times New Roman" w:hAnsi="Times New Roman" w:cs="Times New Roman"/>
          <w:color w:val="000000" w:themeColor="text1"/>
          <w:highlight w:val="none"/>
          <w14:textFill>
            <w14:solidFill>
              <w14:schemeClr w14:val="tx1"/>
            </w14:solidFill>
          </w14:textFill>
        </w:rPr>
        <w:drawing>
          <wp:anchor distT="0" distB="0" distL="114300" distR="114300" simplePos="0" relativeHeight="251660288" behindDoc="0" locked="0" layoutInCell="1" allowOverlap="1">
            <wp:simplePos x="0" y="0"/>
            <wp:positionH relativeFrom="column">
              <wp:posOffset>8279765</wp:posOffset>
            </wp:positionH>
            <wp:positionV relativeFrom="paragraph">
              <wp:posOffset>31750</wp:posOffset>
            </wp:positionV>
            <wp:extent cx="236855" cy="548005"/>
            <wp:effectExtent l="0" t="0" r="10795" b="4445"/>
            <wp:wrapNone/>
            <wp:docPr id="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5"/>
                    <pic:cNvPicPr>
                      <a:picLocks noChangeAspect="1"/>
                    </pic:cNvPicPr>
                  </pic:nvPicPr>
                  <pic:blipFill>
                    <a:blip r:embed="rId29"/>
                    <a:stretch>
                      <a:fillRect/>
                    </a:stretch>
                  </pic:blipFill>
                  <pic:spPr>
                    <a:xfrm>
                      <a:off x="0" y="0"/>
                      <a:ext cx="236855" cy="548005"/>
                    </a:xfrm>
                    <a:prstGeom prst="rect">
                      <a:avLst/>
                    </a:prstGeom>
                    <a:noFill/>
                    <a:ln>
                      <a:noFill/>
                    </a:ln>
                  </pic:spPr>
                </pic:pic>
              </a:graphicData>
            </a:graphic>
          </wp:anchor>
        </w:drawing>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drawing>
          <wp:inline distT="0" distB="0" distL="114300" distR="114300">
            <wp:extent cx="8522970" cy="4931410"/>
            <wp:effectExtent l="0" t="0" r="11430" b="2540"/>
            <wp:docPr id="92"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91"/>
                    <pic:cNvPicPr>
                      <a:picLocks noChangeAspect="1"/>
                    </pic:cNvPicPr>
                  </pic:nvPicPr>
                  <pic:blipFill>
                    <a:blip r:embed="rId30"/>
                    <a:stretch>
                      <a:fillRect/>
                    </a:stretch>
                  </pic:blipFill>
                  <pic:spPr>
                    <a:xfrm>
                      <a:off x="0" y="0"/>
                      <a:ext cx="8522970" cy="4931410"/>
                    </a:xfrm>
                    <a:prstGeom prst="rect">
                      <a:avLst/>
                    </a:prstGeom>
                    <a:noFill/>
                    <a:ln>
                      <a:noFill/>
                    </a:ln>
                  </pic:spPr>
                </pic:pic>
              </a:graphicData>
            </a:graphic>
          </wp:inline>
        </w:drawing>
      </w:r>
    </w:p>
    <w:p w14:paraId="14EEC336">
      <w:pPr>
        <w:pStyle w:val="2"/>
        <w:bidi w:val="0"/>
        <w:jc w:val="center"/>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bookmarkStart w:id="24" w:name="_Toc9766"/>
      <w:r>
        <w:rPr>
          <w:rFonts w:hint="default" w:ascii="Times New Roman" w:hAnsi="Times New Roman" w:cs="Times New Roman"/>
          <w:color w:val="000000" w:themeColor="text1"/>
          <w:sz w:val="24"/>
          <w:szCs w:val="24"/>
          <w:highlight w:val="none"/>
          <w:lang w:eastAsia="zh-CN"/>
          <w14:textFill>
            <w14:solidFill>
              <w14:schemeClr w14:val="tx1"/>
            </w14:solidFill>
          </w14:textFill>
        </w:rPr>
        <w:t>附图</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1地理位置图</w:t>
      </w:r>
      <w:bookmarkEnd w:id="24"/>
    </w:p>
    <w:p w14:paraId="0799E7DB">
      <w:pPr>
        <w:jc w:val="center"/>
        <w:rPr>
          <w:rFonts w:hint="default" w:ascii="Times New Roman" w:hAnsi="Times New Roman" w:cs="Times New Roman"/>
          <w:color w:val="000000" w:themeColor="text1"/>
          <w:highlight w:val="none"/>
          <w:lang w:val="en-US" w:eastAsia="zh-CN"/>
          <w14:textFill>
            <w14:solidFill>
              <w14:schemeClr w14:val="tx1"/>
            </w14:solidFill>
          </w14:textFill>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36CA5616">
      <w:pPr>
        <w:jc w:val="center"/>
        <w:outlineLvl w:val="9"/>
        <w:rPr>
          <w:rFonts w:hint="default" w:ascii="Times New Roman" w:hAnsi="Times New Roman" w:cs="Times New Roman"/>
          <w:color w:val="000000" w:themeColor="text1"/>
          <w:highlight w:val="none"/>
          <w:lang w:val="en-US" w:eastAsia="zh-CN"/>
          <w14:textFill>
            <w14:solidFill>
              <w14:schemeClr w14:val="tx1"/>
            </w14:solidFill>
          </w14:textFill>
        </w:rPr>
      </w:pPr>
    </w:p>
    <w:p w14:paraId="22A0521C">
      <w:pPr>
        <w:bidi w:val="0"/>
        <w:jc w:val="center"/>
        <w:outlineLvl w:val="9"/>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7063105</wp:posOffset>
                </wp:positionH>
                <wp:positionV relativeFrom="paragraph">
                  <wp:posOffset>1979930</wp:posOffset>
                </wp:positionV>
                <wp:extent cx="848360" cy="320675"/>
                <wp:effectExtent l="0" t="0" r="0" b="0"/>
                <wp:wrapNone/>
                <wp:docPr id="100" name="文本框 100"/>
                <wp:cNvGraphicFramePr/>
                <a:graphic xmlns:a="http://schemas.openxmlformats.org/drawingml/2006/main">
                  <a:graphicData uri="http://schemas.microsoft.com/office/word/2010/wordprocessingShape">
                    <wps:wsp>
                      <wps:cNvSpPr txBox="1"/>
                      <wps:spPr>
                        <a:xfrm>
                          <a:off x="7585075" y="3348355"/>
                          <a:ext cx="848360" cy="320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CAB97B">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6.15pt;margin-top:155.9pt;height:25.25pt;width:66.8pt;z-index:251669504;mso-width-relative:page;mso-height-relative:page;" filled="f" stroked="f" coordsize="21600,21600" o:gfxdata="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Nzj5jbAAAADQEAAA8AAAAAAAAA&#10;AQAgAAAAIgAAAGRycy9kb3ducmV2LnhtbFBLAQIUABQAAAAIAIdO4kCjWb0+RwIAAHUEAAAOAAAA&#10;AAAAAAEAIAAAACoBAABkcnMvZTJvRG9jLnhtbFBLBQYAAAAABgAGAFkBAADjBQAAAAA=&#10;">
                <v:fill on="f" focussize="0,0"/>
                <v:stroke on="f" weight="0.5pt"/>
                <v:imagedata o:title=""/>
                <o:lock v:ext="edit" aspectratio="f"/>
                <v:textbox>
                  <w:txbxContent>
                    <w:p w14:paraId="6ACAB97B">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DA001</w:t>
                      </w:r>
                    </w:p>
                  </w:txbxContent>
                </v:textbox>
              </v:shape>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6949440</wp:posOffset>
                </wp:positionH>
                <wp:positionV relativeFrom="paragraph">
                  <wp:posOffset>2193290</wp:posOffset>
                </wp:positionV>
                <wp:extent cx="164465" cy="146685"/>
                <wp:effectExtent l="12700" t="12700" r="13335" b="31115"/>
                <wp:wrapNone/>
                <wp:docPr id="99" name="椭圆 99"/>
                <wp:cNvGraphicFramePr/>
                <a:graphic xmlns:a="http://schemas.openxmlformats.org/drawingml/2006/main">
                  <a:graphicData uri="http://schemas.microsoft.com/office/word/2010/wordprocessingShape">
                    <wps:wsp>
                      <wps:cNvSpPr/>
                      <wps:spPr>
                        <a:xfrm>
                          <a:off x="7282180" y="3392170"/>
                          <a:ext cx="164465" cy="146685"/>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47.2pt;margin-top:172.7pt;height:11.55pt;width:12.95pt;z-index:251668480;v-text-anchor:middle;mso-width-relative:page;mso-height-relative:page;" fillcolor="#4F81BD [3204]" filled="t" stroked="t" coordsize="21600,21600" o:gfxdata="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HY+8FbbAAAADQEA&#10;AA8AAAAAAAAAAQAgAAAAIgAAAGRycy9kb3ducmV2LnhtbFBLAQIUABQAAAAIAIdO4kDo8H8KiQIA&#10;AA8FAAAOAAAAAAAAAAEAIAAAACoBAABkcnMvZTJvRG9jLnhtbFBLBQYAAAAABgAGAFkBAAAlBgAA&#10;AAA=&#10;">
                <v:fill on="t" focussize="0,0"/>
                <v:stroke weight="2pt" color="#376092 [2404]" joinstyle="round"/>
                <v:imagedata o:title=""/>
                <o:lock v:ext="edit" aspectratio="f"/>
              </v:shape>
            </w:pict>
          </mc:Fallback>
        </mc:AlternateContent>
      </w:r>
      <w:r>
        <w:rPr>
          <w:rFonts w:hint="default" w:ascii="Times New Roman" w:hAnsi="Times New Roman" w:cs="Times New Roman"/>
          <w:color w:val="000000" w:themeColor="text1"/>
          <w:highlight w:val="none"/>
          <w14:textFill>
            <w14:solidFill>
              <w14:schemeClr w14:val="tx1"/>
            </w14:solidFill>
          </w14:textFill>
        </w:rPr>
        <w:drawing>
          <wp:anchor distT="0" distB="0" distL="114300" distR="114300" simplePos="0" relativeHeight="251663360" behindDoc="0" locked="0" layoutInCell="1" allowOverlap="1">
            <wp:simplePos x="0" y="0"/>
            <wp:positionH relativeFrom="column">
              <wp:posOffset>7679690</wp:posOffset>
            </wp:positionH>
            <wp:positionV relativeFrom="paragraph">
              <wp:posOffset>18415</wp:posOffset>
            </wp:positionV>
            <wp:extent cx="535305" cy="1238250"/>
            <wp:effectExtent l="0" t="0" r="17145" b="0"/>
            <wp:wrapNone/>
            <wp:docPr id="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4"/>
                    <pic:cNvPicPr>
                      <a:picLocks noChangeAspect="1"/>
                    </pic:cNvPicPr>
                  </pic:nvPicPr>
                  <pic:blipFill>
                    <a:blip r:embed="rId29"/>
                    <a:stretch>
                      <a:fillRect/>
                    </a:stretch>
                  </pic:blipFill>
                  <pic:spPr>
                    <a:xfrm>
                      <a:off x="0" y="0"/>
                      <a:ext cx="535305" cy="1238250"/>
                    </a:xfrm>
                    <a:prstGeom prst="rect">
                      <a:avLst/>
                    </a:prstGeom>
                    <a:noFill/>
                    <a:ln>
                      <a:noFill/>
                    </a:ln>
                  </pic:spPr>
                </pic:pic>
              </a:graphicData>
            </a:graphic>
          </wp:anchor>
        </w:drawing>
      </w:r>
      <w:r>
        <w:drawing>
          <wp:inline distT="0" distB="0" distL="114300" distR="114300">
            <wp:extent cx="8517255" cy="5029200"/>
            <wp:effectExtent l="0" t="0" r="17145" b="0"/>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31"/>
                    <a:stretch>
                      <a:fillRect/>
                    </a:stretch>
                  </pic:blipFill>
                  <pic:spPr>
                    <a:xfrm>
                      <a:off x="0" y="0"/>
                      <a:ext cx="8517255" cy="5029200"/>
                    </a:xfrm>
                    <a:prstGeom prst="rect">
                      <a:avLst/>
                    </a:prstGeom>
                    <a:noFill/>
                    <a:ln>
                      <a:noFill/>
                    </a:ln>
                  </pic:spPr>
                </pic:pic>
              </a:graphicData>
            </a:graphic>
          </wp:inline>
        </w:drawing>
      </w:r>
    </w:p>
    <w:p w14:paraId="4627CE66">
      <w:pPr>
        <w:pStyle w:val="2"/>
        <w:bidi w:val="0"/>
        <w:jc w:val="cente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bookmarkStart w:id="25" w:name="_Toc9682"/>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附图2平面布置图</w:t>
      </w:r>
      <w:bookmarkEnd w:id="25"/>
    </w:p>
    <w:p w14:paraId="049F6D8C">
      <w:pPr>
        <w:jc w:val="center"/>
        <w:rPr>
          <w:rFonts w:hint="default" w:ascii="Times New Roman" w:hAnsi="Times New Roman" w:cs="Times New Roman"/>
          <w:color w:val="000000" w:themeColor="text1"/>
          <w:highlight w:val="none"/>
          <w:lang w:val="en-US" w:eastAsia="zh-CN"/>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795B72EF">
      <w:pPr>
        <w:jc w:val="center"/>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shd w:val="clear" w:color="auto" w:fill="auto"/>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6629400</wp:posOffset>
                </wp:positionH>
                <wp:positionV relativeFrom="paragraph">
                  <wp:posOffset>4782820</wp:posOffset>
                </wp:positionV>
                <wp:extent cx="247015" cy="164465"/>
                <wp:effectExtent l="9525" t="9525" r="10160" b="16510"/>
                <wp:wrapNone/>
                <wp:docPr id="21" name="矩形 84"/>
                <wp:cNvGraphicFramePr/>
                <a:graphic xmlns:a="http://schemas.openxmlformats.org/drawingml/2006/main">
                  <a:graphicData uri="http://schemas.microsoft.com/office/word/2010/wordprocessingShape">
                    <wps:wsp>
                      <wps:cNvSpPr/>
                      <wps:spPr>
                        <a:xfrm flipV="1">
                          <a:off x="0" y="0"/>
                          <a:ext cx="247015" cy="164465"/>
                        </a:xfrm>
                        <a:prstGeom prst="rect">
                          <a:avLst/>
                        </a:prstGeom>
                        <a:noFill/>
                        <a:ln w="19050" cap="flat" cmpd="sng">
                          <a:solidFill>
                            <a:srgbClr val="FFC000"/>
                          </a:solidFill>
                          <a:prstDash val="solid"/>
                          <a:miter/>
                          <a:headEnd type="none" w="med" len="med"/>
                          <a:tailEnd type="none" w="med" len="med"/>
                        </a:ln>
                      </wps:spPr>
                      <wps:bodyPr wrap="square" upright="1"/>
                    </wps:wsp>
                  </a:graphicData>
                </a:graphic>
              </wp:anchor>
            </w:drawing>
          </mc:Choice>
          <mc:Fallback>
            <w:pict>
              <v:rect id="矩形 84" o:spid="_x0000_s1026" o:spt="1" style="position:absolute;left:0pt;flip:y;margin-left:522pt;margin-top:376.6pt;height:12.95pt;width:19.45pt;z-index:251667456;mso-width-relative:page;mso-height-relative:page;" filled="f" stroked="t" coordsize="21600,21600" o:gfxdata="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rnwTzbAAAADQEAAA8AAAAAAAAAAQAg&#10;AAAAIgAAAGRycy9kb3ducmV2LnhtbFBLAQIUABQAAAAIAIdO4kDXsuvNCwIAAA8EAAAOAAAAAAAA&#10;AAEAIAAAACoBAABkcnMvZTJvRG9jLnhtbFBLBQYAAAAABgAGAFkBAACnBQAAAAA=&#10;">
                <v:fill on="f" focussize="0,0"/>
                <v:stroke weight="1.5pt" color="#FFC000" joinstyle="miter"/>
                <v:imagedata o:title=""/>
                <o:lock v:ext="edit" aspectratio="f"/>
              </v:rect>
            </w:pict>
          </mc:Fallback>
        </mc:AlternateContent>
      </w:r>
      <w:r>
        <w:rPr>
          <w:rFonts w:hint="default" w:ascii="Times New Roman" w:hAnsi="Times New Roman" w:cs="Times New Roman"/>
          <w:color w:val="000000" w:themeColor="text1"/>
          <w:sz w:val="24"/>
          <w:highlight w:val="none"/>
          <w:shd w:val="clear" w:color="auto" w:fill="auto"/>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6651625</wp:posOffset>
                </wp:positionH>
                <wp:positionV relativeFrom="paragraph">
                  <wp:posOffset>4491990</wp:posOffset>
                </wp:positionV>
                <wp:extent cx="247015" cy="164465"/>
                <wp:effectExtent l="9525" t="9525" r="10160" b="16510"/>
                <wp:wrapNone/>
                <wp:docPr id="22" name="矩形 82"/>
                <wp:cNvGraphicFramePr/>
                <a:graphic xmlns:a="http://schemas.openxmlformats.org/drawingml/2006/main">
                  <a:graphicData uri="http://schemas.microsoft.com/office/word/2010/wordprocessingShape">
                    <wps:wsp>
                      <wps:cNvSpPr/>
                      <wps:spPr>
                        <a:xfrm flipV="1">
                          <a:off x="0" y="0"/>
                          <a:ext cx="247015" cy="164465"/>
                        </a:xfrm>
                        <a:prstGeom prst="rect">
                          <a:avLst/>
                        </a:prstGeom>
                        <a:noFill/>
                        <a:ln w="19050" cap="flat" cmpd="sng">
                          <a:solidFill>
                            <a:srgbClr val="2908B8"/>
                          </a:solidFill>
                          <a:prstDash val="solid"/>
                          <a:miter/>
                          <a:headEnd type="none" w="med" len="med"/>
                          <a:tailEnd type="none" w="med" len="med"/>
                        </a:ln>
                      </wps:spPr>
                      <wps:bodyPr wrap="square" upright="1"/>
                    </wps:wsp>
                  </a:graphicData>
                </a:graphic>
              </wp:anchor>
            </w:drawing>
          </mc:Choice>
          <mc:Fallback>
            <w:pict>
              <v:rect id="矩形 82" o:spid="_x0000_s1026" o:spt="1" style="position:absolute;left:0pt;flip:y;margin-left:523.75pt;margin-top:353.7pt;height:12.95pt;width:19.45pt;z-index:251666432;mso-width-relative:page;mso-height-relative:page;" filled="f" stroked="t" coordsize="21600,21600" o:gfxdata="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wzHMkNoAAAANAQAADwAAAAAAAAABACAA&#10;AAAiAAAAZHJzL2Rvd25yZXYueG1sUEsBAhQAFAAAAAgAh07iQGGA2N4LAgAADwQAAA4AAAAAAAAA&#10;AQAgAAAAKQEAAGRycy9lMm9Eb2MueG1sUEsFBgAAAAAGAAYAWQEAAKYFAAAAAA==&#10;">
                <v:fill on="f" focussize="0,0"/>
                <v:stroke weight="1.5pt" color="#2908B8" joinstyle="miter"/>
                <v:imagedata o:title=""/>
                <o:lock v:ext="edit" aspectratio="f"/>
              </v:rect>
            </w:pict>
          </mc:Fallback>
        </mc:AlternateContent>
      </w:r>
      <w:r>
        <w:rPr>
          <w:rFonts w:hint="default" w:ascii="Times New Roman" w:hAnsi="Times New Roman" w:cs="Times New Roman"/>
          <w:color w:val="000000" w:themeColor="text1"/>
          <w:sz w:val="24"/>
          <w:highlight w:val="none"/>
          <w:shd w:val="clear" w:color="auto" w:fill="auto"/>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6648450</wp:posOffset>
                </wp:positionH>
                <wp:positionV relativeFrom="paragraph">
                  <wp:posOffset>4191635</wp:posOffset>
                </wp:positionV>
                <wp:extent cx="247015" cy="164465"/>
                <wp:effectExtent l="9525" t="9525" r="10160" b="16510"/>
                <wp:wrapNone/>
                <wp:docPr id="20" name="矩形 3"/>
                <wp:cNvGraphicFramePr/>
                <a:graphic xmlns:a="http://schemas.openxmlformats.org/drawingml/2006/main">
                  <a:graphicData uri="http://schemas.microsoft.com/office/word/2010/wordprocessingShape">
                    <wps:wsp>
                      <wps:cNvSpPr/>
                      <wps:spPr>
                        <a:xfrm flipV="1">
                          <a:off x="0" y="0"/>
                          <a:ext cx="247015" cy="164465"/>
                        </a:xfrm>
                        <a:prstGeom prst="rect">
                          <a:avLst/>
                        </a:prstGeom>
                        <a:noFill/>
                        <a:ln w="19050" cap="flat" cmpd="sng">
                          <a:solidFill>
                            <a:srgbClr val="FF0000"/>
                          </a:solidFill>
                          <a:prstDash val="solid"/>
                          <a:miter/>
                          <a:headEnd type="none" w="med" len="med"/>
                          <a:tailEnd type="none" w="med" len="med"/>
                        </a:ln>
                      </wps:spPr>
                      <wps:bodyPr wrap="square" upright="1"/>
                    </wps:wsp>
                  </a:graphicData>
                </a:graphic>
              </wp:anchor>
            </w:drawing>
          </mc:Choice>
          <mc:Fallback>
            <w:pict>
              <v:rect id="矩形 3" o:spid="_x0000_s1026" o:spt="1" style="position:absolute;left:0pt;flip:y;margin-left:523.5pt;margin-top:330.05pt;height:12.95pt;width:19.45pt;z-index:251665408;mso-width-relative:page;mso-height-relative:page;" filled="f" stroked="t" coordsize="21600,21600" o:gfxdata="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fyLje2QAAAA0BAAAPAAAAAAAAAAEAIAAAACIA&#10;AABkcnMvZG93bnJldi54bWxQSwECFAAUAAAACACHTuJA5Wv6aggCAAAOBAAADgAAAAAAAAABACAA&#10;AAAoAQAAZHJzL2Uyb0RvYy54bWxQSwUGAAAAAAYABgBZAQAAogUAAAAA&#10;">
                <v:fill on="f" focussize="0,0"/>
                <v:stroke weight="1.5pt" color="#FF0000" joinstyle="miter"/>
                <v:imagedata o:title=""/>
                <o:lock v:ext="edit" aspectratio="f"/>
              </v:rect>
            </w:pict>
          </mc:Fallback>
        </mc:AlternateContent>
      </w:r>
      <w:r>
        <w:rPr>
          <w:rFonts w:hint="default" w:ascii="Times New Roman" w:hAnsi="Times New Roman" w:cs="Times New Roman"/>
          <w:color w:val="000000" w:themeColor="text1"/>
          <w:sz w:val="21"/>
          <w:highlight w:val="none"/>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6565900</wp:posOffset>
                </wp:positionH>
                <wp:positionV relativeFrom="paragraph">
                  <wp:posOffset>3882390</wp:posOffset>
                </wp:positionV>
                <wp:extent cx="1546860" cy="1426845"/>
                <wp:effectExtent l="4445" t="4445" r="10795" b="16510"/>
                <wp:wrapNone/>
                <wp:docPr id="19" name="文本框 86"/>
                <wp:cNvGraphicFramePr/>
                <a:graphic xmlns:a="http://schemas.openxmlformats.org/drawingml/2006/main">
                  <a:graphicData uri="http://schemas.microsoft.com/office/word/2010/wordprocessingShape">
                    <wps:wsp>
                      <wps:cNvSpPr txBox="1"/>
                      <wps:spPr>
                        <a:xfrm>
                          <a:off x="0" y="0"/>
                          <a:ext cx="1546860" cy="14268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CC35952">
                            <w:pPr>
                              <w:keepNext w:val="0"/>
                              <w:keepLines w:val="0"/>
                              <w:pageBreakBefore w:val="0"/>
                              <w:widowControl w:val="0"/>
                              <w:kinsoku/>
                              <w:wordWrap/>
                              <w:overflowPunct/>
                              <w:topLinePunct w:val="0"/>
                              <w:autoSpaceDE/>
                              <w:autoSpaceDN/>
                              <w:bidi w:val="0"/>
                              <w:adjustRightInd/>
                              <w:snapToGrid/>
                              <w:spacing w:after="0" w:afterLines="50"/>
                              <w:jc w:val="center"/>
                              <w:textAlignment w:val="auto"/>
                              <w:rPr>
                                <w:rFonts w:hint="eastAsia"/>
                                <w:sz w:val="24"/>
                                <w:szCs w:val="32"/>
                                <w:lang w:val="en-US" w:eastAsia="zh-CN"/>
                              </w:rPr>
                            </w:pPr>
                            <w:r>
                              <w:rPr>
                                <w:rFonts w:hint="eastAsia"/>
                                <w:sz w:val="24"/>
                                <w:szCs w:val="32"/>
                                <w:lang w:val="en-US" w:eastAsia="zh-CN"/>
                              </w:rPr>
                              <w:t>图例</w:t>
                            </w:r>
                          </w:p>
                          <w:p w14:paraId="5F3D3366">
                            <w:pPr>
                              <w:pStyle w:val="3"/>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val="en-US" w:eastAsia="zh-CN"/>
                              </w:rPr>
                            </w:pPr>
                            <w:r>
                              <w:rPr>
                                <w:rFonts w:hint="default" w:ascii="Times New Roman" w:hAnsi="Times New Roman" w:eastAsia="宋体" w:cs="Times New Roman"/>
                                <w:sz w:val="22"/>
                                <w:szCs w:val="22"/>
                                <w:lang w:val="en-US" w:eastAsia="zh-CN"/>
                              </w:rPr>
                              <w:t>本项目厂界</w:t>
                            </w:r>
                          </w:p>
                          <w:p w14:paraId="091D026A">
                            <w:pPr>
                              <w:pStyle w:val="3"/>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val="en-US" w:eastAsia="zh-CN"/>
                              </w:rPr>
                            </w:pPr>
                            <w:r>
                              <w:rPr>
                                <w:rFonts w:hint="default" w:ascii="Times New Roman" w:hAnsi="Times New Roman" w:eastAsia="宋体" w:cs="Times New Roman"/>
                                <w:sz w:val="22"/>
                                <w:szCs w:val="22"/>
                                <w:lang w:val="en-US" w:eastAsia="zh-CN"/>
                              </w:rPr>
                              <w:t>声环境评价范围</w:t>
                            </w:r>
                          </w:p>
                          <w:p w14:paraId="62A209A7">
                            <w:pPr>
                              <w:pStyle w:val="3"/>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pacing w:val="-11"/>
                                <w:sz w:val="22"/>
                                <w:szCs w:val="22"/>
                                <w:lang w:val="en-US" w:eastAsia="zh-CN"/>
                              </w:rPr>
                            </w:pPr>
                            <w:r>
                              <w:rPr>
                                <w:rFonts w:hint="default" w:ascii="Times New Roman" w:hAnsi="Times New Roman" w:eastAsia="宋体" w:cs="Times New Roman"/>
                                <w:spacing w:val="-11"/>
                                <w:sz w:val="22"/>
                                <w:szCs w:val="22"/>
                                <w:lang w:val="en-US" w:eastAsia="zh-CN"/>
                              </w:rPr>
                              <w:t>环境空气评价范围</w:t>
                            </w:r>
                          </w:p>
                          <w:p w14:paraId="79D97510">
                            <w:pPr>
                              <w:pStyle w:val="3"/>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val="en-US" w:eastAsia="zh-CN"/>
                              </w:rPr>
                            </w:pPr>
                          </w:p>
                        </w:txbxContent>
                      </wps:txbx>
                      <wps:bodyPr wrap="square" upright="1"/>
                    </wps:wsp>
                  </a:graphicData>
                </a:graphic>
              </wp:anchor>
            </w:drawing>
          </mc:Choice>
          <mc:Fallback>
            <w:pict>
              <v:shape id="文本框 86" o:spid="_x0000_s1026" o:spt="202" type="#_x0000_t202" style="position:absolute;left:0pt;margin-left:517pt;margin-top:305.7pt;height:112.35pt;width:121.8pt;z-index:251664384;mso-width-relative:page;mso-height-relative:page;" fillcolor="#FFFFFF" filled="t" stroked="t" coordsize="21600,21600" o:gfxdata="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Jv8+n2gAAAA0BAAAP&#10;AAAAAAAAAAEAIAAAACIAAABkcnMvZG93bnJldi54bWxQSwECFAAUAAAACACHTuJAgZ7zVRYCAABH&#10;BAAADgAAAAAAAAABACAAAAApAQAAZHJzL2Uyb0RvYy54bWxQSwUGAAAAAAYABgBZAQAAsQUAAAAA&#10;">
                <v:fill on="t" focussize="0,0"/>
                <v:stroke color="#000000" joinstyle="miter"/>
                <v:imagedata o:title=""/>
                <o:lock v:ext="edit" aspectratio="f"/>
                <v:textbox>
                  <w:txbxContent>
                    <w:p w14:paraId="4CC35952">
                      <w:pPr>
                        <w:keepNext w:val="0"/>
                        <w:keepLines w:val="0"/>
                        <w:pageBreakBefore w:val="0"/>
                        <w:widowControl w:val="0"/>
                        <w:kinsoku/>
                        <w:wordWrap/>
                        <w:overflowPunct/>
                        <w:topLinePunct w:val="0"/>
                        <w:autoSpaceDE/>
                        <w:autoSpaceDN/>
                        <w:bidi w:val="0"/>
                        <w:adjustRightInd/>
                        <w:snapToGrid/>
                        <w:spacing w:after="0" w:afterLines="50"/>
                        <w:jc w:val="center"/>
                        <w:textAlignment w:val="auto"/>
                        <w:rPr>
                          <w:rFonts w:hint="eastAsia"/>
                          <w:sz w:val="24"/>
                          <w:szCs w:val="32"/>
                          <w:lang w:val="en-US" w:eastAsia="zh-CN"/>
                        </w:rPr>
                      </w:pPr>
                      <w:r>
                        <w:rPr>
                          <w:rFonts w:hint="eastAsia"/>
                          <w:sz w:val="24"/>
                          <w:szCs w:val="32"/>
                          <w:lang w:val="en-US" w:eastAsia="zh-CN"/>
                        </w:rPr>
                        <w:t>图例</w:t>
                      </w:r>
                    </w:p>
                    <w:p w14:paraId="5F3D3366">
                      <w:pPr>
                        <w:pStyle w:val="3"/>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val="en-US" w:eastAsia="zh-CN"/>
                        </w:rPr>
                      </w:pPr>
                      <w:r>
                        <w:rPr>
                          <w:rFonts w:hint="default" w:ascii="Times New Roman" w:hAnsi="Times New Roman" w:eastAsia="宋体" w:cs="Times New Roman"/>
                          <w:sz w:val="22"/>
                          <w:szCs w:val="22"/>
                          <w:lang w:val="en-US" w:eastAsia="zh-CN"/>
                        </w:rPr>
                        <w:t>本项目厂界</w:t>
                      </w:r>
                    </w:p>
                    <w:p w14:paraId="091D026A">
                      <w:pPr>
                        <w:pStyle w:val="3"/>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val="en-US" w:eastAsia="zh-CN"/>
                        </w:rPr>
                      </w:pPr>
                      <w:r>
                        <w:rPr>
                          <w:rFonts w:hint="default" w:ascii="Times New Roman" w:hAnsi="Times New Roman" w:eastAsia="宋体" w:cs="Times New Roman"/>
                          <w:sz w:val="22"/>
                          <w:szCs w:val="22"/>
                          <w:lang w:val="en-US" w:eastAsia="zh-CN"/>
                        </w:rPr>
                        <w:t>声环境评价范围</w:t>
                      </w:r>
                    </w:p>
                    <w:p w14:paraId="62A209A7">
                      <w:pPr>
                        <w:pStyle w:val="3"/>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pacing w:val="-11"/>
                          <w:sz w:val="22"/>
                          <w:szCs w:val="22"/>
                          <w:lang w:val="en-US" w:eastAsia="zh-CN"/>
                        </w:rPr>
                      </w:pPr>
                      <w:r>
                        <w:rPr>
                          <w:rFonts w:hint="default" w:ascii="Times New Roman" w:hAnsi="Times New Roman" w:eastAsia="宋体" w:cs="Times New Roman"/>
                          <w:spacing w:val="-11"/>
                          <w:sz w:val="22"/>
                          <w:szCs w:val="22"/>
                          <w:lang w:val="en-US" w:eastAsia="zh-CN"/>
                        </w:rPr>
                        <w:t>环境空气评价范围</w:t>
                      </w:r>
                    </w:p>
                    <w:p w14:paraId="79D97510">
                      <w:pPr>
                        <w:pStyle w:val="3"/>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val="en-US" w:eastAsia="zh-CN"/>
                        </w:rPr>
                      </w:pP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w:drawing>
          <wp:anchor distT="0" distB="0" distL="114300" distR="114300" simplePos="0" relativeHeight="251662336" behindDoc="0" locked="0" layoutInCell="1" allowOverlap="1">
            <wp:simplePos x="0" y="0"/>
            <wp:positionH relativeFrom="column">
              <wp:posOffset>8265160</wp:posOffset>
            </wp:positionH>
            <wp:positionV relativeFrom="paragraph">
              <wp:posOffset>40005</wp:posOffset>
            </wp:positionV>
            <wp:extent cx="204470" cy="640080"/>
            <wp:effectExtent l="0" t="0" r="5080" b="7620"/>
            <wp:wrapNone/>
            <wp:docPr id="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1"/>
                    <pic:cNvPicPr>
                      <a:picLocks noChangeAspect="1"/>
                    </pic:cNvPicPr>
                  </pic:nvPicPr>
                  <pic:blipFill>
                    <a:blip r:embed="rId29"/>
                    <a:stretch>
                      <a:fillRect/>
                    </a:stretch>
                  </pic:blipFill>
                  <pic:spPr>
                    <a:xfrm>
                      <a:off x="0" y="0"/>
                      <a:ext cx="204470" cy="640080"/>
                    </a:xfrm>
                    <a:prstGeom prst="rect">
                      <a:avLst/>
                    </a:prstGeom>
                    <a:noFill/>
                    <a:ln>
                      <a:noFill/>
                    </a:ln>
                  </pic:spPr>
                </pic:pic>
              </a:graphicData>
            </a:graphic>
          </wp:anchor>
        </w:drawing>
      </w:r>
      <w:r>
        <w:rPr>
          <w:rFonts w:hint="default" w:ascii="Times New Roman" w:hAnsi="Times New Roman" w:cs="Times New Roman"/>
          <w:color w:val="000000" w:themeColor="text1"/>
          <w14:textFill>
            <w14:solidFill>
              <w14:schemeClr w14:val="tx1"/>
            </w14:solidFill>
          </w14:textFill>
        </w:rPr>
        <w:drawing>
          <wp:inline distT="0" distB="0" distL="114300" distR="114300">
            <wp:extent cx="8522970" cy="4931410"/>
            <wp:effectExtent l="0" t="0" r="11430" b="2540"/>
            <wp:docPr id="91"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90"/>
                    <pic:cNvPicPr>
                      <a:picLocks noChangeAspect="1"/>
                    </pic:cNvPicPr>
                  </pic:nvPicPr>
                  <pic:blipFill>
                    <a:blip r:embed="rId32"/>
                    <a:stretch>
                      <a:fillRect/>
                    </a:stretch>
                  </pic:blipFill>
                  <pic:spPr>
                    <a:xfrm>
                      <a:off x="0" y="0"/>
                      <a:ext cx="8522970" cy="4931410"/>
                    </a:xfrm>
                    <a:prstGeom prst="rect">
                      <a:avLst/>
                    </a:prstGeom>
                    <a:noFill/>
                    <a:ln>
                      <a:noFill/>
                    </a:ln>
                  </pic:spPr>
                </pic:pic>
              </a:graphicData>
            </a:graphic>
          </wp:inline>
        </w:drawing>
      </w:r>
    </w:p>
    <w:p w14:paraId="1C51327F">
      <w:pPr>
        <w:pStyle w:val="2"/>
        <w:bidi w:val="0"/>
        <w:jc w:val="cente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26" w:name="_Toc30482"/>
      <w:r>
        <w:rPr>
          <w:rFonts w:hint="default" w:ascii="Times New Roman" w:hAnsi="Times New Roman" w:cs="Times New Roman"/>
          <w:color w:val="000000" w:themeColor="text1"/>
          <w:sz w:val="24"/>
          <w:szCs w:val="24"/>
          <w:highlight w:val="none"/>
          <w:lang w:eastAsia="zh-CN"/>
          <w14:textFill>
            <w14:solidFill>
              <w14:schemeClr w14:val="tx1"/>
            </w14:solidFill>
          </w14:textFill>
        </w:rPr>
        <w:t>附图</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3</w:t>
      </w:r>
      <w:r>
        <w:rPr>
          <w:rFonts w:hint="eastAsia" w:cs="Times New Roman"/>
          <w:color w:val="000000" w:themeColor="text1"/>
          <w:sz w:val="24"/>
          <w:szCs w:val="24"/>
          <w:highlight w:val="none"/>
          <w:lang w:val="en-US" w:eastAsia="zh-CN"/>
          <w14:textFill>
            <w14:solidFill>
              <w14:schemeClr w14:val="tx1"/>
            </w14:solidFill>
          </w14:textFill>
        </w:rPr>
        <w:t>评价范围</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标图</w:t>
      </w:r>
      <w:bookmarkEnd w:id="26"/>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0"/>
        <w:gridCol w:w="4530"/>
      </w:tblGrid>
      <w:tr w14:paraId="48556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3" w:hRule="atLeast"/>
        </w:trPr>
        <w:tc>
          <w:tcPr>
            <w:tcW w:w="4530" w:type="dxa"/>
            <w:tcBorders>
              <w:top w:val="single" w:color="auto" w:sz="4" w:space="0"/>
              <w:left w:val="single" w:color="auto" w:sz="4" w:space="0"/>
              <w:bottom w:val="single" w:color="auto" w:sz="4" w:space="0"/>
              <w:right w:val="single" w:color="auto" w:sz="4" w:space="0"/>
            </w:tcBorders>
            <w:noWrap w:val="0"/>
            <w:vAlign w:val="center"/>
          </w:tcPr>
          <w:p w14:paraId="095D409F">
            <w:pPr>
              <w:jc w:val="center"/>
              <w:rPr>
                <w:rFonts w:hint="default" w:ascii="Times New Roman" w:hAnsi="Times New Roman" w:cs="Times New Roman"/>
                <w:b/>
                <w:bCs/>
                <w:color w:val="000000" w:themeColor="text1"/>
                <w:spacing w:val="0"/>
                <w:highlight w:val="none"/>
                <w:vertAlign w:val="baseline"/>
                <w:lang w:val="en-US" w:eastAsia="zh-CN"/>
                <w14:textFill>
                  <w14:solidFill>
                    <w14:schemeClr w14:val="tx1"/>
                  </w14:solidFill>
                </w14:textFill>
              </w:rPr>
            </w:pPr>
            <w:r>
              <w:rPr>
                <w:rFonts w:hint="default" w:ascii="Times New Roman" w:hAnsi="Times New Roman" w:cs="Times New Roman"/>
                <w:b/>
                <w:bCs/>
                <w:color w:val="000000" w:themeColor="text1"/>
                <w:spacing w:val="0"/>
                <w:highlight w:val="none"/>
                <w:vertAlign w:val="baseline"/>
                <w:lang w:val="en-US" w:eastAsia="zh-CN"/>
                <w14:textFill>
                  <w14:solidFill>
                    <w14:schemeClr w14:val="tx1"/>
                  </w14:solidFill>
                </w14:textFill>
              </w:rPr>
              <w:drawing>
                <wp:inline distT="0" distB="0" distL="114300" distR="114300">
                  <wp:extent cx="3606800" cy="2705100"/>
                  <wp:effectExtent l="0" t="0" r="0" b="12700"/>
                  <wp:docPr id="103" name="图片 103" descr="725112f383ea252621324cc8ba6350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725112f383ea252621324cc8ba63505c"/>
                          <pic:cNvPicPr>
                            <a:picLocks noChangeAspect="1"/>
                          </pic:cNvPicPr>
                        </pic:nvPicPr>
                        <pic:blipFill>
                          <a:blip r:embed="rId33"/>
                          <a:stretch>
                            <a:fillRect/>
                          </a:stretch>
                        </pic:blipFill>
                        <pic:spPr>
                          <a:xfrm rot="5400000">
                            <a:off x="0" y="0"/>
                            <a:ext cx="3606800" cy="2705100"/>
                          </a:xfrm>
                          <a:prstGeom prst="rect">
                            <a:avLst/>
                          </a:prstGeom>
                        </pic:spPr>
                      </pic:pic>
                    </a:graphicData>
                  </a:graphic>
                </wp:inline>
              </w:drawing>
            </w:r>
          </w:p>
        </w:tc>
        <w:tc>
          <w:tcPr>
            <w:tcW w:w="4530" w:type="dxa"/>
            <w:tcBorders>
              <w:top w:val="single" w:color="auto" w:sz="4" w:space="0"/>
              <w:left w:val="single" w:color="auto" w:sz="4" w:space="0"/>
              <w:bottom w:val="single" w:color="auto" w:sz="4" w:space="0"/>
              <w:right w:val="single" w:color="auto" w:sz="4" w:space="0"/>
            </w:tcBorders>
            <w:noWrap w:val="0"/>
            <w:vAlign w:val="center"/>
          </w:tcPr>
          <w:p w14:paraId="1569A7AF">
            <w:pPr>
              <w:jc w:val="center"/>
              <w:rPr>
                <w:rFonts w:hint="default" w:ascii="Times New Roman" w:hAnsi="Times New Roman" w:cs="Times New Roman"/>
                <w:b/>
                <w:bCs/>
                <w:color w:val="000000" w:themeColor="text1"/>
                <w:spacing w:val="0"/>
                <w:highlight w:val="none"/>
                <w:vertAlign w:val="baseline"/>
                <w:lang w:val="en-US" w:eastAsia="zh-CN"/>
                <w14:textFill>
                  <w14:solidFill>
                    <w14:schemeClr w14:val="tx1"/>
                  </w14:solidFill>
                </w14:textFill>
              </w:rPr>
            </w:pPr>
            <w:r>
              <w:rPr>
                <w:rFonts w:hint="default" w:ascii="Times New Roman" w:hAnsi="Times New Roman" w:cs="Times New Roman"/>
                <w:b/>
                <w:bCs/>
                <w:color w:val="000000" w:themeColor="text1"/>
                <w:spacing w:val="0"/>
                <w:highlight w:val="none"/>
                <w:vertAlign w:val="baseline"/>
                <w:lang w:val="en-US" w:eastAsia="zh-CN"/>
                <w14:textFill>
                  <w14:solidFill>
                    <w14:schemeClr w14:val="tx1"/>
                  </w14:solidFill>
                </w14:textFill>
              </w:rPr>
              <w:drawing>
                <wp:inline distT="0" distB="0" distL="114300" distR="114300">
                  <wp:extent cx="3606800" cy="2705100"/>
                  <wp:effectExtent l="0" t="0" r="0" b="12700"/>
                  <wp:docPr id="101" name="图片 101" descr="c4ab04048983f241b8551e3e841ddf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c4ab04048983f241b8551e3e841ddfac"/>
                          <pic:cNvPicPr>
                            <a:picLocks noChangeAspect="1"/>
                          </pic:cNvPicPr>
                        </pic:nvPicPr>
                        <pic:blipFill>
                          <a:blip r:embed="rId34"/>
                          <a:stretch>
                            <a:fillRect/>
                          </a:stretch>
                        </pic:blipFill>
                        <pic:spPr>
                          <a:xfrm rot="5400000">
                            <a:off x="0" y="0"/>
                            <a:ext cx="3606800" cy="2705100"/>
                          </a:xfrm>
                          <a:prstGeom prst="rect">
                            <a:avLst/>
                          </a:prstGeom>
                        </pic:spPr>
                      </pic:pic>
                    </a:graphicData>
                  </a:graphic>
                </wp:inline>
              </w:drawing>
            </w:r>
          </w:p>
        </w:tc>
      </w:tr>
      <w:tr w14:paraId="2C4E1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Borders>
              <w:top w:val="single" w:color="auto" w:sz="4" w:space="0"/>
              <w:left w:val="single" w:color="auto" w:sz="4" w:space="0"/>
              <w:bottom w:val="single" w:color="auto" w:sz="4" w:space="0"/>
              <w:right w:val="single" w:color="auto" w:sz="4" w:space="0"/>
            </w:tcBorders>
            <w:noWrap w:val="0"/>
            <w:vAlign w:val="center"/>
          </w:tcPr>
          <w:p w14:paraId="4EE36FBF">
            <w:pPr>
              <w:pStyle w:val="12"/>
              <w:keepNext w:val="0"/>
              <w:keepLines w:val="0"/>
              <w:pageBreakBefore w:val="0"/>
              <w:widowControl/>
              <w:kinsoku/>
              <w:wordWrap/>
              <w:overflowPunct/>
              <w:topLinePunct w:val="0"/>
              <w:autoSpaceDE/>
              <w:autoSpaceDN/>
              <w:bidi w:val="0"/>
              <w:adjustRightInd/>
              <w:snapToGrid w:val="0"/>
              <w:spacing w:before="0" w:after="0" w:line="240" w:lineRule="auto"/>
              <w:ind w:left="-105" w:leftChars="-50" w:right="0" w:firstLine="0" w:firstLineChars="0"/>
              <w:jc w:val="center"/>
              <w:textAlignment w:val="auto"/>
              <w:rPr>
                <w:rFonts w:hint="default" w:ascii="Times New Roman" w:hAnsi="Times New Roman" w:cs="Times New Roman"/>
                <w:b/>
                <w:bCs/>
                <w:color w:val="000000" w:themeColor="text1"/>
                <w:spacing w:val="0"/>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4"/>
                <w:highlight w:val="none"/>
                <w:shd w:val="clear" w:color="auto" w:fill="auto"/>
                <w14:textFill>
                  <w14:solidFill>
                    <w14:schemeClr w14:val="tx1"/>
                  </w14:solidFill>
                </w14:textFill>
              </w:rPr>
              <w:t>本项目东侧</w:t>
            </w:r>
            <w:r>
              <w:rPr>
                <w:rFonts w:hint="default" w:ascii="Times New Roman" w:hAnsi="Times New Roman" w:cs="Times New Roman"/>
                <w:color w:val="000000" w:themeColor="text1"/>
                <w:sz w:val="24"/>
                <w:highlight w:val="none"/>
                <w:shd w:val="clear" w:color="auto" w:fill="auto"/>
                <w:lang w:eastAsia="zh-CN"/>
                <w14:textFill>
                  <w14:solidFill>
                    <w14:schemeClr w14:val="tx1"/>
                  </w14:solidFill>
                </w14:textFill>
              </w:rPr>
              <w:t>（</w:t>
            </w:r>
            <w:r>
              <w:rPr>
                <w:rFonts w:hint="default" w:ascii="Times New Roman" w:hAnsi="Times New Roman" w:cs="Times New Roman"/>
                <w:color w:val="000000" w:themeColor="text1"/>
                <w:sz w:val="24"/>
                <w:highlight w:val="none"/>
                <w:shd w:val="clear" w:color="auto" w:fill="auto"/>
                <w:lang w:val="en-US" w:eastAsia="zh-CN"/>
                <w14:textFill>
                  <w14:solidFill>
                    <w14:schemeClr w14:val="tx1"/>
                  </w14:solidFill>
                </w14:textFill>
              </w:rPr>
              <w:t>空地</w:t>
            </w:r>
            <w:r>
              <w:rPr>
                <w:rFonts w:hint="default" w:ascii="Times New Roman" w:hAnsi="Times New Roman" w:cs="Times New Roman"/>
                <w:color w:val="000000" w:themeColor="text1"/>
                <w:sz w:val="24"/>
                <w:highlight w:val="none"/>
                <w:shd w:val="clear" w:color="auto" w:fill="auto"/>
                <w:lang w:eastAsia="zh-CN"/>
                <w14:textFill>
                  <w14:solidFill>
                    <w14:schemeClr w14:val="tx1"/>
                  </w14:solidFill>
                </w14:textFill>
              </w:rPr>
              <w:t>）</w:t>
            </w:r>
          </w:p>
        </w:tc>
        <w:tc>
          <w:tcPr>
            <w:tcW w:w="4530" w:type="dxa"/>
            <w:tcBorders>
              <w:top w:val="single" w:color="auto" w:sz="4" w:space="0"/>
              <w:left w:val="single" w:color="auto" w:sz="4" w:space="0"/>
              <w:bottom w:val="single" w:color="auto" w:sz="4" w:space="0"/>
              <w:right w:val="single" w:color="auto" w:sz="4" w:space="0"/>
            </w:tcBorders>
            <w:noWrap w:val="0"/>
            <w:vAlign w:val="center"/>
          </w:tcPr>
          <w:p w14:paraId="2067EDA3">
            <w:pPr>
              <w:jc w:val="center"/>
              <w:rPr>
                <w:rFonts w:hint="default" w:ascii="Times New Roman" w:hAnsi="Times New Roman" w:cs="Times New Roman"/>
                <w:b/>
                <w:bCs/>
                <w:color w:val="000000" w:themeColor="text1"/>
                <w:spacing w:val="0"/>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4"/>
                <w:highlight w:val="none"/>
                <w:shd w:val="clear" w:color="auto" w:fill="auto"/>
                <w14:textFill>
                  <w14:solidFill>
                    <w14:schemeClr w14:val="tx1"/>
                  </w14:solidFill>
                </w14:textFill>
              </w:rPr>
              <w:t>本项目</w:t>
            </w:r>
            <w:r>
              <w:rPr>
                <w:rFonts w:hint="default" w:ascii="Times New Roman" w:hAnsi="Times New Roman" w:cs="Times New Roman"/>
                <w:color w:val="000000" w:themeColor="text1"/>
                <w:sz w:val="24"/>
                <w:highlight w:val="none"/>
                <w:shd w:val="clear" w:color="auto" w:fill="auto"/>
                <w:lang w:val="en-US" w:eastAsia="zh-CN"/>
                <w14:textFill>
                  <w14:solidFill>
                    <w14:schemeClr w14:val="tx1"/>
                  </w14:solidFill>
                </w14:textFill>
              </w:rPr>
              <w:t>南</w:t>
            </w:r>
            <w:r>
              <w:rPr>
                <w:rFonts w:hint="default" w:ascii="Times New Roman" w:hAnsi="Times New Roman" w:cs="Times New Roman"/>
                <w:color w:val="000000" w:themeColor="text1"/>
                <w:sz w:val="24"/>
                <w:highlight w:val="none"/>
                <w:shd w:val="clear" w:color="auto" w:fill="auto"/>
                <w14:textFill>
                  <w14:solidFill>
                    <w14:schemeClr w14:val="tx1"/>
                  </w14:solidFill>
                </w14:textFill>
              </w:rPr>
              <w:t>侧</w:t>
            </w:r>
            <w:r>
              <w:rPr>
                <w:rFonts w:hint="default" w:ascii="Times New Roman" w:hAnsi="Times New Roman" w:cs="Times New Roman"/>
                <w:color w:val="000000" w:themeColor="text1"/>
                <w:sz w:val="24"/>
                <w:highlight w:val="none"/>
                <w:shd w:val="clear" w:color="auto" w:fill="auto"/>
                <w:lang w:eastAsia="zh-CN"/>
                <w14:textFill>
                  <w14:solidFill>
                    <w14:schemeClr w14:val="tx1"/>
                  </w14:solidFill>
                </w14:textFill>
              </w:rPr>
              <w:t>（</w:t>
            </w:r>
            <w:r>
              <w:rPr>
                <w:rFonts w:hint="default" w:ascii="Times New Roman" w:hAnsi="Times New Roman" w:cs="Times New Roman"/>
                <w:color w:val="000000" w:themeColor="text1"/>
                <w:sz w:val="24"/>
                <w:highlight w:val="none"/>
                <w:shd w:val="clear" w:color="auto" w:fill="auto"/>
                <w:lang w:val="en-US" w:eastAsia="zh-CN"/>
                <w14:textFill>
                  <w14:solidFill>
                    <w14:schemeClr w14:val="tx1"/>
                  </w14:solidFill>
                </w14:textFill>
              </w:rPr>
              <w:t>空地）</w:t>
            </w:r>
          </w:p>
        </w:tc>
      </w:tr>
      <w:tr w14:paraId="33436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2" w:hRule="atLeast"/>
        </w:trPr>
        <w:tc>
          <w:tcPr>
            <w:tcW w:w="4530" w:type="dxa"/>
            <w:tcBorders>
              <w:top w:val="single" w:color="auto" w:sz="4" w:space="0"/>
              <w:left w:val="single" w:color="auto" w:sz="4" w:space="0"/>
              <w:bottom w:val="single" w:color="auto" w:sz="4" w:space="0"/>
              <w:right w:val="single" w:color="auto" w:sz="4" w:space="0"/>
            </w:tcBorders>
            <w:noWrap w:val="0"/>
            <w:vAlign w:val="center"/>
          </w:tcPr>
          <w:p w14:paraId="5D3693A2">
            <w:pPr>
              <w:jc w:val="center"/>
              <w:rPr>
                <w:rFonts w:hint="default" w:ascii="Times New Roman" w:hAnsi="Times New Roman" w:cs="Times New Roman"/>
                <w:b/>
                <w:bCs/>
                <w:color w:val="000000" w:themeColor="text1"/>
                <w:spacing w:val="0"/>
                <w:highlight w:val="none"/>
                <w:vertAlign w:val="baseline"/>
                <w:lang w:val="en-US" w:eastAsia="zh-CN"/>
                <w14:textFill>
                  <w14:solidFill>
                    <w14:schemeClr w14:val="tx1"/>
                  </w14:solidFill>
                </w14:textFill>
              </w:rPr>
            </w:pPr>
            <w:r>
              <w:rPr>
                <w:rFonts w:hint="default" w:ascii="Times New Roman" w:hAnsi="Times New Roman" w:cs="Times New Roman"/>
                <w:b/>
                <w:bCs/>
                <w:color w:val="000000" w:themeColor="text1"/>
                <w:spacing w:val="0"/>
                <w:highlight w:val="none"/>
                <w:vertAlign w:val="baseline"/>
                <w:lang w:val="en-US" w:eastAsia="zh-CN"/>
                <w14:textFill>
                  <w14:solidFill>
                    <w14:schemeClr w14:val="tx1"/>
                  </w14:solidFill>
                </w14:textFill>
              </w:rPr>
              <w:drawing>
                <wp:inline distT="0" distB="0" distL="114300" distR="114300">
                  <wp:extent cx="3606800" cy="2705100"/>
                  <wp:effectExtent l="0" t="0" r="0" b="12700"/>
                  <wp:docPr id="104" name="图片 104" descr="c8a87d98454d01730fb9131cd4bf5a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c8a87d98454d01730fb9131cd4bf5a78"/>
                          <pic:cNvPicPr>
                            <a:picLocks noChangeAspect="1"/>
                          </pic:cNvPicPr>
                        </pic:nvPicPr>
                        <pic:blipFill>
                          <a:blip r:embed="rId35"/>
                          <a:stretch>
                            <a:fillRect/>
                          </a:stretch>
                        </pic:blipFill>
                        <pic:spPr>
                          <a:xfrm rot="5400000">
                            <a:off x="0" y="0"/>
                            <a:ext cx="3606800" cy="2705100"/>
                          </a:xfrm>
                          <a:prstGeom prst="rect">
                            <a:avLst/>
                          </a:prstGeom>
                        </pic:spPr>
                      </pic:pic>
                    </a:graphicData>
                  </a:graphic>
                </wp:inline>
              </w:drawing>
            </w:r>
          </w:p>
        </w:tc>
        <w:tc>
          <w:tcPr>
            <w:tcW w:w="4530" w:type="dxa"/>
            <w:tcBorders>
              <w:top w:val="single" w:color="auto" w:sz="4" w:space="0"/>
              <w:left w:val="single" w:color="auto" w:sz="4" w:space="0"/>
              <w:bottom w:val="single" w:color="auto" w:sz="4" w:space="0"/>
              <w:right w:val="single" w:color="auto" w:sz="4" w:space="0"/>
            </w:tcBorders>
            <w:noWrap w:val="0"/>
            <w:vAlign w:val="center"/>
          </w:tcPr>
          <w:p w14:paraId="37F75114">
            <w:pPr>
              <w:jc w:val="center"/>
              <w:rPr>
                <w:rFonts w:hint="default" w:ascii="Times New Roman" w:hAnsi="Times New Roman" w:cs="Times New Roman"/>
                <w:b/>
                <w:bCs/>
                <w:color w:val="000000" w:themeColor="text1"/>
                <w:spacing w:val="0"/>
                <w:highlight w:val="none"/>
                <w:vertAlign w:val="baseline"/>
                <w:lang w:val="en-US" w:eastAsia="zh-CN"/>
                <w14:textFill>
                  <w14:solidFill>
                    <w14:schemeClr w14:val="tx1"/>
                  </w14:solidFill>
                </w14:textFill>
              </w:rPr>
            </w:pPr>
            <w:r>
              <w:rPr>
                <w:rFonts w:hint="default" w:ascii="Times New Roman" w:hAnsi="Times New Roman" w:cs="Times New Roman"/>
                <w:b/>
                <w:bCs/>
                <w:color w:val="000000" w:themeColor="text1"/>
                <w:spacing w:val="0"/>
                <w:highlight w:val="none"/>
                <w:vertAlign w:val="baseline"/>
                <w:lang w:val="en-US" w:eastAsia="zh-CN"/>
                <w14:textFill>
                  <w14:solidFill>
                    <w14:schemeClr w14:val="tx1"/>
                  </w14:solidFill>
                </w14:textFill>
              </w:rPr>
              <w:drawing>
                <wp:inline distT="0" distB="0" distL="114300" distR="114300">
                  <wp:extent cx="3606800" cy="2705100"/>
                  <wp:effectExtent l="0" t="0" r="0" b="12700"/>
                  <wp:docPr id="102" name="图片 102" descr="ca7d972c6fa8115b1dbddd585d74b4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ca7d972c6fa8115b1dbddd585d74b48d"/>
                          <pic:cNvPicPr>
                            <a:picLocks noChangeAspect="1"/>
                          </pic:cNvPicPr>
                        </pic:nvPicPr>
                        <pic:blipFill>
                          <a:blip r:embed="rId36"/>
                          <a:stretch>
                            <a:fillRect/>
                          </a:stretch>
                        </pic:blipFill>
                        <pic:spPr>
                          <a:xfrm rot="5400000">
                            <a:off x="0" y="0"/>
                            <a:ext cx="3606800" cy="2705100"/>
                          </a:xfrm>
                          <a:prstGeom prst="rect">
                            <a:avLst/>
                          </a:prstGeom>
                        </pic:spPr>
                      </pic:pic>
                    </a:graphicData>
                  </a:graphic>
                </wp:inline>
              </w:drawing>
            </w:r>
          </w:p>
        </w:tc>
      </w:tr>
      <w:tr w14:paraId="29BF8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Borders>
              <w:top w:val="single" w:color="auto" w:sz="4" w:space="0"/>
              <w:left w:val="single" w:color="auto" w:sz="4" w:space="0"/>
              <w:bottom w:val="single" w:color="auto" w:sz="4" w:space="0"/>
              <w:right w:val="single" w:color="auto" w:sz="4" w:space="0"/>
            </w:tcBorders>
            <w:noWrap w:val="0"/>
            <w:vAlign w:val="center"/>
          </w:tcPr>
          <w:p w14:paraId="428493F6">
            <w:pPr>
              <w:jc w:val="center"/>
              <w:rPr>
                <w:rFonts w:hint="default" w:ascii="Times New Roman" w:hAnsi="Times New Roman" w:cs="Times New Roman"/>
                <w:b/>
                <w:bCs/>
                <w:color w:val="000000" w:themeColor="text1"/>
                <w:spacing w:val="0"/>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4"/>
                <w:highlight w:val="none"/>
                <w:shd w:val="clear" w:color="auto" w:fill="auto"/>
                <w14:textFill>
                  <w14:solidFill>
                    <w14:schemeClr w14:val="tx1"/>
                  </w14:solidFill>
                </w14:textFill>
              </w:rPr>
              <w:t>本项目</w:t>
            </w:r>
            <w:r>
              <w:rPr>
                <w:rFonts w:hint="default" w:ascii="Times New Roman" w:hAnsi="Times New Roman" w:cs="Times New Roman"/>
                <w:color w:val="000000" w:themeColor="text1"/>
                <w:sz w:val="24"/>
                <w:highlight w:val="none"/>
                <w:shd w:val="clear" w:color="auto" w:fill="auto"/>
                <w:lang w:val="en-US" w:eastAsia="zh-CN"/>
                <w14:textFill>
                  <w14:solidFill>
                    <w14:schemeClr w14:val="tx1"/>
                  </w14:solidFill>
                </w14:textFill>
              </w:rPr>
              <w:t>西</w:t>
            </w:r>
            <w:r>
              <w:rPr>
                <w:rFonts w:hint="default" w:ascii="Times New Roman" w:hAnsi="Times New Roman" w:cs="Times New Roman"/>
                <w:color w:val="000000" w:themeColor="text1"/>
                <w:sz w:val="24"/>
                <w:highlight w:val="none"/>
                <w:shd w:val="clear" w:color="auto" w:fill="auto"/>
                <w14:textFill>
                  <w14:solidFill>
                    <w14:schemeClr w14:val="tx1"/>
                  </w14:solidFill>
                </w14:textFill>
              </w:rPr>
              <w:t>侧</w:t>
            </w:r>
            <w:r>
              <w:rPr>
                <w:rFonts w:hint="default" w:ascii="Times New Roman" w:hAnsi="Times New Roman" w:cs="Times New Roman"/>
                <w:color w:val="000000" w:themeColor="text1"/>
                <w:sz w:val="24"/>
                <w:highlight w:val="none"/>
                <w:shd w:val="clear" w:color="auto" w:fill="auto"/>
                <w:lang w:eastAsia="zh-CN"/>
                <w14:textFill>
                  <w14:solidFill>
                    <w14:schemeClr w14:val="tx1"/>
                  </w14:solidFill>
                </w14:textFill>
              </w:rPr>
              <w:t>（</w:t>
            </w:r>
            <w:r>
              <w:rPr>
                <w:rFonts w:hint="default" w:ascii="Times New Roman" w:hAnsi="Times New Roman" w:cs="Times New Roman"/>
                <w:color w:val="000000" w:themeColor="text1"/>
                <w:sz w:val="24"/>
                <w:highlight w:val="none"/>
                <w:shd w:val="clear" w:color="auto" w:fill="auto"/>
                <w:lang w:val="en-US" w:eastAsia="zh-CN"/>
                <w14:textFill>
                  <w14:solidFill>
                    <w14:schemeClr w14:val="tx1"/>
                  </w14:solidFill>
                </w14:textFill>
              </w:rPr>
              <w:t>锅炉厂</w:t>
            </w:r>
            <w:r>
              <w:rPr>
                <w:rFonts w:hint="default" w:ascii="Times New Roman" w:hAnsi="Times New Roman" w:cs="Times New Roman"/>
                <w:color w:val="000000" w:themeColor="text1"/>
                <w:sz w:val="24"/>
                <w:highlight w:val="none"/>
                <w:shd w:val="clear" w:color="auto" w:fill="auto"/>
                <w:lang w:eastAsia="zh-CN"/>
                <w14:textFill>
                  <w14:solidFill>
                    <w14:schemeClr w14:val="tx1"/>
                  </w14:solidFill>
                </w14:textFill>
              </w:rPr>
              <w:t>）</w:t>
            </w:r>
          </w:p>
        </w:tc>
        <w:tc>
          <w:tcPr>
            <w:tcW w:w="4530" w:type="dxa"/>
            <w:tcBorders>
              <w:top w:val="single" w:color="auto" w:sz="4" w:space="0"/>
              <w:left w:val="single" w:color="auto" w:sz="4" w:space="0"/>
              <w:bottom w:val="single" w:color="auto" w:sz="4" w:space="0"/>
              <w:right w:val="single" w:color="auto" w:sz="4" w:space="0"/>
            </w:tcBorders>
            <w:noWrap w:val="0"/>
            <w:vAlign w:val="center"/>
          </w:tcPr>
          <w:p w14:paraId="42649CAC">
            <w:pPr>
              <w:jc w:val="center"/>
              <w:rPr>
                <w:rFonts w:hint="default" w:ascii="Times New Roman" w:hAnsi="Times New Roman" w:cs="Times New Roman"/>
                <w:b/>
                <w:bCs/>
                <w:color w:val="000000" w:themeColor="text1"/>
                <w:spacing w:val="0"/>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4"/>
                <w:highlight w:val="none"/>
                <w:shd w:val="clear" w:color="auto" w:fill="auto"/>
                <w14:textFill>
                  <w14:solidFill>
                    <w14:schemeClr w14:val="tx1"/>
                  </w14:solidFill>
                </w14:textFill>
              </w:rPr>
              <w:t>本项目北侧</w:t>
            </w:r>
            <w:r>
              <w:rPr>
                <w:rFonts w:hint="default" w:ascii="Times New Roman" w:hAnsi="Times New Roman" w:cs="Times New Roman"/>
                <w:color w:val="000000" w:themeColor="text1"/>
                <w:sz w:val="24"/>
                <w:highlight w:val="none"/>
                <w:shd w:val="clear" w:color="auto" w:fill="auto"/>
                <w:lang w:eastAsia="zh-CN"/>
                <w14:textFill>
                  <w14:solidFill>
                    <w14:schemeClr w14:val="tx1"/>
                  </w14:solidFill>
                </w14:textFill>
              </w:rPr>
              <w:t>（</w:t>
            </w:r>
            <w:r>
              <w:rPr>
                <w:rFonts w:hint="default" w:ascii="Times New Roman" w:hAnsi="Times New Roman" w:cs="Times New Roman"/>
                <w:color w:val="000000" w:themeColor="text1"/>
                <w:sz w:val="24"/>
                <w:highlight w:val="none"/>
                <w:shd w:val="clear" w:color="auto" w:fill="auto"/>
                <w:lang w:val="en-US" w:eastAsia="zh-CN"/>
                <w14:textFill>
                  <w14:solidFill>
                    <w14:schemeClr w14:val="tx1"/>
                  </w14:solidFill>
                </w14:textFill>
              </w:rPr>
              <w:t>空地</w:t>
            </w:r>
            <w:r>
              <w:rPr>
                <w:rFonts w:hint="default" w:ascii="Times New Roman" w:hAnsi="Times New Roman" w:cs="Times New Roman"/>
                <w:color w:val="000000" w:themeColor="text1"/>
                <w:sz w:val="24"/>
                <w:highlight w:val="none"/>
                <w:shd w:val="clear" w:color="auto" w:fill="auto"/>
                <w:lang w:eastAsia="zh-CN"/>
                <w14:textFill>
                  <w14:solidFill>
                    <w14:schemeClr w14:val="tx1"/>
                  </w14:solidFill>
                </w14:textFill>
              </w:rPr>
              <w:t>）</w:t>
            </w:r>
          </w:p>
        </w:tc>
      </w:tr>
    </w:tbl>
    <w:p w14:paraId="66E9B609">
      <w:pPr>
        <w:pStyle w:val="2"/>
        <w:bidi w:val="0"/>
        <w:jc w:val="center"/>
        <w:rPr>
          <w:rFonts w:hint="default" w:ascii="Times New Roman" w:hAnsi="Times New Roman" w:cs="Times New Roman"/>
          <w:color w:val="000000" w:themeColor="text1"/>
          <w:sz w:val="24"/>
          <w:szCs w:val="24"/>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27" w:name="_Toc29560"/>
      <w:r>
        <w:rPr>
          <w:rFonts w:hint="default" w:ascii="Times New Roman" w:hAnsi="Times New Roman" w:cs="Times New Roman"/>
          <w:color w:val="000000" w:themeColor="text1"/>
          <w:sz w:val="24"/>
          <w:szCs w:val="24"/>
          <w:highlight w:val="none"/>
          <w:lang w:eastAsia="zh-CN"/>
          <w14:textFill>
            <w14:solidFill>
              <w14:schemeClr w14:val="tx1"/>
            </w14:solidFill>
          </w14:textFill>
        </w:rPr>
        <w:t>附图</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4周围环境图</w:t>
      </w:r>
      <w:bookmarkEnd w:id="27"/>
    </w:p>
    <w:p w14:paraId="4EAF3FE4">
      <w:pPr>
        <w:pStyle w:val="2"/>
        <w:bidi w:val="0"/>
        <w:ind w:left="0" w:leftChars="0" w:firstLine="0" w:firstLineChars="0"/>
        <w:jc w:val="left"/>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bookmarkStart w:id="28" w:name="_Toc19205"/>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附件1营业执照</w:t>
      </w:r>
      <w:bookmarkEnd w:id="28"/>
    </w:p>
    <w:p w14:paraId="3A2150CB">
      <w:pPr>
        <w:jc w:val="center"/>
        <w:rPr>
          <w:rFonts w:hint="default" w:ascii="Times New Roman" w:hAnsi="Times New Roman" w:eastAsia="宋体" w:cs="Times New Roman"/>
          <w:color w:val="000000" w:themeColor="text1"/>
          <w:sz w:val="24"/>
          <w:highlight w:val="none"/>
          <w:lang w:eastAsia="zh-CN"/>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7121525" cy="5051425"/>
            <wp:effectExtent l="0" t="0" r="3175" b="15875"/>
            <wp:docPr id="93"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92"/>
                    <pic:cNvPicPr>
                      <a:picLocks noChangeAspect="1"/>
                    </pic:cNvPicPr>
                  </pic:nvPicPr>
                  <pic:blipFill>
                    <a:blip r:embed="rId37"/>
                    <a:stretch>
                      <a:fillRect/>
                    </a:stretch>
                  </pic:blipFill>
                  <pic:spPr>
                    <a:xfrm>
                      <a:off x="0" y="0"/>
                      <a:ext cx="7121525" cy="5051425"/>
                    </a:xfrm>
                    <a:prstGeom prst="rect">
                      <a:avLst/>
                    </a:prstGeom>
                    <a:noFill/>
                    <a:ln>
                      <a:noFill/>
                    </a:ln>
                  </pic:spPr>
                </pic:pic>
              </a:graphicData>
            </a:graphic>
          </wp:inline>
        </w:drawing>
      </w:r>
    </w:p>
    <w:p w14:paraId="5BBB92C8">
      <w:pPr>
        <w:pStyle w:val="2"/>
        <w:bidi w:val="0"/>
        <w:jc w:val="both"/>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bookmarkStart w:id="29" w:name="_Toc18064"/>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附件2不动产证书</w:t>
      </w:r>
      <w:bookmarkEnd w:id="29"/>
    </w:p>
    <w:p w14:paraId="7ADABFDA">
      <w:pP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drawing>
          <wp:inline distT="0" distB="0" distL="114300" distR="114300">
            <wp:extent cx="5603875" cy="7474585"/>
            <wp:effectExtent l="0" t="0" r="15875" b="12065"/>
            <wp:docPr id="94" name="图片 94" descr="a61fbd0e03c5e17965c71ff6544418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a61fbd0e03c5e17965c71ff6544418ea"/>
                    <pic:cNvPicPr>
                      <a:picLocks noChangeAspect="1"/>
                    </pic:cNvPicPr>
                  </pic:nvPicPr>
                  <pic:blipFill>
                    <a:blip r:embed="rId38"/>
                    <a:stretch>
                      <a:fillRect/>
                    </a:stretch>
                  </pic:blipFill>
                  <pic:spPr>
                    <a:xfrm>
                      <a:off x="0" y="0"/>
                      <a:ext cx="5603875" cy="7474585"/>
                    </a:xfrm>
                    <a:prstGeom prst="rect">
                      <a:avLst/>
                    </a:prstGeom>
                  </pic:spPr>
                </pic:pic>
              </a:graphicData>
            </a:graphic>
          </wp:inline>
        </w:drawing>
      </w:r>
    </w:p>
    <w:p w14:paraId="56C0CF9E">
      <w:pPr>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p>
    <w:p w14:paraId="4478A0C8">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5603875" cy="7474585"/>
            <wp:effectExtent l="0" t="0" r="15875" b="12065"/>
            <wp:docPr id="95" name="图片 95" descr="e100ef828605951ca7bbe2348a25a8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e100ef828605951ca7bbe2348a25a8a4"/>
                    <pic:cNvPicPr>
                      <a:picLocks noChangeAspect="1"/>
                    </pic:cNvPicPr>
                  </pic:nvPicPr>
                  <pic:blipFill>
                    <a:blip r:embed="rId39"/>
                    <a:stretch>
                      <a:fillRect/>
                    </a:stretch>
                  </pic:blipFill>
                  <pic:spPr>
                    <a:xfrm>
                      <a:off x="0" y="0"/>
                      <a:ext cx="5603875" cy="7474585"/>
                    </a:xfrm>
                    <a:prstGeom prst="rect">
                      <a:avLst/>
                    </a:prstGeom>
                  </pic:spPr>
                </pic:pic>
              </a:graphicData>
            </a:graphic>
          </wp:inline>
        </w:drawing>
      </w: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5603875" cy="7474585"/>
            <wp:effectExtent l="0" t="0" r="15875" b="12065"/>
            <wp:docPr id="96" name="图片 96" descr="3afb3aa8b4551fd2cff45a7e71ab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3afb3aa8b4551fd2cff45a7e71ab1012"/>
                    <pic:cNvPicPr>
                      <a:picLocks noChangeAspect="1"/>
                    </pic:cNvPicPr>
                  </pic:nvPicPr>
                  <pic:blipFill>
                    <a:blip r:embed="rId40"/>
                    <a:stretch>
                      <a:fillRect/>
                    </a:stretch>
                  </pic:blipFill>
                  <pic:spPr>
                    <a:xfrm>
                      <a:off x="0" y="0"/>
                      <a:ext cx="5603875" cy="7474585"/>
                    </a:xfrm>
                    <a:prstGeom prst="rect">
                      <a:avLst/>
                    </a:prstGeom>
                  </pic:spPr>
                </pic:pic>
              </a:graphicData>
            </a:graphic>
          </wp:inline>
        </w:drawing>
      </w: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5603875" cy="7474585"/>
            <wp:effectExtent l="0" t="0" r="15875" b="12065"/>
            <wp:docPr id="97" name="图片 97" descr="36211351cd94f5adb56ce85e41918d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36211351cd94f5adb56ce85e41918dc8"/>
                    <pic:cNvPicPr>
                      <a:picLocks noChangeAspect="1"/>
                    </pic:cNvPicPr>
                  </pic:nvPicPr>
                  <pic:blipFill>
                    <a:blip r:embed="rId41"/>
                    <a:stretch>
                      <a:fillRect/>
                    </a:stretch>
                  </pic:blipFill>
                  <pic:spPr>
                    <a:xfrm>
                      <a:off x="0" y="0"/>
                      <a:ext cx="5603875" cy="7474585"/>
                    </a:xfrm>
                    <a:prstGeom prst="rect">
                      <a:avLst/>
                    </a:prstGeom>
                  </pic:spPr>
                </pic:pic>
              </a:graphicData>
            </a:graphic>
          </wp:inline>
        </w:drawing>
      </w:r>
    </w:p>
    <w:p w14:paraId="06C259DC">
      <w:pPr>
        <w:pStyle w:val="2"/>
        <w:bidi w:val="0"/>
        <w:jc w:val="left"/>
        <w:rPr>
          <w:rFonts w:hint="default" w:ascii="Times New Roman" w:hAnsi="Times New Roman" w:eastAsia="宋体" w:cs="Times New Roman"/>
          <w:color w:val="000000" w:themeColor="text1"/>
          <w:sz w:val="24"/>
          <w:szCs w:val="24"/>
          <w:highlight w:val="none"/>
          <w:lang w:val="en-US"/>
          <w14:textFill>
            <w14:solidFill>
              <w14:schemeClr w14:val="tx1"/>
            </w14:solidFill>
          </w14:textFill>
        </w:rPr>
      </w:pPr>
      <w:bookmarkStart w:id="30" w:name="_Toc21515"/>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附件3备案承诺书</w:t>
      </w:r>
      <w:bookmarkEnd w:id="30"/>
    </w:p>
    <w:p w14:paraId="356ECB40">
      <w:pPr>
        <w:bidi w:val="0"/>
        <w:jc w:val="center"/>
        <w:outlineLvl w:val="9"/>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5615305" cy="7985125"/>
            <wp:effectExtent l="0" t="0" r="4445" b="15875"/>
            <wp:docPr id="125"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94"/>
                    <pic:cNvPicPr>
                      <a:picLocks noChangeAspect="1"/>
                    </pic:cNvPicPr>
                  </pic:nvPicPr>
                  <pic:blipFill>
                    <a:blip r:embed="rId42"/>
                    <a:stretch>
                      <a:fillRect/>
                    </a:stretch>
                  </pic:blipFill>
                  <pic:spPr>
                    <a:xfrm>
                      <a:off x="0" y="0"/>
                      <a:ext cx="5615305" cy="7985125"/>
                    </a:xfrm>
                    <a:prstGeom prst="rect">
                      <a:avLst/>
                    </a:prstGeom>
                    <a:noFill/>
                    <a:ln>
                      <a:noFill/>
                    </a:ln>
                  </pic:spPr>
                </pic:pic>
              </a:graphicData>
            </a:graphic>
          </wp:inline>
        </w:drawing>
      </w:r>
    </w:p>
    <w:p w14:paraId="4704AADD">
      <w:pPr>
        <w:pStyle w:val="2"/>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br w:type="page"/>
      </w:r>
      <w:bookmarkStart w:id="31" w:name="_Toc22331"/>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附件4原环评批复</w:t>
      </w:r>
      <w:bookmarkEnd w:id="31"/>
    </w:p>
    <w:p w14:paraId="65671DDB">
      <w:pPr>
        <w:jc w:val="center"/>
        <w:rPr>
          <w:rFonts w:hint="default" w:ascii="Times New Roman" w:hAnsi="Times New Roman" w:eastAsia="宋体" w:cs="Times New Roman"/>
          <w:color w:val="000000" w:themeColor="text1"/>
          <w:highlight w:val="none"/>
          <w14:textFill>
            <w14:solidFill>
              <w14:schemeClr w14:val="tx1"/>
            </w14:solidFill>
          </w14:textFill>
        </w:rPr>
      </w:pPr>
    </w:p>
    <w:p w14:paraId="731385AF">
      <w:pPr>
        <w:pStyle w:val="18"/>
        <w:rPr>
          <w:rFonts w:hint="default" w:ascii="Times New Roman" w:hAnsi="Times New Roman" w:eastAsia="宋体" w:cs="Times New Roman"/>
          <w:color w:val="000000" w:themeColor="text1"/>
          <w:lang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7450455" cy="5588000"/>
            <wp:effectExtent l="0" t="0" r="12700" b="17145"/>
            <wp:docPr id="105" name="图片 105" descr="89624a617643396f53a288ded8b5a8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89624a617643396f53a288ded8b5a86d"/>
                    <pic:cNvPicPr>
                      <a:picLocks noChangeAspect="1"/>
                    </pic:cNvPicPr>
                  </pic:nvPicPr>
                  <pic:blipFill>
                    <a:blip r:embed="rId43"/>
                    <a:stretch>
                      <a:fillRect/>
                    </a:stretch>
                  </pic:blipFill>
                  <pic:spPr>
                    <a:xfrm rot="5400000">
                      <a:off x="0" y="0"/>
                      <a:ext cx="7450455" cy="5588000"/>
                    </a:xfrm>
                    <a:prstGeom prst="rect">
                      <a:avLst/>
                    </a:prstGeom>
                  </pic:spPr>
                </pic:pic>
              </a:graphicData>
            </a:graphic>
          </wp:inline>
        </w:drawing>
      </w:r>
      <w:r>
        <w:rPr>
          <w:rFonts w:hint="default"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7450455" cy="5588000"/>
            <wp:effectExtent l="0" t="0" r="12700" b="17145"/>
            <wp:docPr id="106" name="图片 106" descr="56553ab902d30536b851a10032062a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56553ab902d30536b851a10032062adf"/>
                    <pic:cNvPicPr>
                      <a:picLocks noChangeAspect="1"/>
                    </pic:cNvPicPr>
                  </pic:nvPicPr>
                  <pic:blipFill>
                    <a:blip r:embed="rId44"/>
                    <a:stretch>
                      <a:fillRect/>
                    </a:stretch>
                  </pic:blipFill>
                  <pic:spPr>
                    <a:xfrm rot="5400000">
                      <a:off x="0" y="0"/>
                      <a:ext cx="7450455" cy="5588000"/>
                    </a:xfrm>
                    <a:prstGeom prst="rect">
                      <a:avLst/>
                    </a:prstGeom>
                  </pic:spPr>
                </pic:pic>
              </a:graphicData>
            </a:graphic>
          </wp:inline>
        </w:drawing>
      </w:r>
      <w:r>
        <w:rPr>
          <w:rFonts w:hint="default"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7450455" cy="5588000"/>
            <wp:effectExtent l="0" t="0" r="12700" b="17145"/>
            <wp:docPr id="107" name="图片 107" descr="41ab5f6cee04fb5d9648db2c5163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41ab5f6cee04fb5d9648db2c51638418"/>
                    <pic:cNvPicPr>
                      <a:picLocks noChangeAspect="1"/>
                    </pic:cNvPicPr>
                  </pic:nvPicPr>
                  <pic:blipFill>
                    <a:blip r:embed="rId45"/>
                    <a:stretch>
                      <a:fillRect/>
                    </a:stretch>
                  </pic:blipFill>
                  <pic:spPr>
                    <a:xfrm rot="5400000">
                      <a:off x="0" y="0"/>
                      <a:ext cx="7450455" cy="5588000"/>
                    </a:xfrm>
                    <a:prstGeom prst="rect">
                      <a:avLst/>
                    </a:prstGeom>
                  </pic:spPr>
                </pic:pic>
              </a:graphicData>
            </a:graphic>
          </wp:inline>
        </w:drawing>
      </w:r>
    </w:p>
    <w:p w14:paraId="2314971D">
      <w:pPr>
        <w:pStyle w:val="2"/>
        <w:bidi w:val="0"/>
        <w:jc w:val="both"/>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bookmarkStart w:id="32" w:name="_Toc1782"/>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附件5关于黑龙江森柏岚图家具制造有限公司名称情况说明</w:t>
      </w:r>
      <w:bookmarkEnd w:id="32"/>
    </w:p>
    <w:p w14:paraId="441DE6DA">
      <w:pP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drawing>
          <wp:inline distT="0" distB="0" distL="114300" distR="114300">
            <wp:extent cx="5611495" cy="7724140"/>
            <wp:effectExtent l="0" t="0" r="8255" b="10160"/>
            <wp:docPr id="5" name="图片 5" descr="7e776206440fead64654859927c9d0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7e776206440fead64654859927c9d00c"/>
                    <pic:cNvPicPr>
                      <a:picLocks noChangeAspect="1"/>
                    </pic:cNvPicPr>
                  </pic:nvPicPr>
                  <pic:blipFill>
                    <a:blip r:embed="rId46"/>
                    <a:stretch>
                      <a:fillRect/>
                    </a:stretch>
                  </pic:blipFill>
                  <pic:spPr>
                    <a:xfrm>
                      <a:off x="0" y="0"/>
                      <a:ext cx="5611495" cy="7724140"/>
                    </a:xfrm>
                    <a:prstGeom prst="rect">
                      <a:avLst/>
                    </a:prstGeom>
                  </pic:spPr>
                </pic:pic>
              </a:graphicData>
            </a:graphic>
          </wp:inline>
        </w:drawing>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br w:type="page"/>
      </w:r>
    </w:p>
    <w:p w14:paraId="17B2379B">
      <w:pPr>
        <w:pStyle w:val="2"/>
        <w:bidi w:val="0"/>
        <w:jc w:val="both"/>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bookmarkStart w:id="33" w:name="_Toc22352"/>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附件6关于黑龙江森柏岚图家具制造有限公司生产情况说明</w:t>
      </w:r>
      <w:bookmarkEnd w:id="33"/>
    </w:p>
    <w:p w14:paraId="7AF3FD53">
      <w:pP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drawing>
          <wp:inline distT="0" distB="0" distL="114300" distR="114300">
            <wp:extent cx="5611495" cy="7724140"/>
            <wp:effectExtent l="0" t="0" r="8255" b="10160"/>
            <wp:docPr id="6" name="图片 6" descr="a005303b9d2b32ece686110d1d45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a005303b9d2b32ece686110d1d455902"/>
                    <pic:cNvPicPr>
                      <a:picLocks noChangeAspect="1"/>
                    </pic:cNvPicPr>
                  </pic:nvPicPr>
                  <pic:blipFill>
                    <a:blip r:embed="rId47"/>
                    <a:stretch>
                      <a:fillRect/>
                    </a:stretch>
                  </pic:blipFill>
                  <pic:spPr>
                    <a:xfrm>
                      <a:off x="0" y="0"/>
                      <a:ext cx="5611495" cy="7724140"/>
                    </a:xfrm>
                    <a:prstGeom prst="rect">
                      <a:avLst/>
                    </a:prstGeom>
                  </pic:spPr>
                </pic:pic>
              </a:graphicData>
            </a:graphic>
          </wp:inline>
        </w:drawing>
      </w:r>
    </w:p>
    <w:p w14:paraId="447CA992">
      <w:pP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br w:type="page"/>
      </w:r>
    </w:p>
    <w:p w14:paraId="126943BC">
      <w:pPr>
        <w:pStyle w:val="2"/>
        <w:bidi w:val="0"/>
        <w:jc w:val="both"/>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bookmarkStart w:id="34" w:name="_Toc25935"/>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附件</w:t>
      </w:r>
      <w:r>
        <w:rPr>
          <w:rFonts w:hint="eastAsia" w:eastAsia="宋体" w:cs="Times New Roman"/>
          <w:color w:val="000000" w:themeColor="text1"/>
          <w:sz w:val="24"/>
          <w:szCs w:val="24"/>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关于</w:t>
      </w:r>
      <w:r>
        <w:rPr>
          <w:rFonts w:hint="eastAsia" w:eastAsia="宋体" w:cs="Times New Roman"/>
          <w:color w:val="000000" w:themeColor="text1"/>
          <w:sz w:val="24"/>
          <w:szCs w:val="24"/>
          <w:highlight w:val="none"/>
          <w:lang w:val="en-US" w:eastAsia="zh-CN"/>
          <w14:textFill>
            <w14:solidFill>
              <w14:schemeClr w14:val="tx1"/>
            </w14:solidFill>
          </w14:textFill>
        </w:rPr>
        <w:t>供热锅炉情况的承诺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说明</w:t>
      </w:r>
      <w:bookmarkEnd w:id="34"/>
    </w:p>
    <w:p w14:paraId="76AC2A93">
      <w:pP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482590" cy="8046720"/>
            <wp:effectExtent l="0" t="0" r="3810" b="1143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48"/>
                    <a:stretch>
                      <a:fillRect/>
                    </a:stretch>
                  </pic:blipFill>
                  <pic:spPr>
                    <a:xfrm>
                      <a:off x="0" y="0"/>
                      <a:ext cx="5482590" cy="8046720"/>
                    </a:xfrm>
                    <a:prstGeom prst="rect">
                      <a:avLst/>
                    </a:prstGeom>
                    <a:noFill/>
                    <a:ln>
                      <a:noFill/>
                    </a:ln>
                  </pic:spPr>
                </pic:pic>
              </a:graphicData>
            </a:graphic>
          </wp:inline>
        </w:drawing>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br w:type="page"/>
      </w:r>
    </w:p>
    <w:p w14:paraId="5E8A9838">
      <w:pPr>
        <w:pStyle w:val="2"/>
        <w:bidi w:val="0"/>
        <w:jc w:val="both"/>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bookmarkStart w:id="35" w:name="_Toc9499"/>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附件</w:t>
      </w:r>
      <w:r>
        <w:rPr>
          <w:rFonts w:hint="eastAsia" w:eastAsia="宋体" w:cs="Times New Roman"/>
          <w:color w:val="000000" w:themeColor="text1"/>
          <w:sz w:val="24"/>
          <w:szCs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总量核算的说明</w:t>
      </w:r>
      <w:bookmarkEnd w:id="35"/>
    </w:p>
    <w:p w14:paraId="4EC06205">
      <w:pPr>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废气：</w:t>
      </w:r>
    </w:p>
    <w:p w14:paraId="5ABA823A">
      <w:pPr>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根据《排污许可证申请与核发技术规范 锅炉》（HJ953-2018），废气污染物年许可排放量按下式计算：</w:t>
      </w:r>
    </w:p>
    <w:p w14:paraId="36F7F4FC">
      <w:pPr>
        <w:spacing w:line="360" w:lineRule="auto"/>
        <w:ind w:left="0" w:leftChars="0" w:firstLine="0" w:firstLineChars="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2889250" cy="514985"/>
            <wp:effectExtent l="0" t="0" r="6350" b="18415"/>
            <wp:docPr id="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9"/>
                    <pic:cNvPicPr>
                      <a:picLocks noChangeAspect="1"/>
                    </pic:cNvPicPr>
                  </pic:nvPicPr>
                  <pic:blipFill>
                    <a:blip r:embed="rId49"/>
                    <a:stretch>
                      <a:fillRect/>
                    </a:stretch>
                  </pic:blipFill>
                  <pic:spPr>
                    <a:xfrm>
                      <a:off x="0" y="0"/>
                      <a:ext cx="2889250" cy="514985"/>
                    </a:xfrm>
                    <a:prstGeom prst="rect">
                      <a:avLst/>
                    </a:prstGeom>
                    <a:noFill/>
                    <a:ln>
                      <a:noFill/>
                    </a:ln>
                  </pic:spPr>
                </pic:pic>
              </a:graphicData>
            </a:graphic>
          </wp:inline>
        </w:drawing>
      </w:r>
    </w:p>
    <w:p w14:paraId="7F827F50">
      <w:pPr>
        <w:spacing w:line="360" w:lineRule="auto"/>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5608320" cy="3143250"/>
            <wp:effectExtent l="0" t="0" r="11430" b="0"/>
            <wp:docPr id="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pic:cNvPicPr>
                      <a:picLocks noChangeAspect="1"/>
                    </pic:cNvPicPr>
                  </pic:nvPicPr>
                  <pic:blipFill>
                    <a:blip r:embed="rId50"/>
                    <a:stretch>
                      <a:fillRect/>
                    </a:stretch>
                  </pic:blipFill>
                  <pic:spPr>
                    <a:xfrm>
                      <a:off x="0" y="0"/>
                      <a:ext cx="5608320" cy="3143250"/>
                    </a:xfrm>
                    <a:prstGeom prst="rect">
                      <a:avLst/>
                    </a:prstGeom>
                    <a:noFill/>
                    <a:ln>
                      <a:noFill/>
                    </a:ln>
                  </pic:spPr>
                </pic:pic>
              </a:graphicData>
            </a:graphic>
          </wp:inline>
        </w:drawing>
      </w:r>
    </w:p>
    <w:p w14:paraId="13B26174">
      <w:pPr>
        <w:pStyle w:val="4"/>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本项目设计年燃料使用量为1944t。基准烟气量为7.467Nm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/kg。</w:t>
      </w:r>
    </w:p>
    <w:p w14:paraId="2AF1EE76">
      <w:pPr>
        <w:spacing w:line="360" w:lineRule="auto"/>
        <w:ind w:firstLine="48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E</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颗粒物</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=50×7.467×1944×1×10</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=0.726t/a</w:t>
      </w:r>
    </w:p>
    <w:p w14:paraId="1CA0B8FA">
      <w:pPr>
        <w:spacing w:line="360" w:lineRule="auto"/>
        <w:ind w:firstLine="48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E</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二氧化硫</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=300×7.467×1944×0.8×10</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=3.484t/a</w:t>
      </w:r>
    </w:p>
    <w:p w14:paraId="64099389">
      <w:pPr>
        <w:spacing w:line="360" w:lineRule="auto"/>
        <w:ind w:firstLine="48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E</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氮氧化物</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=300×7.467×1944×1×10</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=4.355t/a</w:t>
      </w:r>
    </w:p>
    <w:p w14:paraId="426B8A3E">
      <w:pPr>
        <w:spacing w:line="360" w:lineRule="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计算得E</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颗粒物</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=0.726t/a，E</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二氧化硫</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=3.484t/a，E</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氮氧化物</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=4.355t/a。</w:t>
      </w:r>
    </w:p>
    <w:p w14:paraId="57A27900">
      <w:pP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p>
    <w:p w14:paraId="7AA0DFE1">
      <w:pPr>
        <w:jc w:val="right"/>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6FBE5D5B">
      <w:pPr>
        <w:pStyle w:val="2"/>
        <w:bidi w:val="0"/>
        <w:jc w:val="both"/>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bookmarkStart w:id="36" w:name="_Toc13195"/>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附件</w:t>
      </w:r>
      <w:r>
        <w:rPr>
          <w:rFonts w:hint="eastAsia" w:eastAsia="宋体" w:cs="Times New Roman"/>
          <w:color w:val="000000" w:themeColor="text1"/>
          <w:sz w:val="24"/>
          <w:szCs w:val="24"/>
          <w:highlight w:val="none"/>
          <w:lang w:val="en-US" w:eastAsia="zh-CN"/>
          <w14:textFill>
            <w14:solidFill>
              <w14:schemeClr w14:val="tx1"/>
            </w14:solidFill>
          </w14:textFill>
        </w:rPr>
        <w:t>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生物质分析报告</w:t>
      </w:r>
      <w:bookmarkEnd w:id="36"/>
    </w:p>
    <w:p w14:paraId="11840153">
      <w:pP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drawing>
          <wp:inline distT="0" distB="0" distL="114300" distR="114300">
            <wp:extent cx="5600065" cy="8026400"/>
            <wp:effectExtent l="0" t="0" r="635" b="12700"/>
            <wp:docPr id="62" name="图片 115" descr="f1a8980e63755910903844efd37c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15" descr="f1a8980e63755910903844efd37c089"/>
                    <pic:cNvPicPr>
                      <a:picLocks noChangeAspect="1"/>
                    </pic:cNvPicPr>
                  </pic:nvPicPr>
                  <pic:blipFill>
                    <a:blip r:embed="rId51"/>
                    <a:stretch>
                      <a:fillRect/>
                    </a:stretch>
                  </pic:blipFill>
                  <pic:spPr>
                    <a:xfrm>
                      <a:off x="0" y="0"/>
                      <a:ext cx="5600065" cy="8026400"/>
                    </a:xfrm>
                    <a:prstGeom prst="rect">
                      <a:avLst/>
                    </a:prstGeom>
                    <a:noFill/>
                    <a:ln>
                      <a:noFill/>
                    </a:ln>
                  </pic:spPr>
                </pic:pic>
              </a:graphicData>
            </a:graphic>
          </wp:inline>
        </w:drawing>
      </w:r>
    </w:p>
    <w:p w14:paraId="7CCF6093">
      <w:pPr>
        <w:bidi w:val="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br w:type="page"/>
      </w:r>
    </w:p>
    <w:p w14:paraId="2C2F3EDB">
      <w:pPr>
        <w:pStyle w:val="2"/>
        <w:bidi w:val="0"/>
        <w:jc w:val="both"/>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bookmarkStart w:id="37" w:name="_Toc15661"/>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附件</w:t>
      </w:r>
      <w:r>
        <w:rPr>
          <w:rFonts w:hint="eastAsia" w:eastAsia="宋体" w:cs="Times New Roman"/>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监测报告</w:t>
      </w:r>
      <w:bookmarkEnd w:id="37"/>
    </w:p>
    <w:p w14:paraId="32A24B95">
      <w:pPr>
        <w:pStyle w:val="2"/>
        <w:bidi w:val="0"/>
        <w:ind w:left="12" w:leftChars="0" w:hanging="12" w:firstLineChars="0"/>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38" w:name="_Toc28946"/>
      <w:bookmarkStart w:id="39" w:name="_Toc26147"/>
      <w:bookmarkStart w:id="40" w:name="_Toc19942"/>
      <w:bookmarkStart w:id="41" w:name="_Toc30227"/>
      <w:bookmarkStart w:id="42" w:name="_Toc10048"/>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drawing>
          <wp:inline distT="0" distB="0" distL="114300" distR="114300">
            <wp:extent cx="5614035" cy="7935595"/>
            <wp:effectExtent l="0" t="0" r="5715" b="8255"/>
            <wp:docPr id="108" name="图片 108" descr="黑龙江森柏岚图家具制造有限公司扩建锅炉房项目-25111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黑龙江森柏岚图家具制造有限公司扩建锅炉房项目-251111_01"/>
                    <pic:cNvPicPr>
                      <a:picLocks noChangeAspect="1"/>
                    </pic:cNvPicPr>
                  </pic:nvPicPr>
                  <pic:blipFill>
                    <a:blip r:embed="rId52"/>
                    <a:stretch>
                      <a:fillRect/>
                    </a:stretch>
                  </pic:blipFill>
                  <pic:spPr>
                    <a:xfrm>
                      <a:off x="0" y="0"/>
                      <a:ext cx="5614035" cy="7935595"/>
                    </a:xfrm>
                    <a:prstGeom prst="rect">
                      <a:avLst/>
                    </a:prstGeom>
                  </pic:spPr>
                </pic:pic>
              </a:graphicData>
            </a:graphic>
          </wp:inline>
        </w:drawing>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drawing>
          <wp:inline distT="0" distB="0" distL="114300" distR="114300">
            <wp:extent cx="5614035" cy="7935595"/>
            <wp:effectExtent l="0" t="0" r="5715" b="8255"/>
            <wp:docPr id="110" name="图片 110" descr="黑龙江森柏岚图家具制造有限公司扩建锅炉房项目-25111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黑龙江森柏岚图家具制造有限公司扩建锅炉房项目-251111_03"/>
                    <pic:cNvPicPr>
                      <a:picLocks noChangeAspect="1"/>
                    </pic:cNvPicPr>
                  </pic:nvPicPr>
                  <pic:blipFill>
                    <a:blip r:embed="rId53"/>
                    <a:stretch>
                      <a:fillRect/>
                    </a:stretch>
                  </pic:blipFill>
                  <pic:spPr>
                    <a:xfrm>
                      <a:off x="0" y="0"/>
                      <a:ext cx="5614035" cy="7935595"/>
                    </a:xfrm>
                    <a:prstGeom prst="rect">
                      <a:avLst/>
                    </a:prstGeom>
                  </pic:spPr>
                </pic:pic>
              </a:graphicData>
            </a:graphic>
          </wp:inline>
        </w:drawing>
      </w:r>
      <w:bookmarkEnd w:id="38"/>
      <w:bookmarkEnd w:id="39"/>
      <w:bookmarkEnd w:id="40"/>
      <w:bookmarkEnd w:id="41"/>
      <w:bookmarkEnd w:id="42"/>
    </w:p>
    <w:p w14:paraId="739EB69C">
      <w:pP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drawing>
          <wp:inline distT="0" distB="0" distL="114300" distR="114300">
            <wp:extent cx="5614035" cy="7935595"/>
            <wp:effectExtent l="0" t="0" r="5715" b="8255"/>
            <wp:docPr id="112" name="图片 112" descr="黑龙江森柏岚图家具制造有限公司扩建锅炉房项目-25111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黑龙江森柏岚图家具制造有限公司扩建锅炉房项目-251111_04"/>
                    <pic:cNvPicPr>
                      <a:picLocks noChangeAspect="1"/>
                    </pic:cNvPicPr>
                  </pic:nvPicPr>
                  <pic:blipFill>
                    <a:blip r:embed="rId54"/>
                    <a:stretch>
                      <a:fillRect/>
                    </a:stretch>
                  </pic:blipFill>
                  <pic:spPr>
                    <a:xfrm>
                      <a:off x="0" y="0"/>
                      <a:ext cx="5614035" cy="7935595"/>
                    </a:xfrm>
                    <a:prstGeom prst="rect">
                      <a:avLst/>
                    </a:prstGeom>
                  </pic:spPr>
                </pic:pic>
              </a:graphicData>
            </a:graphic>
          </wp:inline>
        </w:drawing>
      </w:r>
    </w:p>
    <w:p w14:paraId="6AC312B1">
      <w:pPr>
        <w:pStyle w:val="2"/>
        <w:bidi w:val="0"/>
        <w:jc w:val="both"/>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bookmarkStart w:id="43" w:name="_Toc11166"/>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附件1</w:t>
      </w:r>
      <w:r>
        <w:rPr>
          <w:rFonts w:hint="eastAsia" w:eastAsia="宋体"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黑龙江森柏岚图家具制造有限公司扩建锅炉房项目生态环境分区管控分析报告</w:t>
      </w:r>
      <w:bookmarkEnd w:id="43"/>
    </w:p>
    <w:p w14:paraId="5275D91B">
      <w:pPr>
        <w:pStyle w:val="4"/>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7122795" cy="5036185"/>
            <wp:effectExtent l="0" t="0" r="1905" b="12065"/>
            <wp:docPr id="113" name="图片 113" descr="黑龙江森柏岚图家具制造有限公司扩建锅炉房_2025年11月12日144034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黑龙江森柏岚图家具制造有限公司扩建锅炉房_2025年11月12日144034_分析报告_01"/>
                    <pic:cNvPicPr>
                      <a:picLocks noChangeAspect="1"/>
                    </pic:cNvPicPr>
                  </pic:nvPicPr>
                  <pic:blipFill>
                    <a:blip r:embed="rId55"/>
                    <a:stretch>
                      <a:fillRect/>
                    </a:stretch>
                  </pic:blipFill>
                  <pic:spPr>
                    <a:xfrm>
                      <a:off x="0" y="0"/>
                      <a:ext cx="7122795" cy="5036185"/>
                    </a:xfrm>
                    <a:prstGeom prst="rect">
                      <a:avLst/>
                    </a:prstGeom>
                  </pic:spPr>
                </pic:pic>
              </a:graphicData>
            </a:graphic>
          </wp:inline>
        </w:drawing>
      </w: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7933690" cy="5609590"/>
            <wp:effectExtent l="0" t="0" r="10160" b="10160"/>
            <wp:docPr id="114" name="图片 114" descr="黑龙江森柏岚图家具制造有限公司扩建锅炉房_2025年11月12日144034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黑龙江森柏岚图家具制造有限公司扩建锅炉房_2025年11月12日144034_分析报告_02"/>
                    <pic:cNvPicPr>
                      <a:picLocks noChangeAspect="1"/>
                    </pic:cNvPicPr>
                  </pic:nvPicPr>
                  <pic:blipFill>
                    <a:blip r:embed="rId56"/>
                    <a:stretch>
                      <a:fillRect/>
                    </a:stretch>
                  </pic:blipFill>
                  <pic:spPr>
                    <a:xfrm>
                      <a:off x="0" y="0"/>
                      <a:ext cx="7933690" cy="5609590"/>
                    </a:xfrm>
                    <a:prstGeom prst="rect">
                      <a:avLst/>
                    </a:prstGeom>
                  </pic:spPr>
                </pic:pic>
              </a:graphicData>
            </a:graphic>
          </wp:inline>
        </w:drawing>
      </w: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7933690" cy="5609590"/>
            <wp:effectExtent l="0" t="0" r="10160" b="10160"/>
            <wp:docPr id="115" name="图片 115" descr="黑龙江森柏岚图家具制造有限公司扩建锅炉房_2025年11月12日144034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黑龙江森柏岚图家具制造有限公司扩建锅炉房_2025年11月12日144034_分析报告_03"/>
                    <pic:cNvPicPr>
                      <a:picLocks noChangeAspect="1"/>
                    </pic:cNvPicPr>
                  </pic:nvPicPr>
                  <pic:blipFill>
                    <a:blip r:embed="rId57"/>
                    <a:stretch>
                      <a:fillRect/>
                    </a:stretch>
                  </pic:blipFill>
                  <pic:spPr>
                    <a:xfrm>
                      <a:off x="0" y="0"/>
                      <a:ext cx="7933690" cy="5609590"/>
                    </a:xfrm>
                    <a:prstGeom prst="rect">
                      <a:avLst/>
                    </a:prstGeom>
                  </pic:spPr>
                </pic:pic>
              </a:graphicData>
            </a:graphic>
          </wp:inline>
        </w:drawing>
      </w: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7933690" cy="5609590"/>
            <wp:effectExtent l="0" t="0" r="10160" b="10160"/>
            <wp:docPr id="116" name="图片 116" descr="黑龙江森柏岚图家具制造有限公司扩建锅炉房_2025年11月12日144034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黑龙江森柏岚图家具制造有限公司扩建锅炉房_2025年11月12日144034_分析报告_04"/>
                    <pic:cNvPicPr>
                      <a:picLocks noChangeAspect="1"/>
                    </pic:cNvPicPr>
                  </pic:nvPicPr>
                  <pic:blipFill>
                    <a:blip r:embed="rId58"/>
                    <a:stretch>
                      <a:fillRect/>
                    </a:stretch>
                  </pic:blipFill>
                  <pic:spPr>
                    <a:xfrm>
                      <a:off x="0" y="0"/>
                      <a:ext cx="7933690" cy="5609590"/>
                    </a:xfrm>
                    <a:prstGeom prst="rect">
                      <a:avLst/>
                    </a:prstGeom>
                  </pic:spPr>
                </pic:pic>
              </a:graphicData>
            </a:graphic>
          </wp:inline>
        </w:drawing>
      </w: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7933690" cy="5609590"/>
            <wp:effectExtent l="0" t="0" r="10160" b="10160"/>
            <wp:docPr id="117" name="图片 117" descr="黑龙江森柏岚图家具制造有限公司扩建锅炉房_2025年11月12日144034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黑龙江森柏岚图家具制造有限公司扩建锅炉房_2025年11月12日144034_分析报告_05"/>
                    <pic:cNvPicPr>
                      <a:picLocks noChangeAspect="1"/>
                    </pic:cNvPicPr>
                  </pic:nvPicPr>
                  <pic:blipFill>
                    <a:blip r:embed="rId59"/>
                    <a:stretch>
                      <a:fillRect/>
                    </a:stretch>
                  </pic:blipFill>
                  <pic:spPr>
                    <a:xfrm>
                      <a:off x="0" y="0"/>
                      <a:ext cx="7933690" cy="5609590"/>
                    </a:xfrm>
                    <a:prstGeom prst="rect">
                      <a:avLst/>
                    </a:prstGeom>
                  </pic:spPr>
                </pic:pic>
              </a:graphicData>
            </a:graphic>
          </wp:inline>
        </w:drawing>
      </w: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7933690" cy="5609590"/>
            <wp:effectExtent l="0" t="0" r="10160" b="10160"/>
            <wp:docPr id="118" name="图片 118" descr="黑龙江森柏岚图家具制造有限公司扩建锅炉房_2025年11月12日144034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黑龙江森柏岚图家具制造有限公司扩建锅炉房_2025年11月12日144034_分析报告_06"/>
                    <pic:cNvPicPr>
                      <a:picLocks noChangeAspect="1"/>
                    </pic:cNvPicPr>
                  </pic:nvPicPr>
                  <pic:blipFill>
                    <a:blip r:embed="rId60"/>
                    <a:stretch>
                      <a:fillRect/>
                    </a:stretch>
                  </pic:blipFill>
                  <pic:spPr>
                    <a:xfrm>
                      <a:off x="0" y="0"/>
                      <a:ext cx="7933690" cy="5609590"/>
                    </a:xfrm>
                    <a:prstGeom prst="rect">
                      <a:avLst/>
                    </a:prstGeom>
                  </pic:spPr>
                </pic:pic>
              </a:graphicData>
            </a:graphic>
          </wp:inline>
        </w:drawing>
      </w: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7933690" cy="5609590"/>
            <wp:effectExtent l="0" t="0" r="10160" b="10160"/>
            <wp:docPr id="119" name="图片 119" descr="黑龙江森柏岚图家具制造有限公司扩建锅炉房_2025年11月12日144034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黑龙江森柏岚图家具制造有限公司扩建锅炉房_2025年11月12日144034_分析报告_07"/>
                    <pic:cNvPicPr>
                      <a:picLocks noChangeAspect="1"/>
                    </pic:cNvPicPr>
                  </pic:nvPicPr>
                  <pic:blipFill>
                    <a:blip r:embed="rId61"/>
                    <a:stretch>
                      <a:fillRect/>
                    </a:stretch>
                  </pic:blipFill>
                  <pic:spPr>
                    <a:xfrm>
                      <a:off x="0" y="0"/>
                      <a:ext cx="7933690" cy="5609590"/>
                    </a:xfrm>
                    <a:prstGeom prst="rect">
                      <a:avLst/>
                    </a:prstGeom>
                  </pic:spPr>
                </pic:pic>
              </a:graphicData>
            </a:graphic>
          </wp:inline>
        </w:drawing>
      </w: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7933690" cy="5609590"/>
            <wp:effectExtent l="0" t="0" r="10160" b="10160"/>
            <wp:docPr id="120" name="图片 120" descr="黑龙江森柏岚图家具制造有限公司扩建锅炉房_2025年11月12日144034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黑龙江森柏岚图家具制造有限公司扩建锅炉房_2025年11月12日144034_分析报告_08"/>
                    <pic:cNvPicPr>
                      <a:picLocks noChangeAspect="1"/>
                    </pic:cNvPicPr>
                  </pic:nvPicPr>
                  <pic:blipFill>
                    <a:blip r:embed="rId62"/>
                    <a:stretch>
                      <a:fillRect/>
                    </a:stretch>
                  </pic:blipFill>
                  <pic:spPr>
                    <a:xfrm>
                      <a:off x="0" y="0"/>
                      <a:ext cx="7933690" cy="5609590"/>
                    </a:xfrm>
                    <a:prstGeom prst="rect">
                      <a:avLst/>
                    </a:prstGeom>
                  </pic:spPr>
                </pic:pic>
              </a:graphicData>
            </a:graphic>
          </wp:inline>
        </w:drawing>
      </w: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7933690" cy="5609590"/>
            <wp:effectExtent l="0" t="0" r="10160" b="10160"/>
            <wp:docPr id="121" name="图片 121" descr="黑龙江森柏岚图家具制造有限公司扩建锅炉房_2025年11月12日144034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黑龙江森柏岚图家具制造有限公司扩建锅炉房_2025年11月12日144034_分析报告_09"/>
                    <pic:cNvPicPr>
                      <a:picLocks noChangeAspect="1"/>
                    </pic:cNvPicPr>
                  </pic:nvPicPr>
                  <pic:blipFill>
                    <a:blip r:embed="rId63"/>
                    <a:stretch>
                      <a:fillRect/>
                    </a:stretch>
                  </pic:blipFill>
                  <pic:spPr>
                    <a:xfrm>
                      <a:off x="0" y="0"/>
                      <a:ext cx="7933690" cy="5609590"/>
                    </a:xfrm>
                    <a:prstGeom prst="rect">
                      <a:avLst/>
                    </a:prstGeom>
                  </pic:spPr>
                </pic:pic>
              </a:graphicData>
            </a:graphic>
          </wp:inline>
        </w:drawing>
      </w: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7933690" cy="5609590"/>
            <wp:effectExtent l="0" t="0" r="10160" b="10160"/>
            <wp:docPr id="122" name="图片 122" descr="黑龙江森柏岚图家具制造有限公司扩建锅炉房_2025年11月12日144034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黑龙江森柏岚图家具制造有限公司扩建锅炉房_2025年11月12日144034_分析报告_10"/>
                    <pic:cNvPicPr>
                      <a:picLocks noChangeAspect="1"/>
                    </pic:cNvPicPr>
                  </pic:nvPicPr>
                  <pic:blipFill>
                    <a:blip r:embed="rId64"/>
                    <a:stretch>
                      <a:fillRect/>
                    </a:stretch>
                  </pic:blipFill>
                  <pic:spPr>
                    <a:xfrm>
                      <a:off x="0" y="0"/>
                      <a:ext cx="7933690" cy="5609590"/>
                    </a:xfrm>
                    <a:prstGeom prst="rect">
                      <a:avLst/>
                    </a:prstGeom>
                  </pic:spPr>
                </pic:pic>
              </a:graphicData>
            </a:graphic>
          </wp:inline>
        </w:drawing>
      </w:r>
    </w:p>
    <w:p w14:paraId="011B2448">
      <w:pPr>
        <w:pStyle w:val="2"/>
        <w:bidi w:val="0"/>
        <w:jc w:val="both"/>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bookmarkStart w:id="44" w:name="_Toc9287"/>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附件</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eastAsia" w:eastAsia="宋体" w:cs="Times New Roman"/>
          <w:color w:val="000000" w:themeColor="text1"/>
          <w:sz w:val="24"/>
          <w:szCs w:val="24"/>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供热情况说明</w:t>
      </w:r>
      <w:bookmarkEnd w:id="44"/>
    </w:p>
    <w:p w14:paraId="616799FE">
      <w:pPr>
        <w:pStyle w:val="4"/>
        <w:jc w:val="lef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5614035" cy="7947660"/>
            <wp:effectExtent l="0" t="0" r="5715" b="15240"/>
            <wp:docPr id="11" name="图片 11" descr="9a611676254758c60ed54b042e00a9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9a611676254758c60ed54b042e00a95a"/>
                    <pic:cNvPicPr>
                      <a:picLocks noChangeAspect="1"/>
                    </pic:cNvPicPr>
                  </pic:nvPicPr>
                  <pic:blipFill>
                    <a:blip r:embed="rId65"/>
                    <a:stretch>
                      <a:fillRect/>
                    </a:stretch>
                  </pic:blipFill>
                  <pic:spPr>
                    <a:xfrm>
                      <a:off x="0" y="0"/>
                      <a:ext cx="5614035" cy="7947660"/>
                    </a:xfrm>
                    <a:prstGeom prst="rect">
                      <a:avLst/>
                    </a:prstGeom>
                  </pic:spPr>
                </pic:pic>
              </a:graphicData>
            </a:graphic>
          </wp:inline>
        </w:drawing>
      </w:r>
    </w:p>
    <w:p w14:paraId="32A16531">
      <w:pPr>
        <w:pStyle w:val="2"/>
        <w:bidi w:val="0"/>
        <w:jc w:val="both"/>
        <w:rPr>
          <w:rFonts w:hint="default" w:ascii="Times New Roman" w:hAnsi="Times New Roman" w:eastAsia="宋体" w:cs="Times New Roman"/>
          <w:color w:val="000000" w:themeColor="text1"/>
          <w:highlight w:val="none"/>
          <w:lang w:val="en-US" w:eastAsia="zh-CN"/>
          <w14:textFill>
            <w14:solidFill>
              <w14:schemeClr w14:val="tx1"/>
            </w14:solidFill>
          </w14:textFill>
        </w:rPr>
      </w:pPr>
      <w:bookmarkStart w:id="45" w:name="_Toc111"/>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附件</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eastAsia" w:eastAsia="宋体" w:cs="Times New Roman"/>
          <w:color w:val="000000" w:themeColor="text1"/>
          <w:sz w:val="24"/>
          <w:szCs w:val="24"/>
          <w:highlight w:val="none"/>
          <w:lang w:val="en-US" w:eastAsia="zh-CN"/>
          <w14:textFill>
            <w14:solidFill>
              <w14:schemeClr w14:val="tx1"/>
            </w14:solidFill>
          </w14:textFill>
        </w:rPr>
        <w:t>3本项目与声环境功能区划分的对比</w:t>
      </w:r>
      <w:bookmarkEnd w:id="45"/>
    </w:p>
    <w:p w14:paraId="6B5DB0A9">
      <w:pPr>
        <w:pStyle w:val="4"/>
        <w:jc w:val="left"/>
        <w:rPr>
          <w:rFonts w:hint="default" w:ascii="Times New Roman" w:hAnsi="Times New Roman" w:eastAsia="宋体" w:cs="Times New Roman"/>
          <w:color w:val="000000" w:themeColor="text1"/>
          <w:highlight w:val="none"/>
          <w:lang w:val="en-US" w:eastAsia="zh-CN"/>
          <w14:textFill>
            <w14:solidFill>
              <w14:schemeClr w14:val="tx1"/>
            </w14:solidFill>
          </w14:textFill>
        </w:rPr>
      </w:pPr>
      <w:r>
        <w:drawing>
          <wp:inline distT="0" distB="0" distL="114300" distR="114300">
            <wp:extent cx="5608320" cy="6367145"/>
            <wp:effectExtent l="0" t="0" r="11430" b="1460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66"/>
                    <a:stretch>
                      <a:fillRect/>
                    </a:stretch>
                  </pic:blipFill>
                  <pic:spPr>
                    <a:xfrm>
                      <a:off x="0" y="0"/>
                      <a:ext cx="5608320" cy="6367145"/>
                    </a:xfrm>
                    <a:prstGeom prst="rect">
                      <a:avLst/>
                    </a:prstGeom>
                    <a:noFill/>
                    <a:ln>
                      <a:noFill/>
                    </a:ln>
                  </pic:spPr>
                </pic:pic>
              </a:graphicData>
            </a:graphic>
          </wp:inline>
        </w:drawing>
      </w:r>
    </w:p>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7A"/>
    <w:family w:val="auto"/>
    <w:pitch w:val="default"/>
    <w:sig w:usb0="800002BF" w:usb1="38CF7CFA" w:usb2="00000016" w:usb3="00000000" w:csb0="00040001" w:csb1="00000000"/>
  </w:font>
  <w:font w:name="方正小标宋_GBK">
    <w:altName w:val="微软雅黑"/>
    <w:panose1 w:val="02000000000000000000"/>
    <w:charset w:val="7A"/>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B1F3EF">
    <w:pPr>
      <w:tabs>
        <w:tab w:val="center" w:pos="4153"/>
        <w:tab w:val="right" w:pos="8306"/>
      </w:tabs>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1BC284">
    <w:pPr>
      <w:framePr w:wrap="around" w:vAnchor="text" w:hAnchor="margin" w:xAlign="center" w:y="1"/>
      <w:tabs>
        <w:tab w:val="center" w:pos="4153"/>
        <w:tab w:val="right" w:pos="8306"/>
      </w:tabs>
    </w:pPr>
    <w:r>
      <w:fldChar w:fldCharType="begin"/>
    </w:r>
    <w:r>
      <w:instrText xml:space="preserve">PAGE  </w:instrText>
    </w:r>
    <w:r>
      <w:fldChar w:fldCharType="end"/>
    </w:r>
  </w:p>
  <w:p w14:paraId="0B46A664">
    <w:pPr>
      <w:tabs>
        <w:tab w:val="center" w:pos="4153"/>
        <w:tab w:val="right" w:pos="8306"/>
      </w:tabs>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0E0157">
    <w:pPr>
      <w:tabs>
        <w:tab w:val="center" w:pos="4153"/>
        <w:tab w:val="right" w:pos="8306"/>
      </w:tabs>
      <w:ind w:right="360" w:firstLine="360"/>
      <w:jc w:val="center"/>
    </w:pPr>
    <w:r>
      <w:rPr>
        <w:sz w:val="21"/>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7"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A2C2DFB">
                          <w:pPr>
                            <w:tabs>
                              <w:tab w:val="center" w:pos="4153"/>
                              <w:tab w:val="right" w:pos="8306"/>
                            </w:tabs>
                            <w:rPr>
                              <w:rFonts w:ascii="宋体" w:hAnsi="宋体"/>
                              <w:sz w:val="18"/>
                              <w:szCs w:val="18"/>
                            </w:rPr>
                          </w:pPr>
                          <w:r>
                            <w:rPr>
                              <w:rFonts w:hint="eastAsia" w:ascii="宋体" w:hAnsi="宋体"/>
                              <w:sz w:val="18"/>
                              <w:szCs w:val="18"/>
                            </w:rPr>
                            <w:t>—</w:t>
                          </w:r>
                          <w:r>
                            <w:rPr>
                              <w:rFonts w:ascii="宋体" w:hAnsi="宋体"/>
                              <w:sz w:val="18"/>
                              <w:szCs w:val="18"/>
                            </w:rPr>
                            <w:fldChar w:fldCharType="begin"/>
                          </w:r>
                          <w:r>
                            <w:rPr>
                              <w:rFonts w:ascii="宋体" w:hAnsi="宋体"/>
                              <w:sz w:val="18"/>
                              <w:szCs w:val="18"/>
                            </w:rPr>
                            <w:instrText xml:space="preserve">PAGE  </w:instrText>
                          </w:r>
                          <w:r>
                            <w:rPr>
                              <w:rFonts w:ascii="宋体" w:hAnsi="宋体"/>
                              <w:sz w:val="18"/>
                              <w:szCs w:val="18"/>
                            </w:rPr>
                            <w:fldChar w:fldCharType="separate"/>
                          </w:r>
                          <w:r>
                            <w:rPr>
                              <w:rFonts w:ascii="宋体" w:hAnsi="宋体"/>
                              <w:sz w:val="18"/>
                              <w:szCs w:val="18"/>
                            </w:rPr>
                            <w:t>9</w:t>
                          </w:r>
                          <w:r>
                            <w:rPr>
                              <w:rFonts w:ascii="宋体" w:hAnsi="宋体"/>
                              <w:sz w:val="18"/>
                              <w:szCs w:val="18"/>
                            </w:rPr>
                            <w:fldChar w:fldCharType="end"/>
                          </w:r>
                          <w:r>
                            <w:rPr>
                              <w:rFonts w:hint="eastAsia" w:ascii="宋体" w:hAnsi="宋体"/>
                              <w:sz w:val="18"/>
                              <w:szCs w:val="18"/>
                            </w:rPr>
                            <w:t>—</w:t>
                          </w:r>
                        </w:p>
                      </w:txbxContent>
                    </wps:txbx>
                    <wps:bodyPr wrap="none" lIns="0" tIns="0" rIns="0" bIns="0" upright="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6HJ1yMoBAACaAwAADgAAAAAAAAABACAAAAAeAQAAZHJzL2Uyb0Rv&#10;Yy54bWxQSwUGAAAAAAYABgBZAQAAWgUAAAAA&#10;">
              <v:fill on="f" focussize="0,0"/>
              <v:stroke on="f"/>
              <v:imagedata o:title=""/>
              <o:lock v:ext="edit" aspectratio="f"/>
              <v:textbox inset="0mm,0mm,0mm,0mm" style="mso-fit-shape-to-text:t;">
                <w:txbxContent>
                  <w:p w14:paraId="0A2C2DFB">
                    <w:pPr>
                      <w:tabs>
                        <w:tab w:val="center" w:pos="4153"/>
                        <w:tab w:val="right" w:pos="8306"/>
                      </w:tabs>
                      <w:rPr>
                        <w:rFonts w:ascii="宋体" w:hAnsi="宋体"/>
                        <w:sz w:val="18"/>
                        <w:szCs w:val="18"/>
                      </w:rPr>
                    </w:pPr>
                    <w:r>
                      <w:rPr>
                        <w:rFonts w:hint="eastAsia" w:ascii="宋体" w:hAnsi="宋体"/>
                        <w:sz w:val="18"/>
                        <w:szCs w:val="18"/>
                      </w:rPr>
                      <w:t>—</w:t>
                    </w:r>
                    <w:r>
                      <w:rPr>
                        <w:rFonts w:ascii="宋体" w:hAnsi="宋体"/>
                        <w:sz w:val="18"/>
                        <w:szCs w:val="18"/>
                      </w:rPr>
                      <w:fldChar w:fldCharType="begin"/>
                    </w:r>
                    <w:r>
                      <w:rPr>
                        <w:rFonts w:ascii="宋体" w:hAnsi="宋体"/>
                        <w:sz w:val="18"/>
                        <w:szCs w:val="18"/>
                      </w:rPr>
                      <w:instrText xml:space="preserve">PAGE  </w:instrText>
                    </w:r>
                    <w:r>
                      <w:rPr>
                        <w:rFonts w:ascii="宋体" w:hAnsi="宋体"/>
                        <w:sz w:val="18"/>
                        <w:szCs w:val="18"/>
                      </w:rPr>
                      <w:fldChar w:fldCharType="separate"/>
                    </w:r>
                    <w:r>
                      <w:rPr>
                        <w:rFonts w:ascii="宋体" w:hAnsi="宋体"/>
                        <w:sz w:val="18"/>
                        <w:szCs w:val="18"/>
                      </w:rPr>
                      <w:t>9</w:t>
                    </w:r>
                    <w:r>
                      <w:rPr>
                        <w:rFonts w:ascii="宋体" w:hAnsi="宋体"/>
                        <w:sz w:val="18"/>
                        <w:szCs w:val="18"/>
                      </w:rPr>
                      <w:fldChar w:fldCharType="end"/>
                    </w:r>
                    <w:r>
                      <w:rPr>
                        <w:rFonts w:hint="eastAsia" w:ascii="宋体" w:hAnsi="宋体"/>
                        <w:sz w:val="18"/>
                        <w:szCs w:val="1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1A6207">
    <w:pPr>
      <w:tabs>
        <w:tab w:val="center" w:pos="4153"/>
        <w:tab w:val="right" w:pos="8306"/>
      </w:tabs>
      <w:ind w:right="360" w:firstLine="360"/>
      <w:jc w:val="center"/>
    </w:pP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8"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E253EB3">
                          <w:pPr>
                            <w:tabs>
                              <w:tab w:val="center" w:pos="4153"/>
                              <w:tab w:val="right" w:pos="8306"/>
                            </w:tabs>
                            <w:rPr>
                              <w:rFonts w:ascii="宋体" w:hAnsi="宋体"/>
                              <w:sz w:val="28"/>
                              <w:szCs w:val="28"/>
                            </w:rPr>
                          </w:pPr>
                          <w:r>
                            <w:rPr>
                              <w:rFonts w:hint="eastAsia" w:ascii="宋体" w:hAnsi="宋体"/>
                              <w:sz w:val="28"/>
                              <w:szCs w:val="28"/>
                            </w:rPr>
                            <w:t>—</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10</w:t>
                          </w:r>
                          <w:r>
                            <w:rPr>
                              <w:rFonts w:ascii="宋体" w:hAnsi="宋体"/>
                              <w:sz w:val="26"/>
                              <w:szCs w:val="26"/>
                            </w:rPr>
                            <w:fldChar w:fldCharType="end"/>
                          </w:r>
                          <w:r>
                            <w:rPr>
                              <w:rFonts w:hint="eastAsia" w:ascii="宋体" w:hAnsi="宋体"/>
                              <w:sz w:val="28"/>
                              <w:szCs w:val="28"/>
                            </w:rPr>
                            <w:t>—</w:t>
                          </w:r>
                        </w:p>
                      </w:txbxContent>
                    </wps:txbx>
                    <wps:bodyPr wrap="none" lIns="0" tIns="0" rIns="0" bIns="0" upright="1">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1T2yfyQEAAJoDAAAOAAAAAAAAAAEAIAAAAB4BAABkcnMvZTJvRG9j&#10;LnhtbFBLBQYAAAAABgAGAFkBAABZBQAAAAA=&#10;">
              <v:fill on="f" focussize="0,0"/>
              <v:stroke on="f"/>
              <v:imagedata o:title=""/>
              <o:lock v:ext="edit" aspectratio="f"/>
              <v:textbox inset="0mm,0mm,0mm,0mm" style="mso-fit-shape-to-text:t;">
                <w:txbxContent>
                  <w:p w14:paraId="1E253EB3">
                    <w:pPr>
                      <w:tabs>
                        <w:tab w:val="center" w:pos="4153"/>
                        <w:tab w:val="right" w:pos="8306"/>
                      </w:tabs>
                      <w:rPr>
                        <w:rFonts w:ascii="宋体" w:hAnsi="宋体"/>
                        <w:sz w:val="28"/>
                        <w:szCs w:val="28"/>
                      </w:rPr>
                    </w:pPr>
                    <w:r>
                      <w:rPr>
                        <w:rFonts w:hint="eastAsia" w:ascii="宋体" w:hAnsi="宋体"/>
                        <w:sz w:val="28"/>
                        <w:szCs w:val="28"/>
                      </w:rPr>
                      <w:t>—</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10</w:t>
                    </w:r>
                    <w:r>
                      <w:rPr>
                        <w:rFonts w:ascii="宋体" w:hAnsi="宋体"/>
                        <w:sz w:val="26"/>
                        <w:szCs w:val="26"/>
                      </w:rPr>
                      <w:fldChar w:fldCharType="end"/>
                    </w:r>
                    <w:r>
                      <w:rPr>
                        <w:rFonts w:hint="eastAsia" w:ascii="宋体" w:hAnsi="宋体"/>
                        <w:sz w:val="28"/>
                        <w:szCs w:val="28"/>
                      </w:rPr>
                      <w:t>—</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F03F5E">
    <w:pPr>
      <w:tabs>
        <w:tab w:val="center" w:pos="4153"/>
        <w:tab w:val="right" w:pos="8306"/>
      </w:tabs>
      <w:ind w:right="360" w:firstLine="360"/>
      <w:jc w:val="center"/>
    </w:pPr>
    <w:r>
      <w:rPr>
        <w:sz w:val="21"/>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89"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C7DDAE2">
                          <w:pPr>
                            <w:tabs>
                              <w:tab w:val="center" w:pos="4153"/>
                              <w:tab w:val="right" w:pos="8306"/>
                            </w:tabs>
                            <w:rPr>
                              <w:rFonts w:ascii="宋体" w:hAnsi="宋体"/>
                              <w:sz w:val="18"/>
                              <w:szCs w:val="18"/>
                            </w:rPr>
                          </w:pPr>
                          <w:r>
                            <w:rPr>
                              <w:rFonts w:hint="eastAsia" w:ascii="宋体" w:hAnsi="宋体"/>
                              <w:sz w:val="18"/>
                              <w:szCs w:val="18"/>
                            </w:rPr>
                            <w:t>—</w:t>
                          </w:r>
                          <w:r>
                            <w:rPr>
                              <w:rFonts w:ascii="宋体" w:hAnsi="宋体"/>
                              <w:sz w:val="18"/>
                              <w:szCs w:val="18"/>
                            </w:rPr>
                            <w:fldChar w:fldCharType="begin"/>
                          </w:r>
                          <w:r>
                            <w:rPr>
                              <w:rFonts w:ascii="宋体" w:hAnsi="宋体"/>
                              <w:sz w:val="18"/>
                              <w:szCs w:val="18"/>
                            </w:rPr>
                            <w:instrText xml:space="preserve">PAGE  </w:instrText>
                          </w:r>
                          <w:r>
                            <w:rPr>
                              <w:rFonts w:ascii="宋体" w:hAnsi="宋体"/>
                              <w:sz w:val="18"/>
                              <w:szCs w:val="18"/>
                            </w:rPr>
                            <w:fldChar w:fldCharType="separate"/>
                          </w:r>
                          <w:r>
                            <w:rPr>
                              <w:rFonts w:ascii="宋体" w:hAnsi="宋体"/>
                              <w:sz w:val="18"/>
                              <w:szCs w:val="18"/>
                            </w:rPr>
                            <w:t>11</w:t>
                          </w:r>
                          <w:r>
                            <w:rPr>
                              <w:rFonts w:ascii="宋体" w:hAnsi="宋体"/>
                              <w:sz w:val="18"/>
                              <w:szCs w:val="18"/>
                            </w:rPr>
                            <w:fldChar w:fldCharType="end"/>
                          </w:r>
                          <w:r>
                            <w:rPr>
                              <w:rFonts w:hint="eastAsia" w:ascii="宋体" w:hAnsi="宋体"/>
                              <w:sz w:val="18"/>
                              <w:szCs w:val="18"/>
                            </w:rPr>
                            <w:t>—</w:t>
                          </w:r>
                        </w:p>
                      </w:txbxContent>
                    </wps:txbx>
                    <wps:bodyPr wrap="none" lIns="0" tIns="0" rIns="0" bIns="0" upright="1">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BSnbqMoBAACaAwAADgAAAAAAAAABACAAAAAeAQAAZHJzL2Uyb0Rv&#10;Yy54bWxQSwUGAAAAAAYABgBZAQAAWgUAAAAA&#10;">
              <v:fill on="f" focussize="0,0"/>
              <v:stroke on="f"/>
              <v:imagedata o:title=""/>
              <o:lock v:ext="edit" aspectratio="f"/>
              <v:textbox inset="0mm,0mm,0mm,0mm" style="mso-fit-shape-to-text:t;">
                <w:txbxContent>
                  <w:p w14:paraId="6C7DDAE2">
                    <w:pPr>
                      <w:tabs>
                        <w:tab w:val="center" w:pos="4153"/>
                        <w:tab w:val="right" w:pos="8306"/>
                      </w:tabs>
                      <w:rPr>
                        <w:rFonts w:ascii="宋体" w:hAnsi="宋体"/>
                        <w:sz w:val="18"/>
                        <w:szCs w:val="18"/>
                      </w:rPr>
                    </w:pPr>
                    <w:r>
                      <w:rPr>
                        <w:rFonts w:hint="eastAsia" w:ascii="宋体" w:hAnsi="宋体"/>
                        <w:sz w:val="18"/>
                        <w:szCs w:val="18"/>
                      </w:rPr>
                      <w:t>—</w:t>
                    </w:r>
                    <w:r>
                      <w:rPr>
                        <w:rFonts w:ascii="宋体" w:hAnsi="宋体"/>
                        <w:sz w:val="18"/>
                        <w:szCs w:val="18"/>
                      </w:rPr>
                      <w:fldChar w:fldCharType="begin"/>
                    </w:r>
                    <w:r>
                      <w:rPr>
                        <w:rFonts w:ascii="宋体" w:hAnsi="宋体"/>
                        <w:sz w:val="18"/>
                        <w:szCs w:val="18"/>
                      </w:rPr>
                      <w:instrText xml:space="preserve">PAGE  </w:instrText>
                    </w:r>
                    <w:r>
                      <w:rPr>
                        <w:rFonts w:ascii="宋体" w:hAnsi="宋体"/>
                        <w:sz w:val="18"/>
                        <w:szCs w:val="18"/>
                      </w:rPr>
                      <w:fldChar w:fldCharType="separate"/>
                    </w:r>
                    <w:r>
                      <w:rPr>
                        <w:rFonts w:ascii="宋体" w:hAnsi="宋体"/>
                        <w:sz w:val="18"/>
                        <w:szCs w:val="18"/>
                      </w:rPr>
                      <w:t>11</w:t>
                    </w:r>
                    <w:r>
                      <w:rPr>
                        <w:rFonts w:ascii="宋体" w:hAnsi="宋体"/>
                        <w:sz w:val="18"/>
                        <w:szCs w:val="18"/>
                      </w:rPr>
                      <w:fldChar w:fldCharType="end"/>
                    </w:r>
                    <w:r>
                      <w:rPr>
                        <w:rFonts w:hint="eastAsia" w:ascii="宋体" w:hAnsi="宋体"/>
                        <w:sz w:val="18"/>
                        <w:szCs w:val="18"/>
                      </w:rP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C8160E"/>
    <w:multiLevelType w:val="singleLevel"/>
    <w:tmpl w:val="A2C8160E"/>
    <w:lvl w:ilvl="0" w:tentative="0">
      <w:start w:val="8"/>
      <w:numFmt w:val="decimal"/>
      <w:lvlText w:val="%1."/>
      <w:lvlJc w:val="left"/>
      <w:pPr>
        <w:tabs>
          <w:tab w:val="left" w:pos="312"/>
        </w:tabs>
      </w:pPr>
    </w:lvl>
  </w:abstractNum>
  <w:abstractNum w:abstractNumId="1">
    <w:nsid w:val="00000002"/>
    <w:multiLevelType w:val="singleLevel"/>
    <w:tmpl w:val="00000002"/>
    <w:lvl w:ilvl="0" w:tentative="0">
      <w:start w:val="2"/>
      <w:numFmt w:val="decimal"/>
      <w:suff w:val="nothing"/>
      <w:lvlText w:val="（%1）"/>
      <w:lvlJc w:val="left"/>
    </w:lvl>
  </w:abstractNum>
  <w:abstractNum w:abstractNumId="2">
    <w:nsid w:val="00000003"/>
    <w:multiLevelType w:val="singleLevel"/>
    <w:tmpl w:val="00000003"/>
    <w:lvl w:ilvl="0" w:tentative="0">
      <w:start w:val="2"/>
      <w:numFmt w:val="decimal"/>
      <w:suff w:val="nothing"/>
      <w:lvlText w:val="（%1）"/>
      <w:lvlJc w:val="left"/>
    </w:lvl>
  </w:abstractNum>
  <w:abstractNum w:abstractNumId="3">
    <w:nsid w:val="3AEFD626"/>
    <w:multiLevelType w:val="singleLevel"/>
    <w:tmpl w:val="3AEFD626"/>
    <w:lvl w:ilvl="0" w:tentative="0">
      <w:start w:val="1"/>
      <w:numFmt w:val="decimal"/>
      <w:suff w:val="nothing"/>
      <w:lvlText w:val="%1、"/>
      <w:lvlJc w:val="left"/>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rawingGridVerticalSpacing w:val="156"/>
  <w:displayHorizontalDrawingGridEvery w:val="1"/>
  <w:displayVerticalDrawingGridEvery w:val="1"/>
  <w:doNotShadeFormData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FmZWE3ZDY3MDdhOWYwZGVkYzA2MTM2YTc0ZGE1ZGUifQ=="/>
  </w:docVars>
  <w:rsids>
    <w:rsidRoot w:val="00172A2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D5C77"/>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50CD6"/>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290F7E"/>
    <w:rsid w:val="01460DDC"/>
    <w:rsid w:val="014B0898"/>
    <w:rsid w:val="01573877"/>
    <w:rsid w:val="015D1E09"/>
    <w:rsid w:val="02546EC7"/>
    <w:rsid w:val="02697903"/>
    <w:rsid w:val="02A40CCD"/>
    <w:rsid w:val="02F96569"/>
    <w:rsid w:val="03607AF7"/>
    <w:rsid w:val="036B5DFC"/>
    <w:rsid w:val="03EA7B21"/>
    <w:rsid w:val="04D50F0B"/>
    <w:rsid w:val="055934CE"/>
    <w:rsid w:val="05AE0434"/>
    <w:rsid w:val="05D415D2"/>
    <w:rsid w:val="05E8009F"/>
    <w:rsid w:val="05F83EAE"/>
    <w:rsid w:val="063E7D85"/>
    <w:rsid w:val="06965D31"/>
    <w:rsid w:val="06D279E0"/>
    <w:rsid w:val="070677A2"/>
    <w:rsid w:val="07293586"/>
    <w:rsid w:val="07295285"/>
    <w:rsid w:val="07636392"/>
    <w:rsid w:val="07770C56"/>
    <w:rsid w:val="07814C34"/>
    <w:rsid w:val="07A041E9"/>
    <w:rsid w:val="07BF605E"/>
    <w:rsid w:val="07F07192"/>
    <w:rsid w:val="08D35F42"/>
    <w:rsid w:val="090E755A"/>
    <w:rsid w:val="092217DD"/>
    <w:rsid w:val="093A7294"/>
    <w:rsid w:val="097B4137"/>
    <w:rsid w:val="09A31DEF"/>
    <w:rsid w:val="09CF51A7"/>
    <w:rsid w:val="09DC502A"/>
    <w:rsid w:val="0A116B8A"/>
    <w:rsid w:val="0A263993"/>
    <w:rsid w:val="0A2D3AC2"/>
    <w:rsid w:val="0A4B578D"/>
    <w:rsid w:val="0AA755DF"/>
    <w:rsid w:val="0AB774CA"/>
    <w:rsid w:val="0B120D44"/>
    <w:rsid w:val="0B1809A0"/>
    <w:rsid w:val="0B5A4339"/>
    <w:rsid w:val="0BA87696"/>
    <w:rsid w:val="0BC00354"/>
    <w:rsid w:val="0BD27BF6"/>
    <w:rsid w:val="0C03107C"/>
    <w:rsid w:val="0C2A2269"/>
    <w:rsid w:val="0C3B3C7D"/>
    <w:rsid w:val="0C541F6F"/>
    <w:rsid w:val="0C8015E4"/>
    <w:rsid w:val="0C930A2C"/>
    <w:rsid w:val="0CAB2EAE"/>
    <w:rsid w:val="0D0401E5"/>
    <w:rsid w:val="0D3B7342"/>
    <w:rsid w:val="0D621C7D"/>
    <w:rsid w:val="0D7A2C98"/>
    <w:rsid w:val="0DAB7043"/>
    <w:rsid w:val="0DDF2EF2"/>
    <w:rsid w:val="0DFE78C2"/>
    <w:rsid w:val="0E3B3519"/>
    <w:rsid w:val="0E73034D"/>
    <w:rsid w:val="0E9D7CAD"/>
    <w:rsid w:val="0EBD127E"/>
    <w:rsid w:val="0F055B61"/>
    <w:rsid w:val="0F13775A"/>
    <w:rsid w:val="0F2D7E01"/>
    <w:rsid w:val="0F2F223E"/>
    <w:rsid w:val="0F44252B"/>
    <w:rsid w:val="0F5F45FE"/>
    <w:rsid w:val="0F801C6C"/>
    <w:rsid w:val="0F9075F3"/>
    <w:rsid w:val="0F9A112B"/>
    <w:rsid w:val="0FB11C34"/>
    <w:rsid w:val="0FBE6685"/>
    <w:rsid w:val="106D2F64"/>
    <w:rsid w:val="10B63710"/>
    <w:rsid w:val="10F10820"/>
    <w:rsid w:val="10F23EC4"/>
    <w:rsid w:val="110F2A41"/>
    <w:rsid w:val="111C2F7A"/>
    <w:rsid w:val="114538C6"/>
    <w:rsid w:val="11665CA1"/>
    <w:rsid w:val="11A1525D"/>
    <w:rsid w:val="12266C6B"/>
    <w:rsid w:val="124E2555"/>
    <w:rsid w:val="127C76B1"/>
    <w:rsid w:val="128A01B6"/>
    <w:rsid w:val="12A4070C"/>
    <w:rsid w:val="12EF1CF7"/>
    <w:rsid w:val="13223192"/>
    <w:rsid w:val="134B7855"/>
    <w:rsid w:val="13581A46"/>
    <w:rsid w:val="13951726"/>
    <w:rsid w:val="13C75075"/>
    <w:rsid w:val="13EF27D6"/>
    <w:rsid w:val="13FC3A53"/>
    <w:rsid w:val="14396509"/>
    <w:rsid w:val="149D51E7"/>
    <w:rsid w:val="14DD2C3C"/>
    <w:rsid w:val="150264AD"/>
    <w:rsid w:val="15090669"/>
    <w:rsid w:val="152863C5"/>
    <w:rsid w:val="154B66F9"/>
    <w:rsid w:val="15780DBA"/>
    <w:rsid w:val="158F0871"/>
    <w:rsid w:val="15947775"/>
    <w:rsid w:val="15B514DF"/>
    <w:rsid w:val="16087E1D"/>
    <w:rsid w:val="16235E79"/>
    <w:rsid w:val="1634451C"/>
    <w:rsid w:val="16451F51"/>
    <w:rsid w:val="16E91C80"/>
    <w:rsid w:val="170653AC"/>
    <w:rsid w:val="174E6DD9"/>
    <w:rsid w:val="17575999"/>
    <w:rsid w:val="17701D14"/>
    <w:rsid w:val="17735226"/>
    <w:rsid w:val="17D65CA1"/>
    <w:rsid w:val="17D753CF"/>
    <w:rsid w:val="183D3CB6"/>
    <w:rsid w:val="18842C1C"/>
    <w:rsid w:val="189F624C"/>
    <w:rsid w:val="18B710EC"/>
    <w:rsid w:val="19371A3D"/>
    <w:rsid w:val="19585D97"/>
    <w:rsid w:val="19645C37"/>
    <w:rsid w:val="19804E3A"/>
    <w:rsid w:val="19C021C4"/>
    <w:rsid w:val="1A1C66C0"/>
    <w:rsid w:val="1A337108"/>
    <w:rsid w:val="1A42393B"/>
    <w:rsid w:val="1AAD45DE"/>
    <w:rsid w:val="1B046F80"/>
    <w:rsid w:val="1B2048FA"/>
    <w:rsid w:val="1B3267B5"/>
    <w:rsid w:val="1B40161D"/>
    <w:rsid w:val="1B441859"/>
    <w:rsid w:val="1B486183"/>
    <w:rsid w:val="1B6606B1"/>
    <w:rsid w:val="1B8B3945"/>
    <w:rsid w:val="1BE30867"/>
    <w:rsid w:val="1C0A3439"/>
    <w:rsid w:val="1C2165D4"/>
    <w:rsid w:val="1C5E7925"/>
    <w:rsid w:val="1C8F719B"/>
    <w:rsid w:val="1CAB4C1C"/>
    <w:rsid w:val="1CAB50EC"/>
    <w:rsid w:val="1CD80A1C"/>
    <w:rsid w:val="1CFD070F"/>
    <w:rsid w:val="1D0A7425"/>
    <w:rsid w:val="1D3601C0"/>
    <w:rsid w:val="1D5F6196"/>
    <w:rsid w:val="1D6132A5"/>
    <w:rsid w:val="1D726AF2"/>
    <w:rsid w:val="1D772D50"/>
    <w:rsid w:val="1D8E56D5"/>
    <w:rsid w:val="1DDC37CC"/>
    <w:rsid w:val="1DFA1492"/>
    <w:rsid w:val="1E677DE2"/>
    <w:rsid w:val="1E7A43DA"/>
    <w:rsid w:val="1EA55764"/>
    <w:rsid w:val="1F0D4EF3"/>
    <w:rsid w:val="1F5520B6"/>
    <w:rsid w:val="1F970E99"/>
    <w:rsid w:val="1FE7539E"/>
    <w:rsid w:val="20671BE0"/>
    <w:rsid w:val="20963CB8"/>
    <w:rsid w:val="20A81A1B"/>
    <w:rsid w:val="20B07FB6"/>
    <w:rsid w:val="20B646FB"/>
    <w:rsid w:val="21197DEA"/>
    <w:rsid w:val="21311468"/>
    <w:rsid w:val="213966F5"/>
    <w:rsid w:val="213B74B1"/>
    <w:rsid w:val="215A2310"/>
    <w:rsid w:val="2169118E"/>
    <w:rsid w:val="219D1B33"/>
    <w:rsid w:val="21DE318A"/>
    <w:rsid w:val="21EF5B80"/>
    <w:rsid w:val="22576990"/>
    <w:rsid w:val="229874EA"/>
    <w:rsid w:val="22D606CF"/>
    <w:rsid w:val="22E47A70"/>
    <w:rsid w:val="22F47480"/>
    <w:rsid w:val="23A44173"/>
    <w:rsid w:val="23DE1C48"/>
    <w:rsid w:val="240210CD"/>
    <w:rsid w:val="24182BAD"/>
    <w:rsid w:val="24194BCE"/>
    <w:rsid w:val="245A535B"/>
    <w:rsid w:val="24647EF8"/>
    <w:rsid w:val="24875BD3"/>
    <w:rsid w:val="24A245F0"/>
    <w:rsid w:val="24AF41B9"/>
    <w:rsid w:val="24BF09F7"/>
    <w:rsid w:val="250769A0"/>
    <w:rsid w:val="252D53FE"/>
    <w:rsid w:val="25554808"/>
    <w:rsid w:val="257703FF"/>
    <w:rsid w:val="25EC2D81"/>
    <w:rsid w:val="26B5258C"/>
    <w:rsid w:val="27451D09"/>
    <w:rsid w:val="274B23A5"/>
    <w:rsid w:val="277057A2"/>
    <w:rsid w:val="27B115C7"/>
    <w:rsid w:val="27B95941"/>
    <w:rsid w:val="27DA7664"/>
    <w:rsid w:val="27EB5747"/>
    <w:rsid w:val="27F5071D"/>
    <w:rsid w:val="281B425C"/>
    <w:rsid w:val="2824753C"/>
    <w:rsid w:val="28357A8F"/>
    <w:rsid w:val="28693828"/>
    <w:rsid w:val="2888033E"/>
    <w:rsid w:val="28986FB7"/>
    <w:rsid w:val="29206EB8"/>
    <w:rsid w:val="29434EC4"/>
    <w:rsid w:val="29595666"/>
    <w:rsid w:val="29874881"/>
    <w:rsid w:val="299B11E3"/>
    <w:rsid w:val="29E325E0"/>
    <w:rsid w:val="2A1C7DF8"/>
    <w:rsid w:val="2A2A7083"/>
    <w:rsid w:val="2A452503"/>
    <w:rsid w:val="2A7D6741"/>
    <w:rsid w:val="2AFE1A16"/>
    <w:rsid w:val="2B0546FF"/>
    <w:rsid w:val="2B3E7F9F"/>
    <w:rsid w:val="2B7B7EAF"/>
    <w:rsid w:val="2B9338C8"/>
    <w:rsid w:val="2BA936A8"/>
    <w:rsid w:val="2BAA0794"/>
    <w:rsid w:val="2C315A5A"/>
    <w:rsid w:val="2C4B1C25"/>
    <w:rsid w:val="2CFF6DFA"/>
    <w:rsid w:val="2D1201C9"/>
    <w:rsid w:val="2D39375C"/>
    <w:rsid w:val="2D7A050A"/>
    <w:rsid w:val="2D7F357C"/>
    <w:rsid w:val="2D9B3C70"/>
    <w:rsid w:val="2D9E56F5"/>
    <w:rsid w:val="2E000839"/>
    <w:rsid w:val="2E667F96"/>
    <w:rsid w:val="2E8226AB"/>
    <w:rsid w:val="2E8F3741"/>
    <w:rsid w:val="2F1061A0"/>
    <w:rsid w:val="2F1823DE"/>
    <w:rsid w:val="2F3C3A24"/>
    <w:rsid w:val="2FD065E6"/>
    <w:rsid w:val="2FD22788"/>
    <w:rsid w:val="2FD96870"/>
    <w:rsid w:val="30580BC9"/>
    <w:rsid w:val="30B52F4B"/>
    <w:rsid w:val="30B6519D"/>
    <w:rsid w:val="30E14525"/>
    <w:rsid w:val="311E2ED7"/>
    <w:rsid w:val="315619EE"/>
    <w:rsid w:val="315C449C"/>
    <w:rsid w:val="316C2FB4"/>
    <w:rsid w:val="31B82709"/>
    <w:rsid w:val="31D05482"/>
    <w:rsid w:val="31DC7F7E"/>
    <w:rsid w:val="32400B34"/>
    <w:rsid w:val="32535E9E"/>
    <w:rsid w:val="327A6DF1"/>
    <w:rsid w:val="329E6876"/>
    <w:rsid w:val="333015F2"/>
    <w:rsid w:val="334B6320"/>
    <w:rsid w:val="33D934D4"/>
    <w:rsid w:val="33FE2F6A"/>
    <w:rsid w:val="340C0294"/>
    <w:rsid w:val="340E07E5"/>
    <w:rsid w:val="34235BF7"/>
    <w:rsid w:val="344F6B10"/>
    <w:rsid w:val="34704465"/>
    <w:rsid w:val="34AB35B3"/>
    <w:rsid w:val="34F62354"/>
    <w:rsid w:val="358C5FA8"/>
    <w:rsid w:val="35B72C93"/>
    <w:rsid w:val="35C15DF1"/>
    <w:rsid w:val="36074A7F"/>
    <w:rsid w:val="363B1625"/>
    <w:rsid w:val="36495499"/>
    <w:rsid w:val="36923549"/>
    <w:rsid w:val="36A14EA6"/>
    <w:rsid w:val="36B75FBF"/>
    <w:rsid w:val="36BD0C45"/>
    <w:rsid w:val="37395FC4"/>
    <w:rsid w:val="376B1206"/>
    <w:rsid w:val="37AB63E0"/>
    <w:rsid w:val="37E00298"/>
    <w:rsid w:val="380562C5"/>
    <w:rsid w:val="38B302F9"/>
    <w:rsid w:val="38EC7113"/>
    <w:rsid w:val="38F12CD3"/>
    <w:rsid w:val="38F90CFF"/>
    <w:rsid w:val="38F94775"/>
    <w:rsid w:val="392971ED"/>
    <w:rsid w:val="39325651"/>
    <w:rsid w:val="39687695"/>
    <w:rsid w:val="39A471F4"/>
    <w:rsid w:val="39D7073C"/>
    <w:rsid w:val="39F5707E"/>
    <w:rsid w:val="3A2C4332"/>
    <w:rsid w:val="3A5B485A"/>
    <w:rsid w:val="3A6A7CBE"/>
    <w:rsid w:val="3A6E1E19"/>
    <w:rsid w:val="3A872856"/>
    <w:rsid w:val="3AD75354"/>
    <w:rsid w:val="3AF47336"/>
    <w:rsid w:val="3B1C11CA"/>
    <w:rsid w:val="3B3763D1"/>
    <w:rsid w:val="3B9B3777"/>
    <w:rsid w:val="3BC54678"/>
    <w:rsid w:val="3BFF0E79"/>
    <w:rsid w:val="3C2F6E1E"/>
    <w:rsid w:val="3C4F64BA"/>
    <w:rsid w:val="3C663747"/>
    <w:rsid w:val="3CDA245A"/>
    <w:rsid w:val="3D1E06B7"/>
    <w:rsid w:val="3DAC3EF8"/>
    <w:rsid w:val="3DD33FED"/>
    <w:rsid w:val="3E0E5656"/>
    <w:rsid w:val="3EBF0B67"/>
    <w:rsid w:val="3ED04BBF"/>
    <w:rsid w:val="3ED16309"/>
    <w:rsid w:val="3EDA0523"/>
    <w:rsid w:val="3EFA21A2"/>
    <w:rsid w:val="3F752A9B"/>
    <w:rsid w:val="3FAB338D"/>
    <w:rsid w:val="3FAE7B9D"/>
    <w:rsid w:val="3FDE17E0"/>
    <w:rsid w:val="404E3842"/>
    <w:rsid w:val="407A6407"/>
    <w:rsid w:val="40A84DA2"/>
    <w:rsid w:val="40E26CE6"/>
    <w:rsid w:val="415111E3"/>
    <w:rsid w:val="41625F2E"/>
    <w:rsid w:val="41F245B9"/>
    <w:rsid w:val="4200449D"/>
    <w:rsid w:val="4228438A"/>
    <w:rsid w:val="423A3BCC"/>
    <w:rsid w:val="423D390F"/>
    <w:rsid w:val="424E57D2"/>
    <w:rsid w:val="42B036BD"/>
    <w:rsid w:val="42B26C49"/>
    <w:rsid w:val="42E50355"/>
    <w:rsid w:val="430C7FA4"/>
    <w:rsid w:val="433A6FE6"/>
    <w:rsid w:val="43480868"/>
    <w:rsid w:val="4350713C"/>
    <w:rsid w:val="43543171"/>
    <w:rsid w:val="436653E0"/>
    <w:rsid w:val="439A6AEF"/>
    <w:rsid w:val="43C4431A"/>
    <w:rsid w:val="441609A3"/>
    <w:rsid w:val="444403EA"/>
    <w:rsid w:val="44B951CC"/>
    <w:rsid w:val="44CD14E0"/>
    <w:rsid w:val="44DC7251"/>
    <w:rsid w:val="44F20B0B"/>
    <w:rsid w:val="45245C40"/>
    <w:rsid w:val="452A3FBB"/>
    <w:rsid w:val="452E5F4C"/>
    <w:rsid w:val="45612018"/>
    <w:rsid w:val="458946E9"/>
    <w:rsid w:val="45A47C0E"/>
    <w:rsid w:val="45D830DE"/>
    <w:rsid w:val="45EE1344"/>
    <w:rsid w:val="465007EB"/>
    <w:rsid w:val="46577FD6"/>
    <w:rsid w:val="466C587E"/>
    <w:rsid w:val="466D0334"/>
    <w:rsid w:val="467243B5"/>
    <w:rsid w:val="46D955A7"/>
    <w:rsid w:val="46DA4F38"/>
    <w:rsid w:val="47094295"/>
    <w:rsid w:val="47133957"/>
    <w:rsid w:val="47314A76"/>
    <w:rsid w:val="478C7578"/>
    <w:rsid w:val="47A07E0C"/>
    <w:rsid w:val="47EC413D"/>
    <w:rsid w:val="48491A57"/>
    <w:rsid w:val="4870272E"/>
    <w:rsid w:val="48C83FCA"/>
    <w:rsid w:val="4944409D"/>
    <w:rsid w:val="49DC7715"/>
    <w:rsid w:val="4A012048"/>
    <w:rsid w:val="4A023139"/>
    <w:rsid w:val="4A3E5016"/>
    <w:rsid w:val="4A4137BC"/>
    <w:rsid w:val="4A7B576F"/>
    <w:rsid w:val="4A9B76EF"/>
    <w:rsid w:val="4AA06647"/>
    <w:rsid w:val="4AF561A9"/>
    <w:rsid w:val="4B515C91"/>
    <w:rsid w:val="4B88605F"/>
    <w:rsid w:val="4C467D10"/>
    <w:rsid w:val="4C4A0649"/>
    <w:rsid w:val="4C6333B8"/>
    <w:rsid w:val="4C7E5ECA"/>
    <w:rsid w:val="4C876AA5"/>
    <w:rsid w:val="4CB206B9"/>
    <w:rsid w:val="4D0E00FB"/>
    <w:rsid w:val="4D0E2358"/>
    <w:rsid w:val="4D0F1775"/>
    <w:rsid w:val="4D1238F6"/>
    <w:rsid w:val="4D176606"/>
    <w:rsid w:val="4D3637DE"/>
    <w:rsid w:val="4DBC3CE3"/>
    <w:rsid w:val="4DEC4FB0"/>
    <w:rsid w:val="4DEF1E8F"/>
    <w:rsid w:val="4E075D8A"/>
    <w:rsid w:val="4E4A12EF"/>
    <w:rsid w:val="4EA33852"/>
    <w:rsid w:val="4EC00FAD"/>
    <w:rsid w:val="4ED601AE"/>
    <w:rsid w:val="4F0161BD"/>
    <w:rsid w:val="4F580772"/>
    <w:rsid w:val="4F9843DC"/>
    <w:rsid w:val="4FC62A8C"/>
    <w:rsid w:val="4FE20F0D"/>
    <w:rsid w:val="4FE51552"/>
    <w:rsid w:val="4FEB1A87"/>
    <w:rsid w:val="50055E50"/>
    <w:rsid w:val="502A0528"/>
    <w:rsid w:val="50504C4B"/>
    <w:rsid w:val="509C6E7C"/>
    <w:rsid w:val="50EC3F16"/>
    <w:rsid w:val="5162104E"/>
    <w:rsid w:val="516D5E29"/>
    <w:rsid w:val="51DA0F07"/>
    <w:rsid w:val="52233687"/>
    <w:rsid w:val="522944CF"/>
    <w:rsid w:val="524D521D"/>
    <w:rsid w:val="525719FE"/>
    <w:rsid w:val="52BB6E0B"/>
    <w:rsid w:val="52D715BF"/>
    <w:rsid w:val="52E41AA0"/>
    <w:rsid w:val="52F664DB"/>
    <w:rsid w:val="5306444B"/>
    <w:rsid w:val="532233CF"/>
    <w:rsid w:val="532F535B"/>
    <w:rsid w:val="539179C0"/>
    <w:rsid w:val="53A039CC"/>
    <w:rsid w:val="53A1505A"/>
    <w:rsid w:val="54063E08"/>
    <w:rsid w:val="543437E8"/>
    <w:rsid w:val="54395AA8"/>
    <w:rsid w:val="5449689C"/>
    <w:rsid w:val="54D105A4"/>
    <w:rsid w:val="54F73313"/>
    <w:rsid w:val="54F80955"/>
    <w:rsid w:val="555170A7"/>
    <w:rsid w:val="5552195F"/>
    <w:rsid w:val="5587536D"/>
    <w:rsid w:val="559B174B"/>
    <w:rsid w:val="55B53C08"/>
    <w:rsid w:val="55CE0CF4"/>
    <w:rsid w:val="55FA52C3"/>
    <w:rsid w:val="56024BA5"/>
    <w:rsid w:val="561F29F1"/>
    <w:rsid w:val="562A6F0D"/>
    <w:rsid w:val="564C0697"/>
    <w:rsid w:val="56847C58"/>
    <w:rsid w:val="56B22A9C"/>
    <w:rsid w:val="56C8146A"/>
    <w:rsid w:val="57492D98"/>
    <w:rsid w:val="57A90EC5"/>
    <w:rsid w:val="57B72A76"/>
    <w:rsid w:val="57C3426C"/>
    <w:rsid w:val="57CE1F93"/>
    <w:rsid w:val="57D053C0"/>
    <w:rsid w:val="5847138E"/>
    <w:rsid w:val="587D49B7"/>
    <w:rsid w:val="588743D1"/>
    <w:rsid w:val="5887701A"/>
    <w:rsid w:val="58977925"/>
    <w:rsid w:val="59077821"/>
    <w:rsid w:val="59281F2C"/>
    <w:rsid w:val="59C0439F"/>
    <w:rsid w:val="5ABE2233"/>
    <w:rsid w:val="5AE655CF"/>
    <w:rsid w:val="5B2642C0"/>
    <w:rsid w:val="5B4F5A5D"/>
    <w:rsid w:val="5B64596F"/>
    <w:rsid w:val="5B7A4B13"/>
    <w:rsid w:val="5B9174FF"/>
    <w:rsid w:val="5BDF5D95"/>
    <w:rsid w:val="5BFE7528"/>
    <w:rsid w:val="5C7271E0"/>
    <w:rsid w:val="5CDC3F3C"/>
    <w:rsid w:val="5D4C0604"/>
    <w:rsid w:val="5DB7103A"/>
    <w:rsid w:val="5DF81F3B"/>
    <w:rsid w:val="5E2467F1"/>
    <w:rsid w:val="5E46151C"/>
    <w:rsid w:val="5E984637"/>
    <w:rsid w:val="5E9935A2"/>
    <w:rsid w:val="5F1020E1"/>
    <w:rsid w:val="5F1A2B43"/>
    <w:rsid w:val="5F584E5D"/>
    <w:rsid w:val="5F7F22EA"/>
    <w:rsid w:val="5F920D48"/>
    <w:rsid w:val="5F9D7DD8"/>
    <w:rsid w:val="5FB837BB"/>
    <w:rsid w:val="5FFE462F"/>
    <w:rsid w:val="601B27DB"/>
    <w:rsid w:val="60505D39"/>
    <w:rsid w:val="60627A43"/>
    <w:rsid w:val="60CC405A"/>
    <w:rsid w:val="60DB1F32"/>
    <w:rsid w:val="61616C24"/>
    <w:rsid w:val="61D7370C"/>
    <w:rsid w:val="61E215D8"/>
    <w:rsid w:val="621B3775"/>
    <w:rsid w:val="62364782"/>
    <w:rsid w:val="62C7626E"/>
    <w:rsid w:val="631B5D98"/>
    <w:rsid w:val="6394356A"/>
    <w:rsid w:val="63C61B2C"/>
    <w:rsid w:val="63D40BE9"/>
    <w:rsid w:val="63E96BE4"/>
    <w:rsid w:val="64102431"/>
    <w:rsid w:val="64925346"/>
    <w:rsid w:val="64A22C8D"/>
    <w:rsid w:val="64A5243A"/>
    <w:rsid w:val="64C52DB8"/>
    <w:rsid w:val="64F531DE"/>
    <w:rsid w:val="65373578"/>
    <w:rsid w:val="65A46D91"/>
    <w:rsid w:val="65CA061F"/>
    <w:rsid w:val="666108A7"/>
    <w:rsid w:val="66654AA4"/>
    <w:rsid w:val="66CE08F2"/>
    <w:rsid w:val="671F124A"/>
    <w:rsid w:val="672725FC"/>
    <w:rsid w:val="677A33C6"/>
    <w:rsid w:val="67D17544"/>
    <w:rsid w:val="681F6961"/>
    <w:rsid w:val="68247D94"/>
    <w:rsid w:val="68610A2F"/>
    <w:rsid w:val="68805514"/>
    <w:rsid w:val="68BF5469"/>
    <w:rsid w:val="69316E2F"/>
    <w:rsid w:val="694E2071"/>
    <w:rsid w:val="69766163"/>
    <w:rsid w:val="697A3B33"/>
    <w:rsid w:val="69866622"/>
    <w:rsid w:val="69A3028C"/>
    <w:rsid w:val="69AF27F7"/>
    <w:rsid w:val="69CA4D62"/>
    <w:rsid w:val="69D44760"/>
    <w:rsid w:val="6A0612A2"/>
    <w:rsid w:val="6A0A63C6"/>
    <w:rsid w:val="6A520EC7"/>
    <w:rsid w:val="6A5A6E03"/>
    <w:rsid w:val="6AF87E20"/>
    <w:rsid w:val="6B0B7B98"/>
    <w:rsid w:val="6B322639"/>
    <w:rsid w:val="6B872F57"/>
    <w:rsid w:val="6BF9230F"/>
    <w:rsid w:val="6C636C38"/>
    <w:rsid w:val="6C700663"/>
    <w:rsid w:val="6D035811"/>
    <w:rsid w:val="6D35238F"/>
    <w:rsid w:val="6D665E3B"/>
    <w:rsid w:val="6DB34098"/>
    <w:rsid w:val="6DB545B6"/>
    <w:rsid w:val="6DDE2DF9"/>
    <w:rsid w:val="6DE02FB4"/>
    <w:rsid w:val="6DEB4DF7"/>
    <w:rsid w:val="6E4E22DE"/>
    <w:rsid w:val="6E514CED"/>
    <w:rsid w:val="6E7949C8"/>
    <w:rsid w:val="6EB563D5"/>
    <w:rsid w:val="6EC44669"/>
    <w:rsid w:val="6ED8263B"/>
    <w:rsid w:val="6ED92677"/>
    <w:rsid w:val="6F225983"/>
    <w:rsid w:val="6FFC5590"/>
    <w:rsid w:val="700A3F8F"/>
    <w:rsid w:val="700A43BC"/>
    <w:rsid w:val="706775BD"/>
    <w:rsid w:val="706D1DD0"/>
    <w:rsid w:val="70856B87"/>
    <w:rsid w:val="70912956"/>
    <w:rsid w:val="70A50FE3"/>
    <w:rsid w:val="70BA7D54"/>
    <w:rsid w:val="70D527EE"/>
    <w:rsid w:val="711A2FE2"/>
    <w:rsid w:val="713779DA"/>
    <w:rsid w:val="715B5300"/>
    <w:rsid w:val="71A33E6E"/>
    <w:rsid w:val="71BF4CE2"/>
    <w:rsid w:val="71C37B60"/>
    <w:rsid w:val="71D27F8A"/>
    <w:rsid w:val="72553024"/>
    <w:rsid w:val="726A1755"/>
    <w:rsid w:val="72B24CFD"/>
    <w:rsid w:val="72D84A79"/>
    <w:rsid w:val="73122968"/>
    <w:rsid w:val="731F5D5E"/>
    <w:rsid w:val="73665A27"/>
    <w:rsid w:val="73925754"/>
    <w:rsid w:val="73BA21C4"/>
    <w:rsid w:val="73C51AD5"/>
    <w:rsid w:val="73FE00AD"/>
    <w:rsid w:val="741E793C"/>
    <w:rsid w:val="74422588"/>
    <w:rsid w:val="745E3944"/>
    <w:rsid w:val="749034EE"/>
    <w:rsid w:val="751B772F"/>
    <w:rsid w:val="75483663"/>
    <w:rsid w:val="755D3634"/>
    <w:rsid w:val="75887D34"/>
    <w:rsid w:val="75EA6E57"/>
    <w:rsid w:val="7635099D"/>
    <w:rsid w:val="76840135"/>
    <w:rsid w:val="76847DED"/>
    <w:rsid w:val="76874903"/>
    <w:rsid w:val="76A96394"/>
    <w:rsid w:val="76EF6CC0"/>
    <w:rsid w:val="77556186"/>
    <w:rsid w:val="77762421"/>
    <w:rsid w:val="77820783"/>
    <w:rsid w:val="77A00738"/>
    <w:rsid w:val="77B56B1F"/>
    <w:rsid w:val="77FD3308"/>
    <w:rsid w:val="780F09F4"/>
    <w:rsid w:val="78720A1C"/>
    <w:rsid w:val="78A90480"/>
    <w:rsid w:val="792B12E2"/>
    <w:rsid w:val="793D2A50"/>
    <w:rsid w:val="79A31D2F"/>
    <w:rsid w:val="79AE3006"/>
    <w:rsid w:val="79B87C94"/>
    <w:rsid w:val="79F6376D"/>
    <w:rsid w:val="7A364017"/>
    <w:rsid w:val="7A8265E1"/>
    <w:rsid w:val="7ADE2810"/>
    <w:rsid w:val="7AE3426E"/>
    <w:rsid w:val="7AFE387D"/>
    <w:rsid w:val="7B1D6B77"/>
    <w:rsid w:val="7B686D42"/>
    <w:rsid w:val="7B841746"/>
    <w:rsid w:val="7BF070CA"/>
    <w:rsid w:val="7BFD2610"/>
    <w:rsid w:val="7C6C5AC7"/>
    <w:rsid w:val="7C923CDE"/>
    <w:rsid w:val="7CB0066B"/>
    <w:rsid w:val="7CB5523F"/>
    <w:rsid w:val="7CC6544B"/>
    <w:rsid w:val="7CE94583"/>
    <w:rsid w:val="7D0239FF"/>
    <w:rsid w:val="7D5E40CD"/>
    <w:rsid w:val="7D7B6172"/>
    <w:rsid w:val="7D9D5349"/>
    <w:rsid w:val="7DCC443D"/>
    <w:rsid w:val="7DCD56F2"/>
    <w:rsid w:val="7DED6273"/>
    <w:rsid w:val="7E386B07"/>
    <w:rsid w:val="7E563C1F"/>
    <w:rsid w:val="7EE41341"/>
    <w:rsid w:val="7F001CE7"/>
    <w:rsid w:val="7F38253A"/>
    <w:rsid w:val="7F5A160F"/>
    <w:rsid w:val="7F8738A2"/>
    <w:rsid w:val="7FA81223"/>
    <w:rsid w:val="7FB15212"/>
    <w:rsid w:val="7FC5140A"/>
    <w:rsid w:val="7FC70245"/>
    <w:rsid w:val="7FE47E5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50"/>
    <w:qFormat/>
    <w:uiPriority w:val="0"/>
    <w:pPr>
      <w:keepNext/>
      <w:overflowPunct w:val="0"/>
      <w:snapToGrid w:val="0"/>
      <w:spacing w:before="120" w:after="160" w:line="259" w:lineRule="auto"/>
      <w:ind w:left="432" w:hanging="432"/>
      <w:outlineLvl w:val="0"/>
    </w:pPr>
    <w:rPr>
      <w:rFonts w:ascii="Times New Roman" w:hAnsi="Times New Roman" w:eastAsia="黑体" w:cs="Times New Roman"/>
      <w:b/>
      <w:bCs/>
      <w:color w:val="000000"/>
      <w:kern w:val="44"/>
      <w:sz w:val="30"/>
      <w:szCs w:val="30"/>
    </w:rPr>
  </w:style>
  <w:style w:type="character" w:default="1" w:styleId="15">
    <w:name w:val="Default Paragraph Font"/>
    <w:qFormat/>
    <w:uiPriority w:val="0"/>
    <w:rPr>
      <w:rFonts w:ascii="Times New Roman" w:hAnsi="Times New Roman" w:eastAsia="宋体" w:cs="Times New Roman"/>
    </w:rPr>
  </w:style>
  <w:style w:type="table" w:default="1" w:styleId="13">
    <w:name w:val="Normal Table"/>
    <w:qFormat/>
    <w:uiPriority w:val="0"/>
    <w:rPr>
      <w:rFonts w:ascii="Times New Roman" w:hAnsi="Times New Roman" w:eastAsia="宋体" w:cs="Times New Roman"/>
    </w:rPr>
    <w:tblPr>
      <w:tblCellMar>
        <w:top w:w="0" w:type="dxa"/>
        <w:left w:w="108" w:type="dxa"/>
        <w:bottom w:w="0" w:type="dxa"/>
        <w:right w:w="108" w:type="dxa"/>
      </w:tblCellMar>
    </w:tblPr>
  </w:style>
  <w:style w:type="paragraph" w:styleId="3">
    <w:name w:val="Normal Indent"/>
    <w:basedOn w:val="1"/>
    <w:next w:val="4"/>
    <w:unhideWhenUsed/>
    <w:qFormat/>
    <w:uiPriority w:val="0"/>
    <w:pPr>
      <w:spacing w:line="560" w:lineRule="exact"/>
      <w:ind w:firstLine="200" w:firstLineChars="200"/>
    </w:pPr>
    <w:rPr>
      <w:rFonts w:hint="default" w:ascii="仿宋_GB2312" w:hAnsi="Calibri" w:eastAsia="仿宋_GB2312" w:cs="Times New Roman"/>
      <w:sz w:val="28"/>
      <w:szCs w:val="20"/>
    </w:rPr>
  </w:style>
  <w:style w:type="paragraph" w:styleId="4">
    <w:name w:val="Body Text"/>
    <w:basedOn w:val="1"/>
    <w:qFormat/>
    <w:uiPriority w:val="0"/>
    <w:rPr>
      <w:rFonts w:ascii="Times New Roman" w:hAnsi="Times New Roman" w:eastAsia="宋体" w:cs="Times New Roman"/>
      <w:sz w:val="30"/>
    </w:rPr>
  </w:style>
  <w:style w:type="paragraph" w:styleId="5">
    <w:name w:val="annotation text"/>
    <w:basedOn w:val="1"/>
    <w:qFormat/>
    <w:uiPriority w:val="0"/>
    <w:pPr>
      <w:jc w:val="left"/>
    </w:pPr>
  </w:style>
  <w:style w:type="paragraph" w:styleId="6">
    <w:name w:val="footer"/>
    <w:basedOn w:val="1"/>
    <w:link w:val="19"/>
    <w:qFormat/>
    <w:uiPriority w:val="0"/>
    <w:pPr>
      <w:tabs>
        <w:tab w:val="center" w:pos="4153"/>
        <w:tab w:val="right" w:pos="8306"/>
      </w:tabs>
      <w:snapToGrid w:val="0"/>
      <w:jc w:val="left"/>
    </w:pPr>
    <w:rPr>
      <w:rFonts w:ascii="Times New Roman" w:hAnsi="Times New Roman" w:eastAsia="宋体" w:cs="Times New Roman"/>
      <w:sz w:val="18"/>
    </w:rPr>
  </w:style>
  <w:style w:type="paragraph" w:styleId="7">
    <w:name w:val="header"/>
    <w:basedOn w:val="1"/>
    <w:link w:val="20"/>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Times New Roman" w:hAnsi="Times New Roman" w:eastAsia="宋体" w:cs="Times New Roman"/>
      <w:sz w:val="18"/>
    </w:rPr>
  </w:style>
  <w:style w:type="paragraph" w:styleId="8">
    <w:name w:val="toc 1"/>
    <w:basedOn w:val="1"/>
    <w:next w:val="1"/>
    <w:qFormat/>
    <w:uiPriority w:val="0"/>
    <w:pPr>
      <w:spacing w:line="360" w:lineRule="auto"/>
    </w:pPr>
    <w:rPr>
      <w:rFonts w:ascii="Times New Roman" w:hAnsi="Times New Roman" w:eastAsia="宋体" w:cs="Times New Roman"/>
      <w:b/>
      <w:sz w:val="24"/>
    </w:rPr>
  </w:style>
  <w:style w:type="paragraph" w:styleId="9">
    <w:name w:val="toc 2"/>
    <w:basedOn w:val="1"/>
    <w:next w:val="1"/>
    <w:qFormat/>
    <w:uiPriority w:val="0"/>
    <w:pPr>
      <w:ind w:left="200" w:leftChars="200"/>
    </w:pPr>
    <w:rPr>
      <w:rFonts w:ascii="Times New Roman" w:hAnsi="Times New Roman" w:eastAsia="宋体" w:cs="Times New Roman"/>
    </w:rPr>
  </w:style>
  <w:style w:type="paragraph" w:styleId="10">
    <w:name w:val="Message Header"/>
    <w:basedOn w:val="1"/>
    <w:next w:val="1"/>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11">
    <w:name w:val="Normal (Web)"/>
    <w:basedOn w:val="1"/>
    <w:qFormat/>
    <w:uiPriority w:val="0"/>
    <w:pPr>
      <w:spacing w:before="100" w:beforeAutospacing="1" w:after="100" w:afterAutospacing="1"/>
      <w:ind w:left="0" w:right="0"/>
      <w:jc w:val="left"/>
    </w:pPr>
    <w:rPr>
      <w:rFonts w:ascii="Times New Roman" w:hAnsi="Times New Roman" w:eastAsia="宋体" w:cs="Times New Roman"/>
      <w:kern w:val="0"/>
      <w:sz w:val="24"/>
      <w:lang w:val="en-US" w:eastAsia="zh-CN" w:bidi="ar"/>
    </w:rPr>
  </w:style>
  <w:style w:type="paragraph" w:styleId="12">
    <w:name w:val="Body Text First Indent"/>
    <w:basedOn w:val="4"/>
    <w:next w:val="1"/>
    <w:qFormat/>
    <w:uiPriority w:val="0"/>
    <w:pPr>
      <w:spacing w:after="120"/>
      <w:ind w:firstLine="420" w:firstLineChars="100"/>
    </w:pPr>
    <w:rPr>
      <w:rFonts w:ascii="Times New Roman" w:hAnsi="Times New Roman" w:eastAsia="宋体" w:cs="Times New Roman"/>
      <w:sz w:val="21"/>
    </w:rPr>
  </w:style>
  <w:style w:type="table" w:styleId="14">
    <w:name w:val="Table Grid"/>
    <w:basedOn w:val="13"/>
    <w:qFormat/>
    <w:uiPriority w:val="0"/>
    <w:rPr>
      <w:rFonts w:ascii="Times New Roman" w:hAnsi="Times New Roman" w:eastAsia="宋体" w:cs="Times New Roman"/>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Strong"/>
    <w:basedOn w:val="15"/>
    <w:qFormat/>
    <w:uiPriority w:val="0"/>
    <w:rPr>
      <w:b/>
    </w:rPr>
  </w:style>
  <w:style w:type="character" w:styleId="17">
    <w:name w:val="page number"/>
    <w:basedOn w:val="15"/>
    <w:qFormat/>
    <w:uiPriority w:val="0"/>
    <w:rPr>
      <w:rFonts w:hint="default" w:ascii="Times New Roman" w:hAnsi="Times New Roman" w:eastAsia="宋体" w:cs="Times New Roman"/>
    </w:rPr>
  </w:style>
  <w:style w:type="paragraph" w:customStyle="1" w:styleId="18">
    <w:name w:val="报告书正文"/>
    <w:basedOn w:val="1"/>
    <w:qFormat/>
    <w:uiPriority w:val="0"/>
    <w:pPr>
      <w:adjustRightInd w:val="0"/>
      <w:snapToGrid w:val="0"/>
      <w:ind w:firstLine="425"/>
      <w:textAlignment w:val="baseline"/>
    </w:pPr>
    <w:rPr>
      <w:rFonts w:ascii="Arial" w:hAnsi="Arial"/>
      <w:kern w:val="0"/>
    </w:rPr>
  </w:style>
  <w:style w:type="character" w:customStyle="1" w:styleId="19">
    <w:name w:val="页脚 字符"/>
    <w:basedOn w:val="15"/>
    <w:link w:val="6"/>
    <w:qFormat/>
    <w:uiPriority w:val="0"/>
    <w:rPr>
      <w:rFonts w:ascii="Times New Roman" w:hAnsi="Times New Roman" w:eastAsia="宋体" w:cs="Times New Roman"/>
    </w:rPr>
  </w:style>
  <w:style w:type="character" w:customStyle="1" w:styleId="20">
    <w:name w:val="页眉 Char"/>
    <w:basedOn w:val="15"/>
    <w:link w:val="7"/>
    <w:qFormat/>
    <w:uiPriority w:val="0"/>
    <w:rPr>
      <w:rFonts w:hint="default" w:ascii="Calibri" w:hAnsi="Calibri" w:eastAsia="宋体" w:cs="Calibri"/>
    </w:rPr>
  </w:style>
  <w:style w:type="paragraph" w:customStyle="1" w:styleId="21">
    <w:name w:val="样式 正文首行缩进 + 首行缩进:  2 字符1"/>
    <w:basedOn w:val="1"/>
    <w:next w:val="8"/>
    <w:qFormat/>
    <w:uiPriority w:val="0"/>
    <w:pPr>
      <w:spacing w:line="360" w:lineRule="auto"/>
      <w:ind w:firstLine="480" w:firstLineChars="200"/>
    </w:pPr>
    <w:rPr>
      <w:rFonts w:ascii="Calibri" w:hAnsi="Calibri"/>
      <w:sz w:val="24"/>
      <w:szCs w:val="20"/>
    </w:rPr>
  </w:style>
  <w:style w:type="paragraph" w:customStyle="1" w:styleId="22">
    <w:name w:val="②JM正文"/>
    <w:basedOn w:val="23"/>
    <w:qFormat/>
    <w:uiPriority w:val="0"/>
    <w:pPr>
      <w:spacing w:line="360" w:lineRule="auto"/>
      <w:ind w:firstLine="720" w:firstLineChars="200"/>
    </w:pPr>
    <w:rPr>
      <w:rFonts w:ascii="Times New Roman" w:hAnsi="Times New Roman" w:eastAsia="宋体" w:cs="Times New Roman"/>
    </w:rPr>
  </w:style>
  <w:style w:type="paragraph" w:customStyle="1" w:styleId="23">
    <w:name w:val="②JM正文 顶格"/>
    <w:next w:val="22"/>
    <w:qFormat/>
    <w:uiPriority w:val="0"/>
    <w:pPr>
      <w:spacing w:line="360" w:lineRule="auto"/>
      <w:jc w:val="left"/>
    </w:pPr>
    <w:rPr>
      <w:rFonts w:ascii="Times New Roman" w:hAnsi="Times New Roman" w:eastAsia="宋体" w:cs="Times New Roman"/>
    </w:rPr>
  </w:style>
  <w:style w:type="paragraph" w:customStyle="1" w:styleId="24">
    <w:name w:val="②JM正文 顶格 加粗"/>
    <w:basedOn w:val="23"/>
    <w:next w:val="22"/>
    <w:qFormat/>
    <w:uiPriority w:val="0"/>
    <w:rPr>
      <w:rFonts w:ascii="Times New Roman" w:hAnsi="Times New Roman" w:eastAsia="宋体" w:cs="Times New Roman"/>
      <w:b/>
    </w:rPr>
  </w:style>
  <w:style w:type="table" w:customStyle="1" w:styleId="25">
    <w:name w:val="Table Normal"/>
    <w:qFormat/>
    <w:uiPriority w:val="0"/>
    <w:rPr>
      <w:rFonts w:ascii="Times New Roman" w:hAnsi="Times New Roman" w:eastAsia="宋体" w:cs="Times New Roman"/>
    </w:rPr>
    <w:tblPr>
      <w:tblCellMar>
        <w:top w:w="0" w:type="dxa"/>
        <w:left w:w="0" w:type="dxa"/>
        <w:bottom w:w="0" w:type="dxa"/>
        <w:right w:w="0" w:type="dxa"/>
      </w:tblCellMar>
    </w:tblPr>
  </w:style>
  <w:style w:type="paragraph" w:customStyle="1" w:styleId="26">
    <w:name w:val="①JM表格 居中"/>
    <w:basedOn w:val="1"/>
    <w:next w:val="1"/>
    <w:qFormat/>
    <w:uiPriority w:val="0"/>
    <w:pPr>
      <w:spacing w:line="240" w:lineRule="auto"/>
      <w:ind w:firstLine="0" w:firstLineChars="0"/>
      <w:jc w:val="center"/>
    </w:pPr>
    <w:rPr>
      <w:rFonts w:ascii="Times New Roman" w:hAnsi="Times New Roman" w:eastAsia="宋体" w:cs="Times New Roman"/>
      <w:sz w:val="21"/>
    </w:rPr>
  </w:style>
  <w:style w:type="paragraph" w:customStyle="1" w:styleId="27">
    <w:name w:val="②JM表格小标题 仿宋"/>
    <w:basedOn w:val="26"/>
    <w:next w:val="22"/>
    <w:qFormat/>
    <w:uiPriority w:val="0"/>
    <w:pPr>
      <w:spacing w:line="360" w:lineRule="auto"/>
    </w:pPr>
    <w:rPr>
      <w:rFonts w:ascii="Times New Roman" w:hAnsi="Times New Roman" w:eastAsia="仿宋" w:cs="Times New Roman"/>
      <w:b/>
    </w:rPr>
  </w:style>
  <w:style w:type="paragraph" w:customStyle="1" w:styleId="28">
    <w:name w:val="②JM表格 居中 仿宋"/>
    <w:basedOn w:val="27"/>
    <w:next w:val="22"/>
    <w:qFormat/>
    <w:uiPriority w:val="0"/>
    <w:pPr>
      <w:spacing w:line="240" w:lineRule="auto"/>
    </w:pPr>
    <w:rPr>
      <w:rFonts w:ascii="Times New Roman" w:hAnsi="Times New Roman" w:eastAsia="宋体" w:cs="Times New Roman"/>
      <w:b w:val="0"/>
    </w:rPr>
  </w:style>
  <w:style w:type="paragraph" w:customStyle="1" w:styleId="29">
    <w:name w:val="Default"/>
    <w:basedOn w:val="30"/>
    <w:next w:val="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0">
    <w:name w:val="纯文本1"/>
    <w:basedOn w:val="1"/>
    <w:semiHidden/>
    <w:qFormat/>
    <w:uiPriority w:val="0"/>
    <w:pPr>
      <w:adjustRightInd w:val="0"/>
      <w:textAlignment w:val="baseline"/>
    </w:pPr>
    <w:rPr>
      <w:rFonts w:ascii="宋体" w:hAnsi="Courier New"/>
      <w:szCs w:val="20"/>
    </w:rPr>
  </w:style>
  <w:style w:type="paragraph" w:customStyle="1" w:styleId="31">
    <w:name w:val="Body text|1"/>
    <w:basedOn w:val="1"/>
    <w:qFormat/>
    <w:uiPriority w:val="0"/>
    <w:pPr>
      <w:widowControl w:val="0"/>
      <w:shd w:val="clear" w:color="auto" w:fill="auto"/>
      <w:spacing w:line="420" w:lineRule="auto"/>
      <w:ind w:firstLine="400"/>
    </w:pPr>
    <w:rPr>
      <w:rFonts w:ascii="宋体" w:hAnsi="宋体" w:eastAsia="宋体" w:cs="宋体"/>
      <w:sz w:val="22"/>
      <w:szCs w:val="22"/>
      <w:u w:val="none"/>
      <w:shd w:val="clear" w:color="auto" w:fill="auto"/>
      <w:lang w:val="zh-TW" w:eastAsia="zh-TW" w:bidi="zh-TW"/>
    </w:rPr>
  </w:style>
  <w:style w:type="paragraph" w:customStyle="1" w:styleId="32">
    <w:name w:val="巴彦正文"/>
    <w:basedOn w:val="1"/>
    <w:qFormat/>
    <w:uiPriority w:val="0"/>
    <w:pPr>
      <w:spacing w:line="360" w:lineRule="auto"/>
      <w:ind w:firstLine="200" w:firstLineChars="200"/>
    </w:pPr>
    <w:rPr>
      <w:sz w:val="28"/>
    </w:rPr>
  </w:style>
  <w:style w:type="paragraph" w:customStyle="1" w:styleId="33">
    <w:name w:val="样式 首行缩进:  2 字符1"/>
    <w:basedOn w:val="1"/>
    <w:qFormat/>
    <w:uiPriority w:val="99"/>
    <w:pPr>
      <w:ind w:firstLine="560" w:firstLineChars="200"/>
    </w:pPr>
    <w:rPr>
      <w:rFonts w:cs="宋体"/>
      <w:sz w:val="28"/>
      <w:szCs w:val="20"/>
    </w:rPr>
  </w:style>
  <w:style w:type="paragraph" w:customStyle="1" w:styleId="34">
    <w:name w:val="List Paragraph"/>
    <w:basedOn w:val="1"/>
    <w:qFormat/>
    <w:uiPriority w:val="0"/>
    <w:pPr>
      <w:ind w:firstLine="420" w:firstLineChars="200"/>
    </w:pPr>
    <w:rPr>
      <w:sz w:val="24"/>
    </w:rPr>
  </w:style>
  <w:style w:type="paragraph" w:customStyle="1" w:styleId="35">
    <w:name w:val="表格中文字"/>
    <w:basedOn w:val="36"/>
    <w:qFormat/>
    <w:uiPriority w:val="0"/>
    <w:pPr>
      <w:spacing w:line="360" w:lineRule="exact"/>
      <w:jc w:val="center"/>
    </w:pPr>
    <w:rPr>
      <w:rFonts w:ascii="Times New Roman" w:hAnsi="Times New Roman"/>
      <w:kern w:val="0"/>
      <w:szCs w:val="21"/>
    </w:rPr>
  </w:style>
  <w:style w:type="paragraph" w:customStyle="1" w:styleId="36">
    <w:name w:val="填表正文"/>
    <w:basedOn w:val="1"/>
    <w:qFormat/>
    <w:uiPriority w:val="0"/>
    <w:pPr>
      <w:adjustRightInd w:val="0"/>
      <w:snapToGrid w:val="0"/>
      <w:jc w:val="center"/>
    </w:pPr>
    <w:rPr>
      <w:rFonts w:ascii="宋体" w:hAnsi="Calibri"/>
      <w:color w:val="000000"/>
      <w:kern w:val="0"/>
      <w:szCs w:val="44"/>
    </w:rPr>
  </w:style>
  <w:style w:type="paragraph" w:customStyle="1" w:styleId="37">
    <w:name w:val="内容"/>
    <w:basedOn w:val="1"/>
    <w:qFormat/>
    <w:uiPriority w:val="0"/>
    <w:pPr>
      <w:spacing w:before="156" w:beforeLines="50" w:after="156" w:afterLines="50"/>
      <w:ind w:firstLine="200" w:firstLineChars="200"/>
    </w:pPr>
    <w:rPr>
      <w:color w:val="000000"/>
      <w:sz w:val="24"/>
      <w:szCs w:val="24"/>
    </w:rPr>
  </w:style>
  <w:style w:type="paragraph" w:customStyle="1" w:styleId="38">
    <w:name w:val="C首行缩进正文"/>
    <w:basedOn w:val="39"/>
    <w:qFormat/>
    <w:uiPriority w:val="0"/>
    <w:pPr>
      <w:ind w:firstLine="200"/>
    </w:pPr>
    <w:rPr>
      <w:rFonts w:eastAsia="宋体" w:cs="宋体"/>
      <w:color w:val="000000"/>
      <w:sz w:val="21"/>
    </w:rPr>
  </w:style>
  <w:style w:type="paragraph" w:customStyle="1" w:styleId="39">
    <w:name w:val="【正文】"/>
    <w:basedOn w:val="1"/>
    <w:next w:val="10"/>
    <w:qFormat/>
    <w:uiPriority w:val="0"/>
    <w:pPr>
      <w:spacing w:line="360" w:lineRule="auto"/>
      <w:ind w:firstLine="200" w:firstLineChars="200"/>
    </w:pPr>
    <w:rPr>
      <w:rFonts w:cs="宋体"/>
      <w:color w:val="000000"/>
      <w:kern w:val="0"/>
      <w:sz w:val="24"/>
    </w:rPr>
  </w:style>
  <w:style w:type="paragraph" w:customStyle="1" w:styleId="40">
    <w:name w:val="_Style 4"/>
    <w:qFormat/>
    <w:uiPriority w:val="0"/>
    <w:pPr>
      <w:widowControl w:val="0"/>
      <w:ind w:firstLine="200" w:firstLineChars="200"/>
      <w:jc w:val="both"/>
    </w:pPr>
    <w:rPr>
      <w:rFonts w:ascii="Times New Roman" w:hAnsi="Times New Roman" w:eastAsia="宋体" w:cs="Times New Roman"/>
      <w:kern w:val="2"/>
      <w:sz w:val="24"/>
      <w:szCs w:val="21"/>
      <w:lang w:val="en-US" w:eastAsia="zh-CN" w:bidi="ar-SA"/>
    </w:rPr>
  </w:style>
  <w:style w:type="paragraph" w:customStyle="1" w:styleId="41">
    <w:name w:val="List Paragraph1"/>
    <w:basedOn w:val="1"/>
    <w:qFormat/>
    <w:uiPriority w:val="0"/>
    <w:pPr>
      <w:ind w:firstLine="420" w:firstLineChars="200"/>
    </w:pPr>
    <w:rPr>
      <w:sz w:val="24"/>
    </w:rPr>
  </w:style>
  <w:style w:type="paragraph" w:customStyle="1" w:styleId="42">
    <w:name w:val="首行缩进正文"/>
    <w:basedOn w:val="39"/>
    <w:qFormat/>
    <w:uiPriority w:val="0"/>
    <w:pPr>
      <w:spacing w:line="240" w:lineRule="auto"/>
    </w:pPr>
    <w:rPr>
      <w:sz w:val="21"/>
    </w:rPr>
  </w:style>
  <w:style w:type="paragraph" w:customStyle="1" w:styleId="43">
    <w:name w:val="Table Text"/>
    <w:basedOn w:val="1"/>
    <w:semiHidden/>
    <w:qFormat/>
    <w:uiPriority w:val="0"/>
    <w:rPr>
      <w:rFonts w:ascii="宋体" w:hAnsi="宋体" w:eastAsia="宋体" w:cs="宋体"/>
      <w:sz w:val="24"/>
      <w:szCs w:val="24"/>
      <w:lang w:val="en-US" w:eastAsia="en-US" w:bidi="ar-SA"/>
    </w:rPr>
  </w:style>
  <w:style w:type="paragraph" w:customStyle="1" w:styleId="44">
    <w:name w:val="表格填充项"/>
    <w:basedOn w:val="1"/>
    <w:qFormat/>
    <w:uiPriority w:val="0"/>
    <w:pPr>
      <w:spacing w:line="240" w:lineRule="atLeast"/>
      <w:jc w:val="center"/>
    </w:pPr>
    <w:rPr>
      <w:rFonts w:ascii="宋体" w:hAnsi="宋体" w:cs="Times New Roman"/>
      <w:b/>
      <w:szCs w:val="24"/>
    </w:rPr>
  </w:style>
  <w:style w:type="paragraph" w:customStyle="1" w:styleId="45">
    <w:name w:val="a正文"/>
    <w:basedOn w:val="46"/>
    <w:qFormat/>
    <w:uiPriority w:val="0"/>
    <w:pPr>
      <w:spacing w:line="520" w:lineRule="exact"/>
      <w:ind w:firstLine="200"/>
    </w:pPr>
    <w:rPr>
      <w:sz w:val="24"/>
    </w:rPr>
  </w:style>
  <w:style w:type="paragraph" w:customStyle="1" w:styleId="46">
    <w:name w:val="正文格式"/>
    <w:basedOn w:val="1"/>
    <w:next w:val="1"/>
    <w:qFormat/>
    <w:uiPriority w:val="0"/>
    <w:pPr>
      <w:spacing w:line="360" w:lineRule="auto"/>
      <w:ind w:firstLine="420" w:firstLineChars="200"/>
    </w:pPr>
    <w:rPr>
      <w:kern w:val="0"/>
      <w:szCs w:val="21"/>
    </w:rPr>
  </w:style>
  <w:style w:type="paragraph" w:customStyle="1" w:styleId="47">
    <w:name w:val="..正文"/>
    <w:basedOn w:val="1"/>
    <w:qFormat/>
    <w:uiPriority w:val="0"/>
    <w:pPr>
      <w:spacing w:line="520" w:lineRule="exact"/>
      <w:ind w:firstLine="200" w:firstLineChars="200"/>
    </w:pPr>
    <w:rPr>
      <w:kern w:val="0"/>
      <w:sz w:val="24"/>
    </w:rPr>
  </w:style>
  <w:style w:type="paragraph" w:customStyle="1" w:styleId="48">
    <w:name w:val="- 页码 -"/>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49">
    <w:name w:val="正文首行缩进1"/>
    <w:basedOn w:val="4"/>
    <w:unhideWhenUsed/>
    <w:qFormat/>
    <w:uiPriority w:val="99"/>
    <w:pPr>
      <w:adjustRightInd w:val="0"/>
      <w:spacing w:before="0" w:after="0" w:line="360" w:lineRule="auto"/>
      <w:ind w:right="0" w:firstLine="200" w:firstLineChars="200"/>
    </w:pPr>
    <w:rPr>
      <w:kern w:val="2"/>
      <w:sz w:val="24"/>
      <w:szCs w:val="21"/>
    </w:rPr>
  </w:style>
  <w:style w:type="character" w:customStyle="1" w:styleId="50">
    <w:name w:val="标题 1 Char"/>
    <w:link w:val="2"/>
    <w:qFormat/>
    <w:uiPriority w:val="0"/>
    <w:rPr>
      <w:rFonts w:ascii="Times New Roman" w:hAnsi="Times New Roman" w:eastAsia="黑体" w:cs="Times New Roman"/>
      <w:b/>
      <w:bCs/>
      <w:color w:val="000000"/>
      <w:kern w:val="44"/>
      <w:sz w:val="30"/>
      <w:szCs w:val="30"/>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0" Type="http://schemas.openxmlformats.org/officeDocument/2006/relationships/fontTable" Target="fontTable.xml"/><Relationship Id="rId7" Type="http://schemas.openxmlformats.org/officeDocument/2006/relationships/footer" Target="footer5.xml"/><Relationship Id="rId69" Type="http://schemas.openxmlformats.org/officeDocument/2006/relationships/customXml" Target="../customXml/item2.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footer" Target="footer4.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jpeg"/><Relationship Id="rId50" Type="http://schemas.openxmlformats.org/officeDocument/2006/relationships/image" Target="media/image39.png"/><Relationship Id="rId5" Type="http://schemas.openxmlformats.org/officeDocument/2006/relationships/footer" Target="footer3.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pn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2.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pn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wmf"/><Relationship Id="rId25" Type="http://schemas.openxmlformats.org/officeDocument/2006/relationships/oleObject" Target="embeddings/oleObject3.bin"/><Relationship Id="rId24" Type="http://schemas.openxmlformats.org/officeDocument/2006/relationships/image" Target="media/image14.wmf"/><Relationship Id="rId23" Type="http://schemas.openxmlformats.org/officeDocument/2006/relationships/oleObject" Target="embeddings/oleObject2.bin"/><Relationship Id="rId22" Type="http://schemas.openxmlformats.org/officeDocument/2006/relationships/image" Target="media/image13.wmf"/><Relationship Id="rId21" Type="http://schemas.openxmlformats.org/officeDocument/2006/relationships/oleObject" Target="embeddings/oleObject1.bin"/><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2f7c25cc-bb70-44aa-b4d5-2b23990f527b</errorID>
      <errorWord>(</errorWord>
      <group>L1_Format</group>
      <groupName>格式问题</groupName>
      <ability>L2_HalfPunc</ability>
      <abilityName>全半角检查</abilityName>
      <candidateList>
        <item>（</item>
      </candidateList>
      <explain>文本全半角错误。</explain>
      <paraID>7AEEBA28</paraID>
      <start>23</start>
      <end>24</end>
      <status>modified</status>
      <modifiedWord>（</modifiedWord>
      <trackRevisions>false</trackRevisions>
    </reviewItem>
    <reviewItem>
      <errorID>376376d2-59da-4383-b259-703e4308a561</errorID>
      <errorWord>)</errorWord>
      <group>L1_Format</group>
      <groupName>格式问题</groupName>
      <ability>L2_HalfPunc</ability>
      <abilityName>全半角检查</abilityName>
      <candidateList>
        <item>）</item>
      </candidateList>
      <explain>文本全半角错误。</explain>
      <paraID>7AEEBA28</paraID>
      <start>34</start>
      <end>35</end>
      <status>modified</status>
      <modifiedWord>）</modifiedWord>
      <trackRevisions>false</trackRevisions>
    </reviewItem>
    <reviewItem>
      <errorID>5e7d3de6-7550-4b75-ad28-bf58a5d09d7e</errorID>
      <errorWord>[2020]14号</errorWord>
      <group>L1_Knowledge</group>
      <groupName>知识性问题</groupName>
      <ability>L2_Knowledge</ability>
      <abilityName>其他知识</abilityName>
      <candidateList>
        <item>〔2020〕14号</item>
      </candidateList>
      <explain>发文字号格式错误</explain>
      <paraID>2B6525E1</paraID>
      <start>59</start>
      <end>68</end>
      <status>modified</status>
      <modifiedWord>〔2020〕14号</modifiedWord>
      <trackRevisions>false</trackRevisions>
    </reviewItem>
    <reviewItem>
      <errorID>bc28b1cc-4e51-4059-8888-cf7bf85e27d9</errorID>
      <errorWord>工</errorWord>
      <group>L1_Word</group>
      <groupName>字词问题</groupName>
      <ability>L2_Typo</ability>
      <abilityName>字词错误</abilityName>
      <candidateList>
        <item>工在</item>
      </candidateList>
      <explain/>
      <paraID>19607AA8</paraID>
      <start>11</start>
      <end>13</end>
      <status>modified</status>
      <modifiedWord>工在</modifiedWord>
      <trackRevisions>false</trackRevisions>
    </reviewItem>
    <reviewItem>
      <errorID>3eaf38ee-e042-4444-96f1-e155dc47340a</errorID>
      <errorWord>上线</errorWord>
      <group>L1_Word</group>
      <groupName>字词问题</groupName>
      <ability>L2_Typo</ability>
      <abilityName>字词错误</abilityName>
      <candidateList>
        <item>上限</item>
      </candidateList>
      <explain/>
      <paraID>19607AA8</paraID>
      <start>71</start>
      <end>73</end>
      <status>ignored</status>
      <modifiedWord/>
      <trackRevisions>false</trackRevisions>
    </reviewItem>
    <reviewItem>
      <errorID>f183145f-a6f8-4f8c-a6fc-d9675f1f0cf3</errorID>
      <errorWord>、</errorWord>
      <group>L1_Grammar</group>
      <groupName>语法问题</groupName>
      <ability>L2_Order</ability>
      <abilityName>语序不当</abilityName>
      <candidateList>
        <item>建、</item>
      </candidateList>
      <explain>句子可能没有遵循时空、逻辑顺序，或者介词、关联词等位置不当。</explain>
      <paraID>62C4C7A1</paraID>
      <start>12</start>
      <end>13</end>
      <status>ignored</status>
      <modifiedWord/>
      <trackRevisions>false</trackRevisions>
    </reviewItem>
    <reviewItem>
      <errorID>caa3fb59-3e99-48bc-af30-e850198ac149</errorID>
      <errorWord>“</errorWord>
      <group>L1_Punc</group>
      <groupName>标点问题</groupName>
      <ability>L2_Punc</ability>
      <abilityName>标点符号检查</abilityName>
      <candidateList/>
      <explain/>
      <paraID>5697B7D9</paraID>
      <start>109</start>
      <end>110</end>
      <status>ignored</status>
      <modifiedWord/>
      <trackRevisions>false</trackRevisions>
    </reviewItem>
    <reviewItem>
      <errorID>dcc4185c-c55c-43a1-8f71-f9ec0263f6d7</errorID>
      <errorWord>黑龙江省大气污染防治条例</errorWord>
      <group>L1_Knowledge</group>
      <groupName>知识性问题</groupName>
      <ability>L2_Knowledge</ability>
      <abilityName>其他知识</abilityName>
      <candidateList>
        <item>《黑龙江省大气污染防治条例》</item>
      </candidateList>
      <explain>完整法律法规名称需要加书名号，请注意检查。</explain>
      <paraID>3BB972A3</paraID>
      <start>5</start>
      <end>17</end>
      <status>ignored</status>
      <modifiedWord/>
      <trackRevisions>false</trackRevisions>
    </reviewItem>
    <reviewItem>
      <errorID>a6116c6c-a82d-4e0d-8975-36a192004525</errorID>
      <errorWord>黑龙江省大气污染防治条例</errorWord>
      <group>L1_Knowledge</group>
      <groupName>知识性问题</groupName>
      <ability>L2_Knowledge</ability>
      <abilityName>其他知识</abilityName>
      <candidateList>
        <item>《黑龙江省大气污染防治条例》</item>
      </candidateList>
      <explain>完整法律法规名称需要加书名号，请注意检查。</explain>
      <paraID>67BFEDBB</paraID>
      <start>0</start>
      <end>12</end>
      <status>ignored</status>
      <modifiedWord/>
      <trackRevisions>false</trackRevisions>
    </reviewItem>
    <reviewItem>
      <errorID>c748abfb-5d5c-4b87-b713-d1eb9cab5cbc</errorID>
      <errorWord>）</errorWord>
      <group>L1_Word</group>
      <groupName>字词问题</groupName>
      <ability>L2_Typo</ability>
      <abilityName>字词错误</abilityName>
      <candidateList>
        <item>）对</item>
      </candidateList>
      <explain/>
      <paraID>4D16136C</paraID>
      <start>113</start>
      <end>114</end>
      <status>ignored</status>
      <modifiedWord/>
      <trackRevisions>false</trackRevisions>
    </reviewItem>
    <reviewItem>
      <errorID>a00e35c5-a9bd-4b1c-b9a9-7fe0b406a52c</errorID>
      <errorWord>，</errorWord>
      <group>L1_Word</group>
      <groupName>字词问题</groupName>
      <ability>L2_Typo</ability>
      <abilityName>字词错误</abilityName>
      <candidateList>
        <item>，对</item>
      </candidateList>
      <explain/>
      <paraID>695EDDE4</paraID>
      <start>90</start>
      <end>92</end>
      <status>modified</status>
      <modifiedWord>，对</modifiedWord>
      <trackRevisions>false</trackRevisions>
    </reviewItem>
    <reviewItem>
      <errorID>eaa1e12a-0823-4d9f-aa18-aac6e7b96fdb</errorID>
      <errorWord>撒</errorWord>
      <group>L1_Word</group>
      <groupName>字词问题</groupName>
      <ability>L2_Typo</ability>
      <abilityName>字词错误</abilityName>
      <candidateList>
        <item>洒</item>
      </candidateList>
      <explain>存在发音相同字词的误用。</explain>
      <paraID> E5D481B</paraID>
      <start>40</start>
      <end>41</end>
      <status>ignored</status>
      <modifiedWord/>
      <trackRevisions>false</trackRevisions>
    </reviewItem>
    <reviewItem>
      <errorID>5bc0c4ac-0802-4d31-a002-36b11bf4dddb</errorID>
      <errorWord>撒</errorWord>
      <group>L1_Word</group>
      <groupName>字词问题</groupName>
      <ability>L2_Typo</ability>
      <abilityName>字词错误</abilityName>
      <candidateList>
        <item>洒</item>
      </candidateList>
      <explain>存在发音相同字词的误用。</explain>
      <paraID>22A6DCB4</paraID>
      <start>40</start>
      <end>41</end>
      <status>ignored</status>
      <modifiedWord/>
      <trackRevisions>false</trackRevisions>
    </reviewItem>
    <reviewItem>
      <errorID>e9a38cef-8c52-4d7c-9df1-2872a509aedf</errorID>
      <errorWord>，</errorWord>
      <group>L1_Word</group>
      <groupName>字词问题</groupName>
      <ability>L2_Typo</ability>
      <abilityName>字词错误</abilityName>
      <candidateList>
        <item>，对</item>
      </candidateList>
      <explain/>
      <paraID>3DE42A2F</paraID>
      <start>115</start>
      <end>117</end>
      <status>modified</status>
      <modifiedWord>，对</modifiedWord>
      <trackRevisions>false</trackRevisions>
    </reviewItem>
    <reviewItem>
      <errorID>0284a518-45c7-43ae-a1fc-80b0b2969131</errorID>
      <errorWord>【2019】60号</errorWord>
      <group>L1_Knowledge</group>
      <groupName>知识性问题</groupName>
      <ability>L2_Knowledge</ability>
      <abilityName>其他知识</abilityName>
      <candidateList>
        <item>〔2019〕60号</item>
      </candidateList>
      <explain>发文字号格式错误</explain>
      <paraID>3BBE77E6</paraID>
      <start>138</start>
      <end>147</end>
      <status>modified</status>
      <modifiedWord>〔2019〕60号</modifiedWord>
      <trackRevisions>false</trackRevisions>
    </reviewItem>
    <reviewItem>
      <errorID>5d9002b3-08b4-420e-993c-035c51bb73c5</errorID>
      <errorWord>区域尚</errorWord>
      <group>L1_Word</group>
      <groupName>字词问题</groupName>
      <ability>L2_Typo</ability>
      <abilityName>字词错误</abilityName>
      <candidateList>
        <item>区域</item>
      </candidateList>
      <explain/>
      <paraID>236FAAD5</paraID>
      <start>18</start>
      <end>20</end>
      <status>modified</status>
      <modifiedWord>区域</modifiedWord>
      <trackRevisions>false</trackRevisions>
    </reviewItem>
    <reviewItem>
      <errorID>99d9ed27-c9e5-40e9-a9f5-07d931d7a322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5BED2BEA</paraID>
      <start>0</start>
      <end>2</end>
      <status>modified</status>
      <modifiedWord>2.</modifiedWord>
      <trackRevisions>false</trackRevisions>
    </reviewItem>
    <reviewItem>
      <errorID>2d2d4f7e-9888-4589-8107-ad195ad49f77</errorID>
      <errorWord>市政</errorWord>
      <group>L1_Word</group>
      <groupName>字词问题</groupName>
      <ability>L2_Typo</ability>
      <abilityName>字词错误</abilityName>
      <candidateList>
        <item>市</item>
      </candidateList>
      <explain/>
      <paraID>727D1FA4</paraID>
      <start>1</start>
      <end>3</end>
      <status>ignored</status>
      <modifiedWord/>
      <trackRevisions>false</trackRevisions>
    </reviewItem>
    <reviewItem>
      <errorID>999082f1-d896-4bc8-9e0d-86325bd13695</errorID>
      <errorWord>程</errorWord>
      <group>L1_Word</group>
      <groupName>字词问题</groupName>
      <ability>L2_Typo</ability>
      <abilityName>字词错误</abilityName>
      <candidateList>
        <item>程中</item>
      </candidateList>
      <explain/>
      <paraID> A0D9D6E</paraID>
      <start>35</start>
      <end>37</end>
      <status>modified</status>
      <modifiedWord>程中</modifiedWord>
      <trackRevisions>false</trackRevisions>
    </reviewItem>
    <reviewItem>
      <errorID>2955e979-ed73-4d06-b90a-7180e3815f26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36C27FEC</paraID>
      <start>0</start>
      <end>2</end>
      <status>modified</status>
      <modifiedWord>2.</modifiedWord>
      <trackRevisions>false</trackRevisions>
    </reviewItem>
    <reviewItem>
      <errorID>815773a9-6ec2-4b49-911c-3035d48faccf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570BBA5</paraID>
      <start>0</start>
      <end>2</end>
      <status>modified</status>
      <modifiedWord>3.</modifiedWord>
      <trackRevisions>false</trackRevisions>
    </reviewItem>
    <reviewItem>
      <errorID>8f9313ef-2c18-474d-88ef-73a875b395f6</errorID>
      <errorWord>【2019】60号</errorWord>
      <group>L1_Knowledge</group>
      <groupName>知识性问题</groupName>
      <ability>L2_Knowledge</ability>
      <abilityName>其他知识</abilityName>
      <candidateList>
        <item>〔2019〕60号</item>
      </candidateList>
      <explain>发文字号格式错误</explain>
      <paraID>5903C0FF</paraID>
      <start>147</start>
      <end>156</end>
      <status>modified</status>
      <modifiedWord>〔2019〕60号</modifiedWord>
      <trackRevisions>false</trackRevisions>
    </reviewItem>
    <reviewItem>
      <errorID>9822294d-1812-47ac-9ae6-cb7cf037547a</errorID>
      <errorWord>未</errorWord>
      <group>L1_Word</group>
      <groupName>字词问题</groupName>
      <ability>L2_Typo</ability>
      <abilityName>字词错误</abilityName>
      <candidateList>
        <item>尚未</item>
      </candidateList>
      <explain/>
      <paraID>1CE90BA9</paraID>
      <start>5</start>
      <end>7</end>
      <status>modified</status>
      <modifiedWord>尚未</modifiedWord>
      <trackRevisions>false</trackRevisions>
    </reviewItem>
    <reviewItem>
      <errorID>242d8856-e1c1-4553-8924-b3971a5d86f6</errorID>
      <errorWord>前段</errorWord>
      <group>L1_Word</group>
      <groupName>字词问题</groupName>
      <ability>L2_Typo</ability>
      <abilityName>字词错误</abilityName>
      <candidateList>
        <item>前端</item>
      </candidateList>
      <explain/>
      <paraID>66BA270C</paraID>
      <start>37</start>
      <end>39</end>
      <status>modified</status>
      <modifiedWord>前端</modifiedWord>
      <trackRevisions>false</trackRevisions>
    </reviewItem>
    <reviewItem>
      <errorID>b72d0dfd-c849-498f-b54c-490a0824bc20</errorID>
      <errorWord>;</errorWord>
      <group>L1_Format</group>
      <groupName>格式问题</groupName>
      <ability>L2_HalfPunc</ability>
      <abilityName>全半角检查</abilityName>
      <candidateList>
        <item>；</item>
      </candidateList>
      <explain>文本全半角错误。</explain>
      <paraID>66BA270C</paraID>
      <start>48</start>
      <end>49</end>
      <status>modified</status>
      <modifiedWord>；</modifiedWord>
      <trackRevisions>false</trackRevisions>
    </reviewItem>
    <reviewItem>
      <errorID>00287f7f-99ef-45f6-9e7c-32f39e77776d</errorID>
      <errorWord>(</errorWord>
      <group>L1_Format</group>
      <groupName>格式问题</groupName>
      <ability>L2_HalfPunc</ability>
      <abilityName>全半角检查</abilityName>
      <candidateList>
        <item>（</item>
      </candidateList>
      <explain>文本全半角错误。</explain>
      <paraID>66BA270C</paraID>
      <start>73</start>
      <end>74</end>
      <status>modified</status>
      <modifiedWord>（</modifiedWord>
      <trackRevisions>false</trackRevisions>
    </reviewItem>
    <reviewItem>
      <errorID>b470b8c9-5387-42bb-960f-f6860db7205b</errorID>
      <errorWord>)</errorWord>
      <group>L1_Format</group>
      <groupName>格式问题</groupName>
      <ability>L2_HalfPunc</ability>
      <abilityName>全半角检查</abilityName>
      <candidateList>
        <item>）</item>
      </candidateList>
      <explain>文本全半角错误。</explain>
      <paraID>66BA270C</paraID>
      <start>76</start>
      <end>77</end>
      <status>modified</status>
      <modifiedWord>）</modifiedWord>
      <trackRevisions>false</trackRevisions>
    </reviewItem>
    <reviewItem>
      <errorID>641215e8-4950-47eb-be69-a0e4189ecc2b</errorID>
      <errorWord>(</errorWord>
      <group>L1_Format</group>
      <groupName>格式问题</groupName>
      <ability>L2_HalfPunc</ability>
      <abilityName>全半角检查</abilityName>
      <candidateList>
        <item>（</item>
      </candidateList>
      <explain>文本全半角错误。</explain>
      <paraID>66BA270C</paraID>
      <start>78</start>
      <end>79</end>
      <status>modified</status>
      <modifiedWord>（</modifiedWord>
      <trackRevisions>false</trackRevisions>
    </reviewItem>
    <reviewItem>
      <errorID>541421ab-5c0b-4271-bc57-f1c37187ab60</errorID>
      <errorWord>)</errorWord>
      <group>L1_Format</group>
      <groupName>格式问题</groupName>
      <ability>L2_HalfPunc</ability>
      <abilityName>全半角检查</abilityName>
      <candidateList>
        <item>）</item>
      </candidateList>
      <explain>文本全半角错误。</explain>
      <paraID>66BA270C</paraID>
      <start>91</start>
      <end>92</end>
      <status>modified</status>
      <modifiedWord>）</modifiedWord>
      <trackRevisions>false</trackRevisions>
    </reviewItem>
    <reviewItem>
      <errorID>6d810a51-9dd0-4daf-bba0-e5e595830b53</errorID>
      <errorWord>期</errorWord>
      <group>L1_Word</group>
      <groupName>字词问题</groupName>
      <ability>L2_Typo</ability>
      <abilityName>字词错误</abilityName>
      <candidateList>
        <item>期间</item>
      </candidateList>
      <explain>〈名〉某个时期里面：农忙～｜春节～｜抗战～。</explain>
      <paraID>66BA270C</paraID>
      <start>98</start>
      <end>100</end>
      <status>modified</status>
      <modifiedWord>期间</modifiedWord>
      <trackRevisions>false</trackRevisions>
    </reviewItem>
    <reviewItem>
      <errorID>12d5fe83-c6e9-462b-a5e1-2ba394f58edc</errorID>
      <errorWord>;</errorWord>
      <group>L1_Format</group>
      <groupName>格式问题</groupName>
      <ability>L2_HalfPunc</ability>
      <abilityName>全半角检查</abilityName>
      <candidateList>
        <item>；</item>
      </candidateList>
      <explain>文本全半角错误。</explain>
      <paraID>66BA270C</paraID>
      <start>118</start>
      <end>119</end>
      <status>modified</status>
      <modifiedWord>；</modifiedWord>
      <trackRevisions>false</trackRevisions>
    </reviewItem>
    <reviewItem>
      <errorID>868f6a6b-6154-4d71-8793-a0d771fdac4f</errorID>
      <errorWord>生活废水</errorWord>
      <group>L1_Knowledge</group>
      <groupName>知识性问题</groupName>
      <ability>L2_Term</ability>
      <abilityName>专业术语</abilityName>
      <candidateList>
        <item>生活污水</item>
      </candidateList>
      <explain/>
      <paraID>66BA270C</paraID>
      <start>131</start>
      <end>135</end>
      <status>modified</status>
      <modifiedWord>生活污水</modifiedWord>
      <trackRevisions>false</trackRevisions>
    </reviewItem>
    <reviewItem>
      <errorID>4492712f-11dd-43d7-b2b1-4804894887f7</errorID>
      <errorWord>;</errorWord>
      <group>L1_Format</group>
      <groupName>格式问题</groupName>
      <ability>L2_HalfPunc</ability>
      <abilityName>全半角检查</abilityName>
      <candidateList>
        <item>；</item>
      </candidateList>
      <explain>文本全半角错误。</explain>
      <paraID>66BA270C</paraID>
      <start>206</start>
      <end>207</end>
      <status>modified</status>
      <modifiedWord>；</modifiedWord>
      <trackRevisions>false</trackRevisions>
    </reviewItem>
    <reviewItem>
      <errorID>7a647525-2bcf-4ae1-9a4e-53c84adca701</errorID>
      <errorWord>(</errorWord>
      <group>L1_Format</group>
      <groupName>格式问题</groupName>
      <ability>L2_HalfPunc</ability>
      <abilityName>全半角检查</abilityName>
      <candidateList>
        <item>（</item>
      </candidateList>
      <explain>文本全半角错误。</explain>
      <paraID>66BA270C</paraID>
      <start>258</start>
      <end>259</end>
      <status>modified</status>
      <modifiedWord>（</modifiedWord>
      <trackRevisions>false</trackRevisions>
    </reviewItem>
    <reviewItem>
      <errorID>2349097a-ab31-4730-89b5-55e50f35a63a</errorID>
      <errorWord>)</errorWord>
      <group>L1_Format</group>
      <groupName>格式问题</groupName>
      <ability>L2_HalfPunc</ability>
      <abilityName>全半角检查</abilityName>
      <candidateList>
        <item>）</item>
      </candidateList>
      <explain>文本全半角错误。</explain>
      <paraID>66BA270C</paraID>
      <start>271</start>
      <end>272</end>
      <status>modified</status>
      <modifiedWord>）</modifiedWord>
      <trackRevisions>false</trackRevisions>
    </reviewItem>
    <reviewItem>
      <errorID>cc7c8e14-a42b-4bd0-8a52-eb6fb38e819a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42BB222B</paraID>
      <start>0</start>
      <end>2</end>
      <status>modified</status>
      <modifiedWord>1.</modifiedWord>
      <trackRevisions>false</trackRevisions>
    </reviewItem>
    <reviewItem>
      <errorID>52cc6036-52b6-4218-a4cf-57eba082bbe3</errorID>
      <errorWord>年</errorWord>
      <group>L1_Word</group>
      <groupName>字词问题</groupName>
      <ability>L2_Typo</ability>
      <abilityName>字词错误</abilityName>
      <candidateList>
        <item>年度</item>
      </candidateList>
      <explain/>
      <paraID>14A18D2E</paraID>
      <start>0</start>
      <end>1</end>
      <status>ignored</status>
      <modifiedWord/>
      <trackRevisions>false</trackRevisions>
    </reviewItem>
    <reviewItem>
      <errorID>510b9510-68cc-433e-b8a5-4237c1e51a3a</errorID>
      <errorWord>（</errorWord>
      <group>L1_Format</group>
      <groupName>格式问题</groupName>
      <ability>L2_HalfPunc</ability>
      <abilityName>全半角检查</abilityName>
      <candidateList>
        <item>(</item>
      </candidateList>
      <explain>文本全半角错误。</explain>
      <paraID>197F918A</paraID>
      <start>0</start>
      <end>1</end>
      <status>modified</status>
      <modifiedWord>(</modifiedWord>
      <trackRevisions>false</trackRevisions>
    </reviewItem>
    <reviewItem>
      <errorID>f44a4bb0-09ac-42d2-928b-ac5ab3bfc6c4</errorID>
      <errorWord>）</errorWord>
      <group>L1_Format</group>
      <groupName>格式问题</groupName>
      <ability>L2_HalfPunc</ability>
      <abilityName>全半角检查</abilityName>
      <candidateList>
        <item>)</item>
      </candidateList>
      <explain>文本全半角错误。</explain>
      <paraID>197F918A</paraID>
      <start>6</start>
      <end>7</end>
      <status>modified</status>
      <modifiedWord>)</modifiedWord>
      <trackRevisions>false</trackRevisions>
    </reviewItem>
    <reviewItem>
      <errorID>1be864a6-a1df-4f61-a9d2-816cd2a991a5</errorID>
      <errorWord>（</errorWord>
      <group>L1_Format</group>
      <groupName>格式问题</groupName>
      <ability>L2_HalfPunc</ability>
      <abilityName>全半角检查</abilityName>
      <candidateList>
        <item>(</item>
      </candidateList>
      <explain>文本全半角错误。</explain>
      <paraID>2D361896</paraID>
      <start>0</start>
      <end>1</end>
      <status>modified</status>
      <modifiedWord>(</modifiedWord>
      <trackRevisions>false</trackRevisions>
    </reviewItem>
    <reviewItem>
      <errorID>3d71193d-23ee-4853-abbd-739be10a6b5b</errorID>
      <errorWord>）</errorWord>
      <group>L1_Format</group>
      <groupName>格式问题</groupName>
      <ability>L2_HalfPunc</ability>
      <abilityName>全半角检查</abilityName>
      <candidateList>
        <item>)</item>
      </candidateList>
      <explain>文本全半角错误。</explain>
      <paraID>2D361896</paraID>
      <start>6</start>
      <end>7</end>
      <status>modified</status>
      <modifiedWord>)</modifiedWord>
      <trackRevisions>false</trackRevisions>
    </reviewItem>
    <reviewItem>
      <errorID>0d4a5701-520d-424f-9e82-cae920d6ef5c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28C0B34C</paraID>
      <start>15</start>
      <end>16</end>
      <status>ignored</status>
      <modifiedWord/>
      <trackRevisions>false</trackRevisions>
    </reviewItem>
    <reviewItem>
      <errorID>86682f08-699f-494d-b682-2bbacb8ea040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4EEDF1B5</paraID>
      <start>10</start>
      <end>11</end>
      <status>ignored</status>
      <modifiedWord/>
      <trackRevisions>false</trackRevisions>
    </reviewItem>
    <reviewItem>
      <errorID>e64a3b1a-8e26-446c-ad8e-8a949aebe16a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2CA1BA2C</paraID>
      <start>0</start>
      <end>2</end>
      <status>modified</status>
      <modifiedWord>2.</modifiedWord>
      <trackRevisions>false</trackRevisions>
    </reviewItem>
    <reviewItem>
      <errorID>5f42cdeb-b03a-4978-b7c7-efd7e1254e03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4FDB00EE</paraID>
      <start>21</start>
      <end>22</end>
      <status>ignored</status>
      <modifiedWord/>
      <trackRevisions>false</trackRevisions>
    </reviewItem>
    <reviewItem>
      <errorID>4e3d7b3b-d398-4fab-88b1-06035b4301a9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5177051E</paraID>
      <start>0</start>
      <end>2</end>
      <status>modified</status>
      <modifiedWord>3.</modifiedWord>
      <trackRevisions>false</trackRevisions>
    </reviewItem>
    <reviewItem>
      <errorID>1aae2127-d82b-4a16-bd9e-1cfd20ec2369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2BF19BE1</paraID>
      <start>0</start>
      <end>2</end>
      <status>modified</status>
      <modifiedWord>4.</modifiedWord>
      <trackRevisions>false</trackRevisions>
    </reviewItem>
    <reviewItem>
      <errorID>2bf2185f-1d0d-41fe-a539-389426c3ef1c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2A0EE7C0</paraID>
      <start>0</start>
      <end>2</end>
      <status>modified</status>
      <modifiedWord>1.</modifiedWord>
      <trackRevisions>false</trackRevisions>
    </reviewItem>
    <reviewItem>
      <errorID>fd08ab76-2c76-488a-82a7-f38eddf361e0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3ECA6147</paraID>
      <start>0</start>
      <end>2</end>
      <status>modified</status>
      <modifiedWord>2.</modifiedWord>
      <trackRevisions>false</trackRevisions>
    </reviewItem>
    <reviewItem>
      <errorID>aefbecb7-b922-4feb-9a82-7923348c2904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9AD103F</paraID>
      <start>0</start>
      <end>2</end>
      <status>modified</status>
      <modifiedWord>3.</modifiedWord>
      <trackRevisions>false</trackRevisions>
    </reviewItem>
    <reviewItem>
      <errorID>dc373314-9d0f-4cb5-9bdc-9054f00eda90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1B01CFB8</paraID>
      <start>0</start>
      <end>2</end>
      <status>modified</status>
      <modifiedWord>4.</modifiedWord>
      <trackRevisions>false</trackRevisions>
    </reviewItem>
    <reviewItem>
      <errorID>1a6d0391-82ce-4049-bbaf-eb3948f3be8f</errorID>
      <errorWord>程</errorWord>
      <group>L1_Word</group>
      <groupName>字词问题</groupName>
      <ability>L2_Typo</ability>
      <abilityName>字词错误</abilityName>
      <candidateList>
        <item>程中</item>
      </candidateList>
      <explain/>
      <paraID>37653C76</paraID>
      <start>49</start>
      <end>51</end>
      <status>modified</status>
      <modifiedWord>程中</modifiedWord>
      <trackRevisions>false</trackRevisions>
    </reviewItem>
    <reviewItem>
      <errorID>a47fc8ee-dc2a-47f0-810d-0d9af1657f16</errorID>
      <errorWord>施工厂</errorWord>
      <group>L1_Word</group>
      <groupName>字词问题</groupName>
      <ability>L2_Typo</ability>
      <abilityName>字词错误</abilityName>
      <candidateList>
        <item>施工场</item>
      </candidateList>
      <explain/>
      <paraID>6AD21E8C</paraID>
      <start>107</start>
      <end>110</end>
      <status>modified</status>
      <modifiedWord>施工场</modifiedWord>
      <trackRevisions>false</trackRevisions>
    </reviewItem>
    <reviewItem>
      <errorID>2bdca7fa-5850-4226-971b-38c8afb79969</errorID>
      <errorWord>程</errorWord>
      <group>L1_Word</group>
      <groupName>字词问题</groupName>
      <ability>L2_Typo</ability>
      <abilityName>字词错误</abilityName>
      <candidateList>
        <item>程中</item>
      </candidateList>
      <explain/>
      <paraID>46090E87</paraID>
      <start>3</start>
      <end>5</end>
      <status>modified</status>
      <modifiedWord>程中</modifiedWord>
      <trackRevisions>false</trackRevisions>
    </reviewItem>
    <reviewItem>
      <errorID>d1d4c785-1372-4add-b386-a0cec205e9fa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886C31C</paraID>
      <start>0</start>
      <end>2</end>
      <status>modified</status>
      <modifiedWord>1.</modifiedWord>
      <trackRevisions>false</trackRevisions>
    </reviewItem>
    <reviewItem>
      <errorID>cae7c653-6af7-44e7-88a2-e74e1e26eb92</errorID>
      <errorWord>一栏表</errorWord>
      <group>L1_Word</group>
      <groupName>字词问题</groupName>
      <ability>L2_Typo</ability>
      <abilityName>字词错误</abilityName>
      <candidateList>
        <item>一览表</item>
      </candidateList>
      <explain>〈名〉说明概况的表格：行车时间～。</explain>
      <paraID>4676BFD0</paraID>
      <start>17</start>
      <end>20</end>
      <status>modified</status>
      <modifiedWord>一览表</modifiedWord>
      <trackRevisions>false</trackRevisions>
    </reviewItem>
    <reviewItem>
      <errorID>1fd96e09-924d-4ac6-af23-a9147607ecef</errorID>
      <errorWord>％</errorWord>
      <group>L1_Format</group>
      <groupName>格式问题</groupName>
      <ability>L2_HalfPunc</ability>
      <abilityName>全半角检查</abilityName>
      <candidateList>
        <item>%</item>
      </candidateList>
      <explain>文本全半角错误。</explain>
      <paraID> F396399</paraID>
      <start>4</start>
      <end>5</end>
      <status>modified</status>
      <modifiedWord>%</modifiedWord>
      <trackRevisions>false</trackRevisions>
    </reviewItem>
    <reviewItem>
      <errorID>6b469edc-a9c6-4284-8cd6-c648e6f31a67</errorID>
      <errorWord>Kg</errorWord>
      <group>L1_Word</group>
      <groupName>字词问题</groupName>
      <ability>L2_Typo</ability>
      <abilityName>字词错误</abilityName>
      <candidateList>
        <item>kg</item>
      </candidateList>
      <explain/>
      <paraID>3EEFBBC8</paraID>
      <start>52</start>
      <end>54</end>
      <status>modified</status>
      <modifiedWord>kg</modifiedWord>
      <trackRevisions>false</trackRevisions>
    </reviewItem>
    <reviewItem>
      <errorID>6a0ea418-b576-4483-af67-91e8fac5d2b0</errorID>
      <errorWord>Kg</errorWord>
      <group>L1_Word</group>
      <groupName>字词问题</groupName>
      <ability>L2_Typo</ability>
      <abilityName>字词错误</abilityName>
      <candidateList>
        <item>kg</item>
      </candidateList>
      <explain/>
      <paraID>5F78EE5C</paraID>
      <start>14</start>
      <end>16</end>
      <status>modified</status>
      <modifiedWord>kg</modifiedWord>
      <trackRevisions>false</trackRevisions>
    </reviewItem>
    <reviewItem>
      <errorID>9e2ddfd3-f10a-43fe-8975-3d683c3dc45b</errorID>
      <errorWord>试</errorWord>
      <group>L1_Word</group>
      <groupName>字词问题</groupName>
      <ability>L2_Typo</ability>
      <abilityName>字词错误</abilityName>
      <candidateList>
        <item>式</item>
      </candidateList>
      <explain>存在发音相同字词的误用。</explain>
      <paraID> 6B1E789</paraID>
      <start>7</start>
      <end>8</end>
      <status>modified</status>
      <modifiedWord>式</modifiedWord>
      <trackRevisions>false</trackRevisions>
    </reviewItem>
    <reviewItem>
      <errorID>52f5686b-1e33-4630-9079-e0b37edea8a6</errorID>
      <errorWord>-</errorWord>
      <group>L1_Format</group>
      <groupName>格式问题</groupName>
      <ability>L2_HalfPunc</ability>
      <abilityName>全半角检查</abilityName>
      <candidateList>
        <item>－</item>
      </candidateList>
      <explain>文本全半角错误。</explain>
      <paraID>195A327C</paraID>
      <start>18</start>
      <end>19</end>
      <status>ignored</status>
      <modifiedWord/>
      <trackRevisions>false</trackRevisions>
    </reviewItem>
    <reviewItem>
      <errorID>f7d7420b-38dd-43ea-9ae4-0d1619f62444</errorID>
      <errorWord>-</errorWord>
      <group>L1_Format</group>
      <groupName>格式问题</groupName>
      <ability>L2_HalfPunc</ability>
      <abilityName>全半角检查</abilityName>
      <candidateList>
        <item>－</item>
      </candidateList>
      <explain>文本全半角错误。</explain>
      <paraID>1DEAFECB</paraID>
      <start>4</start>
      <end>5</end>
      <status>ignored</status>
      <modifiedWord/>
      <trackRevisions>false</trackRevisions>
    </reviewItem>
    <reviewItem>
      <errorID>5fea7dae-7a87-4010-861c-16bf489b8113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37A57A63</paraID>
      <start>0</start>
      <end>2</end>
      <status>modified</status>
      <modifiedWord>2.</modifiedWord>
      <trackRevisions>false</trackRevisions>
    </reviewItem>
    <reviewItem>
      <errorID>3d43672c-2a5e-42e7-9939-7f3f4fa6a8f2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308FC7AC</paraID>
      <start>0</start>
      <end>2</end>
      <status>modified</status>
      <modifiedWord>3.</modifiedWord>
      <trackRevisions>false</trackRevisions>
    </reviewItem>
    <reviewItem>
      <errorID>28a10aec-021a-47b8-b4df-ed812c6e58b6</errorID>
      <errorWord>减震</errorWord>
      <group>L1_Word</group>
      <groupName>字词问题</groupName>
      <ability>L2_Typo</ability>
      <abilityName>字词错误</abilityName>
      <candidateList>
        <item>减振</item>
      </candidateList>
      <explain>存在发音相同字词的误用。</explain>
      <paraID> 4CB8636</paraID>
      <start>2</start>
      <end>4</end>
      <status>modified</status>
      <modifiedWord>减振</modifiedWord>
      <trackRevisions>false</trackRevisions>
    </reviewItem>
    <reviewItem>
      <errorID>a42094fd-fe22-4dbe-afc8-4d7e6e035fc1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7A3C79EE</paraID>
      <start>0</start>
      <end>2</end>
      <status>modified</status>
      <modifiedWord>4.</modifiedWord>
      <trackRevisions>false</trackRevisions>
    </reviewItem>
    <reviewItem>
      <errorID>9facd2e0-dbe4-4c91-8c36-a82e2c1b7c4a</errorID>
      <errorWord>Kg</errorWord>
      <group>L1_Word</group>
      <groupName>字词问题</groupName>
      <ability>L2_Typo</ability>
      <abilityName>字词错误</abilityName>
      <candidateList>
        <item>kg</item>
      </candidateList>
      <explain/>
      <paraID>789A8D75</paraID>
      <start>23</start>
      <end>25</end>
      <status>modified</status>
      <modifiedWord>kg</modifiedWord>
      <trackRevisions>false</trackRevisions>
    </reviewItem>
    <reviewItem>
      <errorID>cdbbc2b7-66e8-4a3e-8487-e336a21bd58b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4DEDBD82</paraID>
      <start>0</start>
      <end>2</end>
      <status>modified</status>
      <modifiedWord>5.</modifiedWord>
      <trackRevisions>false</trackRevisions>
    </reviewItem>
    <reviewItem>
      <errorID>1fadc5e7-2478-4355-b698-d04f32311eeb</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195C578F</paraID>
      <start>0</start>
      <end>2</end>
      <status>modified</status>
      <modifiedWord>6.</modifiedWord>
      <trackRevisions>false</trackRevisions>
    </reviewItem>
    <reviewItem>
      <errorID>1017dd2c-f128-4bc9-b752-4e2e9416575d</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7701A12D</paraID>
      <start>0</start>
      <end>2</end>
      <status>modified</status>
      <modifiedWord>7.</modifiedWord>
      <trackRevisions>false</trackRevisions>
    </reviewItem>
    <reviewItem>
      <errorID>19fdea4c-1fc1-437f-90be-43665c14bda5</errorID>
      <errorWord>联接</errorWord>
      <group>L1_Word</group>
      <groupName>字词问题</groupName>
      <ability>L2_Typo</ability>
      <abilityName>字词错误</abilityName>
      <candidateList>
        <item>连接</item>
      </candidateList>
      <explain>存在发音相同字词的误用。</explain>
      <paraID>446EAC04</paraID>
      <start>12</start>
      <end>14</end>
      <status>ignored</status>
      <modifiedWord/>
      <trackRevisions>false</trackRevisions>
    </reviewItem>
    <reviewItem>
      <errorID>6db2cc31-750d-4f71-9aa0-f4d346f1f1b7</errorID>
      <errorWord>、</errorWord>
      <group>L1_Punc</group>
      <groupName>标点问题</groupName>
      <ability>L2_Punc</ability>
      <abilityName>标点符号检查</abilityName>
      <candidateList/>
      <explain/>
      <paraID> 2A28ED6</paraID>
      <start>3</start>
      <end>4</end>
      <status>ignored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83a40f9-e223-47b4-974c-49855d5e0d42}">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72</Pages>
  <Words>10757</Words>
  <Characters>11729</Characters>
  <Lines>13</Lines>
  <Paragraphs>3</Paragraphs>
  <TotalTime>1</TotalTime>
  <ScaleCrop>false</ScaleCrop>
  <LinksUpToDate>false</LinksUpToDate>
  <CharactersWithSpaces>11833</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零点七五</cp:lastModifiedBy>
  <cp:lastPrinted>2024-08-20T01:38:00Z</cp:lastPrinted>
  <dcterms:modified xsi:type="dcterms:W3CDTF">2025-12-10T01:11:00Z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2FB7EE1EA69540FA974053EA445C78AC_13</vt:lpwstr>
  </property>
  <property fmtid="{D5CDD505-2E9C-101B-9397-08002B2CF9AE}" pid="4" name="KSOTemplateDocerSaveRecord">
    <vt:lpwstr>eyJoZGlkIjoiZThiMWJlYTM3YjAxOGI1N2YyZjkxOGUwN2NjNGU4MWMiLCJ1c2VySWQiOiIzODE4NjgxOTAifQ==</vt:lpwstr>
  </property>
</Properties>
</file>