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bookmarkStart w:id="0" w:name="_Hlk57883707"/>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bookmarkEnd w:id="0"/>
    <w:p>
      <w:pPr>
        <w:adjustRightInd w:val="0"/>
        <w:snapToGrid w:val="0"/>
        <w:jc w:val="center"/>
        <w:outlineLvl w:val="9"/>
        <w:rPr>
          <w:rFonts w:hint="eastAsia" w:ascii="方正小标宋_GBK" w:eastAsia="方正小标宋_GBK"/>
          <w:bCs/>
          <w:sz w:val="72"/>
          <w:szCs w:val="72"/>
        </w:rPr>
      </w:pPr>
      <w:bookmarkStart w:id="1" w:name="_Toc8995"/>
      <w:r>
        <w:rPr>
          <w:rFonts w:hint="eastAsia" w:ascii="方正小标宋_GBK" w:eastAsia="方正小标宋_GBK"/>
          <w:bCs/>
          <w:sz w:val="72"/>
          <w:szCs w:val="72"/>
        </w:rPr>
        <w:t>建设项目环境影响报告表</w:t>
      </w:r>
      <w:bookmarkEnd w:id="1"/>
    </w:p>
    <w:p>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（生态影响类）</w:t>
      </w:r>
    </w:p>
    <w:p>
      <w:pPr>
        <w:adjustRightInd w:val="0"/>
        <w:snapToGrid w:val="0"/>
        <w:spacing w:line="288" w:lineRule="auto"/>
        <w:jc w:val="center"/>
        <w:outlineLvl w:val="9"/>
        <w:rPr>
          <w:rFonts w:ascii="华文仿宋" w:hAnsi="华文仿宋" w:eastAsia="华文仿宋" w:cs="华文仿宋"/>
          <w:color w:val="000000"/>
          <w:kern w:val="44"/>
          <w:sz w:val="44"/>
          <w:szCs w:val="44"/>
        </w:rPr>
      </w:pPr>
      <w:bookmarkStart w:id="2" w:name="_Hlk57883728"/>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bookmarkEnd w:id="2"/>
    <w:p>
      <w:pPr>
        <w:keepNext w:val="0"/>
        <w:keepLines w:val="0"/>
        <w:pageBreakBefore w:val="0"/>
        <w:widowControl w:val="0"/>
        <w:kinsoku/>
        <w:wordWrap/>
        <w:overflowPunct/>
        <w:topLinePunct w:val="0"/>
        <w:autoSpaceDE/>
        <w:autoSpaceDN/>
        <w:bidi w:val="0"/>
        <w:adjustRightInd w:val="0"/>
        <w:snapToGrid w:val="0"/>
        <w:spacing w:line="288" w:lineRule="auto"/>
        <w:ind w:left="420" w:leftChars="200" w:firstLine="0" w:firstLineChars="0"/>
        <w:textAlignment w:val="auto"/>
        <w:rPr>
          <w:rFonts w:hint="eastAsia" w:ascii="仿宋_GB2312" w:eastAsia="仿宋_GB2312"/>
          <w:sz w:val="36"/>
          <w:szCs w:val="36"/>
          <w:u w:val="single"/>
          <w:lang w:val="en-US" w:eastAsia="zh-CN"/>
        </w:rPr>
      </w:pPr>
      <w:r>
        <w:rPr>
          <w:rFonts w:hint="eastAsia" w:ascii="仿宋_GB2312" w:eastAsia="仿宋_GB2312"/>
          <w:sz w:val="36"/>
          <w:szCs w:val="36"/>
        </w:rPr>
        <w:t>项目名称</w:t>
      </w:r>
      <w:r>
        <w:rPr>
          <w:rFonts w:hint="eastAsia" w:ascii="仿宋_GB2312" w:eastAsia="仿宋_GB2312"/>
          <w:sz w:val="36"/>
          <w:szCs w:val="36"/>
          <w:lang w:eastAsia="zh-CN"/>
        </w:rPr>
        <w:t>：</w:t>
      </w:r>
      <w:r>
        <w:rPr>
          <w:rFonts w:hint="eastAsia" w:ascii="仿宋_GB2312" w:eastAsia="仿宋_GB2312"/>
          <w:sz w:val="36"/>
          <w:szCs w:val="36"/>
          <w:u w:val="single"/>
          <w:lang w:val="en-US" w:eastAsia="zh-CN"/>
        </w:rPr>
        <w:t>龙煤双鸭山集贤</w:t>
      </w:r>
      <w:r>
        <w:rPr>
          <w:rFonts w:hint="default" w:ascii="Times New Roman" w:hAnsi="Times New Roman" w:eastAsia="仿宋_GB2312" w:cs="Times New Roman"/>
          <w:sz w:val="36"/>
          <w:szCs w:val="36"/>
          <w:u w:val="single"/>
          <w:lang w:val="en-US" w:eastAsia="zh-CN"/>
        </w:rPr>
        <w:t>200MW</w:t>
      </w:r>
      <w:r>
        <w:rPr>
          <w:rFonts w:hint="eastAsia" w:ascii="仿宋_GB2312" w:eastAsia="仿宋_GB2312"/>
          <w:sz w:val="36"/>
          <w:szCs w:val="36"/>
          <w:u w:val="single"/>
          <w:lang w:val="en-US" w:eastAsia="zh-CN"/>
        </w:rPr>
        <w:t>风力发电项目</w:t>
      </w:r>
    </w:p>
    <w:p>
      <w:pPr>
        <w:keepNext w:val="0"/>
        <w:keepLines w:val="0"/>
        <w:pageBreakBefore w:val="0"/>
        <w:widowControl w:val="0"/>
        <w:kinsoku/>
        <w:wordWrap/>
        <w:overflowPunct/>
        <w:topLinePunct w:val="0"/>
        <w:autoSpaceDE/>
        <w:autoSpaceDN/>
        <w:bidi w:val="0"/>
        <w:adjustRightInd w:val="0"/>
        <w:snapToGrid w:val="0"/>
        <w:spacing w:line="288" w:lineRule="auto"/>
        <w:ind w:left="420" w:leftChars="200" w:firstLine="1800" w:firstLineChars="500"/>
        <w:textAlignment w:val="auto"/>
        <w:rPr>
          <w:rFonts w:hint="default" w:ascii="仿宋_GB2312" w:eastAsia="仿宋_GB2312"/>
          <w:sz w:val="36"/>
          <w:szCs w:val="36"/>
          <w:u w:val="single"/>
          <w:lang w:val="en-US"/>
        </w:rPr>
      </w:pPr>
      <w:r>
        <w:rPr>
          <w:rFonts w:hint="eastAsia" w:ascii="仿宋_GB2312" w:eastAsia="仿宋_GB2312"/>
          <w:sz w:val="36"/>
          <w:szCs w:val="36"/>
          <w:u w:val="single"/>
          <w:lang w:val="en-US" w:eastAsia="zh-CN"/>
        </w:rPr>
        <w:t>接网工程项目</w:t>
      </w:r>
    </w:p>
    <w:p>
      <w:pPr>
        <w:keepNext w:val="0"/>
        <w:keepLines w:val="0"/>
        <w:pageBreakBefore w:val="0"/>
        <w:widowControl w:val="0"/>
        <w:kinsoku/>
        <w:wordWrap/>
        <w:overflowPunct/>
        <w:topLinePunct w:val="0"/>
        <w:autoSpaceDE/>
        <w:autoSpaceDN/>
        <w:bidi w:val="0"/>
        <w:adjustRightInd w:val="0"/>
        <w:snapToGrid w:val="0"/>
        <w:spacing w:line="288" w:lineRule="auto"/>
        <w:ind w:left="420" w:leftChars="200" w:firstLine="0" w:firstLineChars="0"/>
        <w:textAlignment w:val="auto"/>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lang w:val="en-US" w:eastAsia="zh-CN"/>
        </w:rPr>
        <w:t>双鸭山龙双风力发电有限公司</w:t>
      </w:r>
    </w:p>
    <w:p>
      <w:pPr>
        <w:keepNext w:val="0"/>
        <w:keepLines w:val="0"/>
        <w:pageBreakBefore w:val="0"/>
        <w:widowControl w:val="0"/>
        <w:kinsoku/>
        <w:wordWrap/>
        <w:overflowPunct/>
        <w:topLinePunct w:val="0"/>
        <w:autoSpaceDE/>
        <w:autoSpaceDN/>
        <w:bidi w:val="0"/>
        <w:adjustRightInd w:val="0"/>
        <w:snapToGrid w:val="0"/>
        <w:spacing w:line="288" w:lineRule="auto"/>
        <w:ind w:left="420" w:leftChars="200" w:firstLine="0" w:firstLineChars="0"/>
        <w:textAlignment w:val="auto"/>
        <w:rPr>
          <w:rFonts w:hint="eastAsia"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lang w:val="en-US" w:eastAsia="zh-CN"/>
        </w:rPr>
        <w:t xml:space="preserve">      </w:t>
      </w:r>
      <w:r>
        <w:rPr>
          <w:rFonts w:ascii="仿宋_GB2312" w:eastAsia="仿宋_GB2312"/>
          <w:sz w:val="36"/>
          <w:szCs w:val="36"/>
          <w:u w:val="single"/>
        </w:rPr>
        <w:t xml:space="preserve"> </w:t>
      </w:r>
      <w:r>
        <w:rPr>
          <w:rFonts w:hint="eastAsia" w:ascii="Times New Roman" w:hAnsi="Times New Roman" w:eastAsia="宋体" w:cs="Times New Roman"/>
          <w:color w:val="auto"/>
          <w:sz w:val="30"/>
          <w:szCs w:val="30"/>
          <w:highlight w:val="none"/>
          <w:u w:val="single"/>
          <w:lang w:val="en-US" w:eastAsia="zh-CN"/>
        </w:rPr>
        <w:t>2025年1</w:t>
      </w:r>
      <w:r>
        <w:rPr>
          <w:rFonts w:hint="eastAsia" w:cs="Times New Roman"/>
          <w:color w:val="auto"/>
          <w:sz w:val="30"/>
          <w:szCs w:val="30"/>
          <w:highlight w:val="none"/>
          <w:u w:val="single"/>
          <w:lang w:val="en-US" w:eastAsia="zh-CN"/>
        </w:rPr>
        <w:t>2</w:t>
      </w:r>
      <w:r>
        <w:rPr>
          <w:rFonts w:hint="eastAsia" w:ascii="Times New Roman" w:hAnsi="Times New Roman" w:eastAsia="宋体" w:cs="Times New Roman"/>
          <w:color w:val="auto"/>
          <w:sz w:val="30"/>
          <w:szCs w:val="30"/>
          <w:highlight w:val="none"/>
          <w:u w:val="single"/>
          <w:lang w:val="en-US" w:eastAsia="zh-CN"/>
        </w:rPr>
        <w:t>月</w:t>
      </w:r>
      <w:r>
        <w:rPr>
          <w:rFonts w:ascii="仿宋_GB2312" w:eastAsia="仿宋_GB2312"/>
          <w:sz w:val="36"/>
          <w:szCs w:val="36"/>
          <w:u w:val="single"/>
        </w:rPr>
        <w:t xml:space="preserve">      </w:t>
      </w:r>
      <w:r>
        <w:rPr>
          <w:rFonts w:hint="eastAsia" w:ascii="仿宋_GB2312" w:eastAsia="仿宋_GB2312"/>
          <w:sz w:val="36"/>
          <w:szCs w:val="36"/>
          <w:u w:val="single"/>
          <w:lang w:val="en-US" w:eastAsia="zh-CN"/>
        </w:rPr>
        <w:t xml:space="preserve"> </w:t>
      </w:r>
      <w:r>
        <w:rPr>
          <w:rFonts w:ascii="仿宋_GB2312" w:eastAsia="仿宋_GB2312"/>
          <w:sz w:val="36"/>
          <w:szCs w:val="36"/>
          <w:u w:val="single"/>
        </w:rPr>
        <w:t xml:space="preserve"> </w:t>
      </w:r>
      <w:r>
        <w:rPr>
          <w:rFonts w:hint="eastAsia" w:ascii="仿宋_GB2312" w:eastAsia="仿宋_GB2312"/>
          <w:sz w:val="36"/>
          <w:szCs w:val="36"/>
          <w:u w:val="single"/>
          <w:lang w:val="en-US" w:eastAsia="zh-CN"/>
        </w:rPr>
        <w:t xml:space="preserve">   </w:t>
      </w:r>
      <w:r>
        <w:rPr>
          <w:rFonts w:ascii="仿宋_GB2312" w:eastAsia="仿宋_GB2312"/>
          <w:sz w:val="36"/>
          <w:szCs w:val="36"/>
          <w:u w:val="single"/>
        </w:rPr>
        <w:t xml:space="preserve"> </w:t>
      </w:r>
    </w:p>
    <w:p>
      <w:pPr>
        <w:adjustRightInd w:val="0"/>
        <w:snapToGrid w:val="0"/>
        <w:spacing w:line="288" w:lineRule="auto"/>
        <w:ind w:firstLine="1040"/>
        <w:rPr>
          <w:rFonts w:ascii="仿宋_GB2312" w:eastAsia="仿宋_GB2312"/>
          <w:sz w:val="36"/>
          <w:szCs w:val="36"/>
          <w:u w:val="single"/>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pPr>
        <w:adjustRightInd w:val="0"/>
        <w:snapToGrid w:val="0"/>
        <w:spacing w:line="288" w:lineRule="auto"/>
        <w:ind w:firstLine="1040"/>
        <w:rPr>
          <w:rFonts w:ascii="仿宋_GB2312" w:eastAsia="仿宋_GB2312"/>
          <w:sz w:val="36"/>
          <w:szCs w:val="36"/>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sdt>
      <w:sdtPr>
        <w:rPr>
          <w:rFonts w:ascii="宋体" w:hAnsi="宋体" w:eastAsia="宋体" w:cs="Times New Roman"/>
          <w:kern w:val="2"/>
          <w:sz w:val="21"/>
          <w:szCs w:val="24"/>
          <w:lang w:val="en-US" w:eastAsia="zh-CN" w:bidi="ar-SA"/>
        </w:rPr>
        <w:id w:val="147466765"/>
        <w15:color w:val="DBDBDB"/>
        <w:docPartObj>
          <w:docPartGallery w:val="Table of Contents"/>
          <w:docPartUnique/>
        </w:docPartObj>
      </w:sdtPr>
      <w:sdtEndPr>
        <w:rPr>
          <w:rFonts w:ascii="仿宋_GB2312" w:hAnsi="Times New Roman" w:eastAsia="仿宋_GB2312" w:cs="Times New Roman"/>
          <w:kern w:val="2"/>
          <w:sz w:val="21"/>
          <w:szCs w:val="36"/>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36"/>
              <w:szCs w:val="44"/>
            </w:rPr>
            <w:t>目录</w:t>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ascii="仿宋_GB2312" w:eastAsia="仿宋_GB2312"/>
              <w:sz w:val="36"/>
              <w:szCs w:val="36"/>
            </w:rPr>
            <w:fldChar w:fldCharType="begin"/>
          </w:r>
          <w:r>
            <w:rPr>
              <w:rFonts w:ascii="仿宋_GB2312" w:eastAsia="仿宋_GB2312"/>
              <w:sz w:val="36"/>
              <w:szCs w:val="36"/>
            </w:rPr>
            <w:instrText xml:space="preserve">TOC \o "1-1" \h \u </w:instrText>
          </w:r>
          <w:r>
            <w:rPr>
              <w:rFonts w:ascii="仿宋_GB2312" w:eastAsia="仿宋_GB2312"/>
              <w:sz w:val="36"/>
              <w:szCs w:val="36"/>
            </w:rPr>
            <w:fldChar w:fldCharType="separate"/>
          </w: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_Toc6148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snapToGrid w:val="0"/>
              <w:szCs w:val="30"/>
            </w:rPr>
            <w:t>一、建设项目基本情况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_Toc6148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_Toc30676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snapToGrid w:val="0"/>
              <w:szCs w:val="30"/>
            </w:rPr>
            <w:t>二、建设内容</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_Toc30676 \h </w:instrText>
          </w:r>
          <w:r>
            <w:rPr>
              <w:rFonts w:hint="default" w:ascii="Times New Roman" w:hAnsi="Times New Roman" w:eastAsia="宋体" w:cs="Times New Roman"/>
            </w:rPr>
            <w:fldChar w:fldCharType="separate"/>
          </w:r>
          <w:r>
            <w:rPr>
              <w:rFonts w:hint="default" w:ascii="Times New Roman" w:hAnsi="Times New Roman" w:eastAsia="宋体" w:cs="Times New Roman"/>
            </w:rPr>
            <w:t>30</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_Toc5207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snapToGrid w:val="0"/>
              <w:szCs w:val="30"/>
            </w:rPr>
            <w:t>三、生态环境现状、保护目标及评价标准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_Toc5207 \h </w:instrText>
          </w:r>
          <w:r>
            <w:rPr>
              <w:rFonts w:hint="default" w:ascii="Times New Roman" w:hAnsi="Times New Roman" w:eastAsia="宋体" w:cs="Times New Roman"/>
            </w:rPr>
            <w:fldChar w:fldCharType="separate"/>
          </w:r>
          <w:r>
            <w:rPr>
              <w:rFonts w:hint="default" w:ascii="Times New Roman" w:hAnsi="Times New Roman" w:eastAsia="宋体" w:cs="Times New Roman"/>
            </w:rPr>
            <w:t>43</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_Toc17253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snapToGrid w:val="0"/>
              <w:szCs w:val="30"/>
            </w:rPr>
            <w:t>四、生态环境影响分析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_Toc17253 \h </w:instrText>
          </w:r>
          <w:r>
            <w:rPr>
              <w:rFonts w:hint="default" w:ascii="Times New Roman" w:hAnsi="Times New Roman" w:eastAsia="宋体" w:cs="Times New Roman"/>
            </w:rPr>
            <w:fldChar w:fldCharType="separate"/>
          </w:r>
          <w:r>
            <w:rPr>
              <w:rFonts w:hint="default" w:ascii="Times New Roman" w:hAnsi="Times New Roman" w:eastAsia="宋体" w:cs="Times New Roman"/>
            </w:rPr>
            <w:t>54</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_Toc16168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snapToGrid w:val="0"/>
              <w:szCs w:val="30"/>
            </w:rPr>
            <w:t>五、主要生态环境保护措施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_Toc16168 \h </w:instrText>
          </w:r>
          <w:r>
            <w:rPr>
              <w:rFonts w:hint="default" w:ascii="Times New Roman" w:hAnsi="Times New Roman" w:eastAsia="宋体" w:cs="Times New Roman"/>
            </w:rPr>
            <w:fldChar w:fldCharType="separate"/>
          </w:r>
          <w:r>
            <w:rPr>
              <w:rFonts w:hint="default" w:ascii="Times New Roman" w:hAnsi="Times New Roman" w:eastAsia="宋体" w:cs="Times New Roman"/>
            </w:rPr>
            <w:t>67</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_Toc11526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snapToGrid w:val="0"/>
              <w:szCs w:val="30"/>
            </w:rPr>
            <w:t>六、生态环境保护措施监督检查清单</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_Toc11526 \h </w:instrText>
          </w:r>
          <w:r>
            <w:rPr>
              <w:rFonts w:hint="default" w:ascii="Times New Roman" w:hAnsi="Times New Roman" w:eastAsia="宋体" w:cs="Times New Roman"/>
            </w:rPr>
            <w:fldChar w:fldCharType="separate"/>
          </w:r>
          <w:r>
            <w:rPr>
              <w:rFonts w:hint="default" w:ascii="Times New Roman" w:hAnsi="Times New Roman" w:eastAsia="宋体" w:cs="Times New Roman"/>
            </w:rPr>
            <w:t>79</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_Toc3117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snapToGrid w:val="0"/>
              <w:szCs w:val="30"/>
            </w:rPr>
            <w:t>七、结论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_Toc3117 \h </w:instrText>
          </w:r>
          <w:r>
            <w:rPr>
              <w:rFonts w:hint="default" w:ascii="Times New Roman" w:hAnsi="Times New Roman" w:eastAsia="宋体" w:cs="Times New Roman"/>
            </w:rPr>
            <w:fldChar w:fldCharType="separate"/>
          </w:r>
          <w:r>
            <w:rPr>
              <w:rFonts w:hint="default" w:ascii="Times New Roman" w:hAnsi="Times New Roman" w:eastAsia="宋体" w:cs="Times New Roman"/>
            </w:rPr>
            <w:t>81</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_Toc3802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_Toc3802 \h </w:instrText>
          </w:r>
          <w:r>
            <w:rPr>
              <w:rFonts w:hint="default" w:ascii="Times New Roman" w:hAnsi="Times New Roman" w:eastAsia="宋体" w:cs="Times New Roman"/>
            </w:rPr>
            <w:fldChar w:fldCharType="separate"/>
          </w:r>
          <w:r>
            <w:rPr>
              <w:rFonts w:hint="default" w:ascii="Times New Roman" w:hAnsi="Times New Roman" w:eastAsia="宋体" w:cs="Times New Roman"/>
            </w:rPr>
            <w:t>82</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_Toc27276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rPr>
            <w:t>附件1</w:t>
          </w:r>
          <w:r>
            <w:rPr>
              <w:rFonts w:hint="default" w:ascii="Times New Roman" w:hAnsi="Times New Roman" w:eastAsia="宋体" w:cs="Times New Roman"/>
              <w:bCs/>
              <w:snapToGrid w:val="0"/>
              <w:szCs w:val="24"/>
              <w:highlight w:val="none"/>
              <w:lang w:val="en-US" w:eastAsia="zh-CN"/>
            </w:rPr>
            <w:t xml:space="preserve"> </w:t>
          </w:r>
          <w:r>
            <w:rPr>
              <w:rFonts w:hint="default" w:ascii="Times New Roman" w:hAnsi="Times New Roman" w:eastAsia="宋体" w:cs="Times New Roman"/>
              <w:bCs/>
              <w:snapToGrid w:val="0"/>
              <w:szCs w:val="24"/>
              <w:highlight w:val="none"/>
            </w:rPr>
            <w:t>电磁环境影响专项评价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_Toc27276 \h </w:instrText>
          </w:r>
          <w:r>
            <w:rPr>
              <w:rFonts w:hint="default" w:ascii="Times New Roman" w:hAnsi="Times New Roman" w:eastAsia="宋体" w:cs="Times New Roman"/>
            </w:rPr>
            <w:fldChar w:fldCharType="separate"/>
          </w:r>
          <w:r>
            <w:rPr>
              <w:rFonts w:hint="default" w:ascii="Times New Roman" w:hAnsi="Times New Roman" w:eastAsia="宋体" w:cs="Times New Roman"/>
            </w:rPr>
            <w:t>82</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_Toc10496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附件2 营业执照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_Toc10496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101</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_Toc26490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附件3 项目核准文件</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_Toc26490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102</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_Toc13115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附件4 可研批复</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_Toc13115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108</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_Toc7257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附件5 龙煤双鸭山集贤200MW风力发电项目环评批复</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_Toc7257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116</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_Toc5646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附件6 现状监测报告</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_Toc5646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119</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_Toc31540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附件7 输电线路噪声类比监测报告</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_Toc31540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127</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_Toc16541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附件8 太保变间隔扩建电磁类比检测报告</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_Toc16541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149</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_Toc3781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附件9 地埋电缆电磁类比监测报告</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_Toc3781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155</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_Toc4699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附件10 黑龙江省自然资源厅 黑龙江省发展和改革委员会 关于简化用地管理加快电网建设的通知</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_Toc4699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164</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_Toc8669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附件11 补偿协议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_Toc8669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166</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_Toc14135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附件12 网络全本公示截图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_Toc14135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186</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_Toc13175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_Toc13175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187</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_Toc12800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附图1 地理位置图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_Toc12800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187</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_Toc9204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附图2 线路走向图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_Toc9204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188</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_Toc28444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附图3 环境保护措施施工布置图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_Toc28444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189</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_Toc11657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附图4 光缆建设方案图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_Toc11657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192</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_Toc18886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附图5 太保变间隔平面图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_Toc18886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193</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_Toc2291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附图6 塔基平面图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_Toc2291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194</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_Toc110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附图7 本项目与黑龙江生态功能区划位置关系</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196</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_Toc26855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附图8 本项目与重要生态敏感区相对位置关系示意图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_Toc26855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197</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_Toc14579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附图9 本项目声环境影响评价范围图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_Toc14579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198</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_Toc2517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附图10 本项目电磁环境影响评价范围图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_Toc2517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199</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_Toc31694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附图11 本项目生态环境影响评价范围图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_Toc31694 \h </w:instrText>
          </w:r>
          <w:r>
            <w:rPr>
              <w:rFonts w:hint="default" w:ascii="Times New Roman" w:hAnsi="Times New Roman" w:eastAsia="宋体" w:cs="Times New Roman"/>
            </w:rPr>
            <w:fldChar w:fldCharType="separate"/>
          </w:r>
          <w:r>
            <w:rPr>
              <w:rFonts w:hint="default" w:ascii="Times New Roman" w:hAnsi="Times New Roman" w:eastAsia="宋体" w:cs="Times New Roman"/>
            </w:rPr>
            <w:t>200</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pStyle w:val="14"/>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exact"/>
            <w:textAlignment w:val="auto"/>
          </w:pPr>
          <w:r>
            <w:rPr>
              <w:rFonts w:hint="default" w:ascii="Times New Roman" w:hAnsi="Times New Roman" w:eastAsia="宋体" w:cs="Times New Roman"/>
              <w:szCs w:val="36"/>
            </w:rPr>
            <w:fldChar w:fldCharType="begin"/>
          </w:r>
          <w:r>
            <w:rPr>
              <w:rFonts w:hint="default" w:ascii="Times New Roman" w:hAnsi="Times New Roman" w:eastAsia="宋体" w:cs="Times New Roman"/>
              <w:szCs w:val="36"/>
            </w:rPr>
            <w:instrText xml:space="preserve"> HYPERLINK \l _Toc16632 </w:instrText>
          </w:r>
          <w:r>
            <w:rPr>
              <w:rFonts w:hint="default" w:ascii="Times New Roman" w:hAnsi="Times New Roman" w:eastAsia="宋体" w:cs="Times New Roman"/>
              <w:szCs w:val="36"/>
            </w:rPr>
            <w:fldChar w:fldCharType="separate"/>
          </w:r>
          <w:r>
            <w:rPr>
              <w:rFonts w:hint="default" w:ascii="Times New Roman" w:hAnsi="Times New Roman" w:eastAsia="宋体" w:cs="Times New Roman"/>
              <w:bCs/>
              <w:snapToGrid w:val="0"/>
              <w:szCs w:val="24"/>
              <w:highlight w:val="none"/>
              <w:lang w:val="en-US" w:eastAsia="zh-CN"/>
            </w:rPr>
            <w:t>附图12 本项目输电线路与声功能区的位置关系图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_Toc16632 \h </w:instrText>
          </w:r>
          <w:r>
            <w:rPr>
              <w:rFonts w:hint="default" w:ascii="Times New Roman" w:hAnsi="Times New Roman" w:eastAsia="宋体" w:cs="Times New Roman"/>
            </w:rPr>
            <w:fldChar w:fldCharType="separate"/>
          </w:r>
          <w:r>
            <w:rPr>
              <w:rFonts w:hint="default" w:ascii="Times New Roman" w:hAnsi="Times New Roman" w:eastAsia="宋体" w:cs="Times New Roman"/>
            </w:rPr>
            <w:t>201</w:t>
          </w:r>
          <w:r>
            <w:rPr>
              <w:rFonts w:hint="default" w:ascii="Times New Roman" w:hAnsi="Times New Roman" w:eastAsia="宋体" w:cs="Times New Roman"/>
            </w:rPr>
            <w:fldChar w:fldCharType="end"/>
          </w:r>
          <w:r>
            <w:rPr>
              <w:rFonts w:hint="default" w:ascii="Times New Roman" w:hAnsi="Times New Roman" w:eastAsia="宋体" w:cs="Times New Roman"/>
              <w:szCs w:val="36"/>
            </w:rPr>
            <w:fldChar w:fldCharType="end"/>
          </w:r>
        </w:p>
        <w:p>
          <w:pPr>
            <w:adjustRightInd w:val="0"/>
            <w:snapToGrid w:val="0"/>
            <w:spacing w:line="288" w:lineRule="auto"/>
            <w:ind w:firstLine="1040"/>
            <w:rPr>
              <w:rFonts w:ascii="仿宋_GB2312" w:hAnsi="Times New Roman" w:eastAsia="仿宋_GB2312" w:cs="Times New Roman"/>
              <w:kern w:val="2"/>
              <w:sz w:val="21"/>
              <w:szCs w:val="36"/>
              <w:lang w:val="en-US" w:eastAsia="zh-CN" w:bidi="ar-SA"/>
            </w:rPr>
          </w:pPr>
          <w:r>
            <w:rPr>
              <w:rFonts w:ascii="仿宋_GB2312" w:eastAsia="仿宋_GB2312"/>
              <w:szCs w:val="36"/>
            </w:rPr>
            <w:fldChar w:fldCharType="end"/>
          </w:r>
        </w:p>
      </w:sdtContent>
    </w:sdt>
    <w:p>
      <w:pPr>
        <w:adjustRightInd w:val="0"/>
        <w:snapToGrid w:val="0"/>
        <w:spacing w:line="288" w:lineRule="auto"/>
        <w:ind w:firstLine="1040"/>
        <w:rPr>
          <w:rFonts w:ascii="仿宋_GB2312" w:hAnsi="Times New Roman" w:eastAsia="仿宋_GB2312" w:cs="Times New Roman"/>
          <w:kern w:val="2"/>
          <w:sz w:val="21"/>
          <w:szCs w:val="36"/>
          <w:lang w:val="en-US" w:eastAsia="zh-CN" w:bidi="ar-SA"/>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pPr>
        <w:pStyle w:val="17"/>
        <w:jc w:val="center"/>
        <w:outlineLvl w:val="0"/>
        <w:rPr>
          <w:rFonts w:ascii="黑体" w:hAnsi="黑体" w:eastAsia="黑体"/>
          <w:snapToGrid w:val="0"/>
          <w:sz w:val="30"/>
          <w:szCs w:val="30"/>
        </w:rPr>
      </w:pPr>
      <w:bookmarkStart w:id="3" w:name="_Toc6148"/>
      <w:r>
        <w:rPr>
          <w:rFonts w:hint="eastAsia" w:ascii="黑体" w:hAnsi="黑体" w:eastAsia="黑体"/>
          <w:snapToGrid w:val="0"/>
          <w:sz w:val="30"/>
          <w:szCs w:val="30"/>
        </w:rPr>
        <w:t>一、建设项目基本情况</w:t>
      </w:r>
      <w:bookmarkEnd w:id="3"/>
    </w:p>
    <w:tbl>
      <w:tblPr>
        <w:tblStyle w:val="20"/>
        <w:tblW w:w="90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226"/>
        <w:gridCol w:w="2043"/>
        <w:gridCol w:w="2218"/>
        <w:gridCol w:w="10"/>
        <w:gridCol w:w="25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2226"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建设项目名称</w:t>
            </w:r>
          </w:p>
        </w:tc>
        <w:tc>
          <w:tcPr>
            <w:tcW w:w="6813" w:type="dxa"/>
            <w:gridSpan w:val="4"/>
            <w:noWrap w:val="0"/>
            <w:vAlign w:val="center"/>
          </w:tcPr>
          <w:p>
            <w:pPr>
              <w:adjustRightInd w:val="0"/>
              <w:snapToGrid w:val="0"/>
              <w:jc w:val="center"/>
              <w:rPr>
                <w:rFonts w:hint="eastAsia" w:ascii="宋体" w:hAnsi="宋体" w:eastAsia="宋体" w:cs="宋体"/>
                <w:sz w:val="24"/>
                <w:szCs w:val="24"/>
                <w:lang w:val="en-US" w:eastAsia="zh-CN"/>
              </w:rPr>
            </w:pPr>
            <w:r>
              <w:rPr>
                <w:rFonts w:hint="default" w:ascii="Times New Roman" w:hAnsi="Times New Roman" w:eastAsia="宋体" w:cs="Times New Roman"/>
                <w:color w:val="000000"/>
                <w:sz w:val="24"/>
                <w:szCs w:val="24"/>
              </w:rPr>
              <w:t>龙煤双鸭山集贤200MW风力发电项目接网工程</w:t>
            </w:r>
            <w:r>
              <w:rPr>
                <w:rFonts w:hint="eastAsia" w:ascii="Times New Roman" w:hAnsi="Times New Roman" w:eastAsia="宋体" w:cs="Times New Roman"/>
                <w:color w:val="000000"/>
                <w:sz w:val="24"/>
                <w:szCs w:val="24"/>
                <w:lang w:val="en-US" w:eastAsia="zh-CN"/>
              </w:rPr>
              <w:t>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2226" w:type="dxa"/>
            <w:noWrap w:val="0"/>
            <w:tcMar>
              <w:top w:w="16" w:type="dxa"/>
              <w:left w:w="16" w:type="dxa"/>
              <w:right w:w="16" w:type="dxa"/>
            </w:tcMar>
            <w:vAlign w:val="center"/>
          </w:tcPr>
          <w:p>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项目代码</w:t>
            </w:r>
          </w:p>
        </w:tc>
        <w:tc>
          <w:tcPr>
            <w:tcW w:w="6813" w:type="dxa"/>
            <w:gridSpan w:val="4"/>
            <w:noWrap w:val="0"/>
            <w:vAlign w:val="center"/>
          </w:tcPr>
          <w:p>
            <w:pPr>
              <w:adjustRightInd w:val="0"/>
              <w:snapToGrid w:val="0"/>
              <w:jc w:val="center"/>
              <w:rPr>
                <w:rFonts w:hint="eastAsia" w:ascii="宋体" w:hAnsi="宋体" w:eastAsia="宋体" w:cs="宋体"/>
                <w:sz w:val="24"/>
                <w:szCs w:val="24"/>
                <w:highlight w:val="none"/>
                <w:lang w:val="en-US" w:eastAsia="zh-CN"/>
              </w:rPr>
            </w:pPr>
            <w:r>
              <w:rPr>
                <w:rFonts w:hint="default" w:ascii="Times New Roman" w:hAnsi="Times New Roman" w:eastAsia="宋体" w:cs="Times New Roman"/>
                <w:sz w:val="24"/>
                <w:szCs w:val="24"/>
                <w:highlight w:val="none"/>
                <w:lang w:val="en-US" w:eastAsia="zh-CN"/>
              </w:rPr>
              <w:t>2503-230000-04-01-152606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2226" w:type="dxa"/>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建设单位联系人</w:t>
            </w:r>
          </w:p>
        </w:tc>
        <w:tc>
          <w:tcPr>
            <w:tcW w:w="2043" w:type="dxa"/>
            <w:noWrap w:val="0"/>
            <w:vAlign w:val="center"/>
          </w:tcPr>
          <w:p>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刘春阳</w:t>
            </w:r>
          </w:p>
        </w:tc>
        <w:tc>
          <w:tcPr>
            <w:tcW w:w="2228" w:type="dxa"/>
            <w:gridSpan w:val="2"/>
            <w:noWrap w:val="0"/>
            <w:vAlign w:val="center"/>
          </w:tcPr>
          <w:p>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联系方式</w:t>
            </w:r>
          </w:p>
        </w:tc>
        <w:tc>
          <w:tcPr>
            <w:tcW w:w="2542" w:type="dxa"/>
            <w:noWrap w:val="0"/>
            <w:vAlign w:val="center"/>
          </w:tcPr>
          <w:p>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18645163119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2226"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建设地点</w:t>
            </w:r>
          </w:p>
        </w:tc>
        <w:tc>
          <w:tcPr>
            <w:tcW w:w="6813" w:type="dxa"/>
            <w:gridSpan w:val="4"/>
            <w:noWrap w:val="0"/>
            <w:vAlign w:val="center"/>
          </w:tcPr>
          <w:p>
            <w:pPr>
              <w:adjustRightInd w:val="0"/>
              <w:snapToGrid w:val="0"/>
              <w:jc w:val="center"/>
              <w:rPr>
                <w:rFonts w:hint="default" w:ascii="宋体" w:hAnsi="宋体" w:cs="宋体"/>
                <w:sz w:val="24"/>
                <w:szCs w:val="24"/>
                <w:lang w:val="en-US"/>
              </w:rPr>
            </w:pPr>
            <w:r>
              <w:rPr>
                <w:rFonts w:hint="default" w:ascii="Times New Roman" w:hAnsi="Times New Roman" w:eastAsia="宋体" w:cs="Times New Roman"/>
                <w:color w:val="000000"/>
                <w:sz w:val="24"/>
                <w:szCs w:val="24"/>
                <w:highlight w:val="none"/>
                <w:u w:val="none"/>
              </w:rPr>
              <w:t>黑龙江省</w:t>
            </w:r>
            <w:r>
              <w:rPr>
                <w:rFonts w:hint="eastAsia" w:ascii="Times New Roman" w:hAnsi="Times New Roman" w:eastAsia="宋体" w:cs="Times New Roman"/>
                <w:color w:val="000000"/>
                <w:sz w:val="24"/>
                <w:szCs w:val="24"/>
                <w:highlight w:val="none"/>
                <w:u w:val="none"/>
                <w:lang w:val="en-US" w:eastAsia="zh-CN"/>
              </w:rPr>
              <w:t>双鸭山市集贤县</w:t>
            </w:r>
            <w:r>
              <w:rPr>
                <w:rFonts w:hint="eastAsia" w:cs="Times New Roman"/>
                <w:color w:val="000000"/>
                <w:sz w:val="24"/>
                <w:szCs w:val="24"/>
                <w:highlight w:val="none"/>
                <w:u w:val="none"/>
                <w:lang w:val="en-US" w:eastAsia="zh-CN"/>
              </w:rPr>
              <w:t>和</w:t>
            </w:r>
            <w:r>
              <w:rPr>
                <w:rFonts w:hint="eastAsia" w:ascii="Times New Roman" w:hAnsi="Times New Roman" w:eastAsia="宋体" w:cs="Times New Roman"/>
                <w:color w:val="000000"/>
                <w:sz w:val="24"/>
                <w:szCs w:val="24"/>
                <w:highlight w:val="none"/>
                <w:u w:val="none"/>
                <w:lang w:val="en-US" w:eastAsia="zh-CN"/>
              </w:rPr>
              <w:t>双鸭山市</w:t>
            </w:r>
            <w:r>
              <w:rPr>
                <w:rFonts w:hint="eastAsia" w:cs="Times New Roman"/>
                <w:color w:val="000000"/>
                <w:sz w:val="24"/>
                <w:szCs w:val="24"/>
                <w:highlight w:val="none"/>
                <w:u w:val="none"/>
                <w:lang w:val="en-US" w:eastAsia="zh-CN"/>
              </w:rPr>
              <w:t>四方台区、</w:t>
            </w:r>
            <w:r>
              <w:rPr>
                <w:rFonts w:hint="eastAsia" w:cs="Times New Roman"/>
                <w:color w:val="auto"/>
                <w:sz w:val="24"/>
                <w:szCs w:val="24"/>
                <w:highlight w:val="none"/>
                <w:u w:val="none"/>
                <w:lang w:val="en-US" w:eastAsia="zh-CN"/>
              </w:rPr>
              <w:t>经开区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2226"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地理坐标</w:t>
            </w:r>
          </w:p>
        </w:tc>
        <w:tc>
          <w:tcPr>
            <w:tcW w:w="6813"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lang w:val="en-US" w:eastAsia="zh-CN"/>
              </w:rPr>
              <w:t>输电线路起点：</w:t>
            </w:r>
            <w:r>
              <w:rPr>
                <w:rFonts w:hint="eastAsia" w:ascii="Times New Roman" w:hAnsi="Times New Roman" w:eastAsia="宋体" w:cs="Times New Roman"/>
                <w:color w:val="000000"/>
                <w:sz w:val="24"/>
                <w:szCs w:val="24"/>
                <w:highlight w:val="none"/>
                <w:u w:val="single"/>
                <w:lang w:val="en-US" w:eastAsia="zh-CN"/>
              </w:rPr>
              <w:t>131</w:t>
            </w:r>
            <w:r>
              <w:rPr>
                <w:rFonts w:hint="default" w:ascii="Times New Roman" w:hAnsi="Times New Roman" w:eastAsia="宋体" w:cs="Times New Roman"/>
                <w:color w:val="000000"/>
                <w:sz w:val="24"/>
                <w:szCs w:val="24"/>
                <w:highlight w:val="none"/>
              </w:rPr>
              <w:t>度</w:t>
            </w:r>
            <w:r>
              <w:rPr>
                <w:rFonts w:hint="eastAsia" w:ascii="Times New Roman" w:hAnsi="Times New Roman" w:eastAsia="宋体" w:cs="Times New Roman"/>
                <w:color w:val="000000"/>
                <w:sz w:val="24"/>
                <w:szCs w:val="24"/>
                <w:highlight w:val="none"/>
                <w:u w:val="single"/>
                <w:lang w:val="en-US" w:eastAsia="zh-CN"/>
              </w:rPr>
              <w:t>01</w:t>
            </w:r>
            <w:r>
              <w:rPr>
                <w:rFonts w:hint="default" w:ascii="Times New Roman" w:hAnsi="Times New Roman" w:eastAsia="宋体" w:cs="Times New Roman"/>
                <w:color w:val="000000"/>
                <w:sz w:val="24"/>
                <w:szCs w:val="24"/>
                <w:highlight w:val="none"/>
              </w:rPr>
              <w:t>分</w:t>
            </w:r>
            <w:r>
              <w:rPr>
                <w:rFonts w:hint="eastAsia" w:ascii="Times New Roman" w:hAnsi="Times New Roman" w:eastAsia="宋体" w:cs="Times New Roman"/>
                <w:color w:val="000000"/>
                <w:sz w:val="24"/>
                <w:szCs w:val="24"/>
                <w:highlight w:val="none"/>
                <w:u w:val="single"/>
                <w:lang w:val="en-US" w:eastAsia="zh-CN"/>
              </w:rPr>
              <w:t>46.340</w:t>
            </w:r>
            <w:r>
              <w:rPr>
                <w:rFonts w:hint="default" w:ascii="Times New Roman" w:hAnsi="Times New Roman" w:eastAsia="宋体" w:cs="Times New Roman"/>
                <w:color w:val="000000"/>
                <w:sz w:val="24"/>
                <w:szCs w:val="24"/>
                <w:highlight w:val="none"/>
              </w:rPr>
              <w:t>秒，</w:t>
            </w:r>
            <w:r>
              <w:rPr>
                <w:rFonts w:hint="default" w:ascii="Times New Roman" w:hAnsi="Times New Roman" w:eastAsia="宋体" w:cs="Times New Roman"/>
                <w:color w:val="000000"/>
                <w:sz w:val="24"/>
                <w:szCs w:val="24"/>
                <w:highlight w:val="none"/>
                <w:u w:val="single"/>
                <w:lang w:val="en-US" w:eastAsia="zh-CN"/>
              </w:rPr>
              <w:t>46</w:t>
            </w:r>
            <w:r>
              <w:rPr>
                <w:rFonts w:hint="default" w:ascii="Times New Roman" w:hAnsi="Times New Roman" w:eastAsia="宋体" w:cs="Times New Roman"/>
                <w:color w:val="000000"/>
                <w:sz w:val="24"/>
                <w:szCs w:val="24"/>
                <w:highlight w:val="none"/>
              </w:rPr>
              <w:t>度</w:t>
            </w:r>
            <w:r>
              <w:rPr>
                <w:rFonts w:hint="eastAsia" w:ascii="Times New Roman" w:hAnsi="Times New Roman" w:eastAsia="宋体" w:cs="Times New Roman"/>
                <w:color w:val="000000"/>
                <w:sz w:val="24"/>
                <w:szCs w:val="24"/>
                <w:highlight w:val="none"/>
                <w:u w:val="single"/>
                <w:lang w:val="en-US" w:eastAsia="zh-CN"/>
              </w:rPr>
              <w:t>5</w:t>
            </w:r>
            <w:r>
              <w:rPr>
                <w:rFonts w:hint="default" w:ascii="Times New Roman" w:hAnsi="Times New Roman" w:eastAsia="宋体" w:cs="Times New Roman"/>
                <w:color w:val="000000"/>
                <w:sz w:val="24"/>
                <w:szCs w:val="24"/>
                <w:highlight w:val="none"/>
                <w:u w:val="single"/>
                <w:lang w:val="en-US" w:eastAsia="zh-CN"/>
              </w:rPr>
              <w:t>2</w:t>
            </w:r>
            <w:r>
              <w:rPr>
                <w:rFonts w:hint="default" w:ascii="Times New Roman" w:hAnsi="Times New Roman" w:eastAsia="宋体" w:cs="Times New Roman"/>
                <w:color w:val="000000"/>
                <w:sz w:val="24"/>
                <w:szCs w:val="24"/>
                <w:highlight w:val="none"/>
              </w:rPr>
              <w:t>分</w:t>
            </w:r>
            <w:r>
              <w:rPr>
                <w:rFonts w:hint="eastAsia" w:ascii="Times New Roman" w:hAnsi="Times New Roman" w:eastAsia="宋体" w:cs="Times New Roman"/>
                <w:color w:val="000000"/>
                <w:sz w:val="24"/>
                <w:szCs w:val="24"/>
                <w:highlight w:val="none"/>
                <w:u w:val="single"/>
                <w:lang w:val="en-US" w:eastAsia="zh-CN"/>
              </w:rPr>
              <w:t>44.600</w:t>
            </w:r>
            <w:r>
              <w:rPr>
                <w:rFonts w:hint="default" w:ascii="Times New Roman" w:hAnsi="Times New Roman" w:eastAsia="宋体" w:cs="Times New Roman"/>
                <w:color w:val="000000"/>
                <w:sz w:val="24"/>
                <w:szCs w:val="24"/>
                <w:highlight w:val="none"/>
              </w:rPr>
              <w:t>秒</w:t>
            </w:r>
          </w:p>
          <w:p>
            <w:pPr>
              <w:adjustRightInd w:val="0"/>
              <w:snapToGrid w:val="0"/>
              <w:jc w:val="center"/>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lang w:val="en-US" w:eastAsia="zh-CN"/>
              </w:rPr>
              <w:t>输电线路终点：</w:t>
            </w:r>
            <w:r>
              <w:rPr>
                <w:rFonts w:hint="default" w:ascii="Times New Roman" w:hAnsi="Times New Roman" w:eastAsia="宋体" w:cs="Times New Roman"/>
                <w:color w:val="000000"/>
                <w:sz w:val="24"/>
                <w:szCs w:val="24"/>
                <w:highlight w:val="none"/>
                <w:u w:val="single"/>
                <w:lang w:val="en-US" w:eastAsia="zh-CN"/>
              </w:rPr>
              <w:t>1</w:t>
            </w:r>
            <w:r>
              <w:rPr>
                <w:rFonts w:hint="eastAsia" w:ascii="Times New Roman" w:hAnsi="Times New Roman" w:eastAsia="宋体" w:cs="Times New Roman"/>
                <w:color w:val="000000"/>
                <w:sz w:val="24"/>
                <w:szCs w:val="24"/>
                <w:highlight w:val="none"/>
                <w:u w:val="single"/>
                <w:lang w:val="en-US" w:eastAsia="zh-CN"/>
              </w:rPr>
              <w:t>31</w:t>
            </w:r>
            <w:r>
              <w:rPr>
                <w:rFonts w:hint="default" w:ascii="Times New Roman" w:hAnsi="Times New Roman" w:eastAsia="宋体" w:cs="Times New Roman"/>
                <w:color w:val="000000"/>
                <w:sz w:val="24"/>
                <w:szCs w:val="24"/>
                <w:highlight w:val="none"/>
              </w:rPr>
              <w:t>度</w:t>
            </w:r>
            <w:r>
              <w:rPr>
                <w:rFonts w:hint="eastAsia" w:ascii="Times New Roman" w:hAnsi="Times New Roman" w:eastAsia="宋体" w:cs="Times New Roman"/>
                <w:color w:val="000000"/>
                <w:sz w:val="24"/>
                <w:szCs w:val="24"/>
                <w:highlight w:val="none"/>
                <w:u w:val="single"/>
                <w:lang w:val="en-US" w:eastAsia="zh-CN"/>
              </w:rPr>
              <w:t>13</w:t>
            </w:r>
            <w:r>
              <w:rPr>
                <w:rFonts w:hint="default" w:ascii="Times New Roman" w:hAnsi="Times New Roman" w:eastAsia="宋体" w:cs="Times New Roman"/>
                <w:color w:val="000000"/>
                <w:sz w:val="24"/>
                <w:szCs w:val="24"/>
                <w:highlight w:val="none"/>
              </w:rPr>
              <w:t>分</w:t>
            </w:r>
            <w:r>
              <w:rPr>
                <w:rFonts w:hint="eastAsia" w:ascii="Times New Roman" w:hAnsi="Times New Roman" w:eastAsia="宋体" w:cs="Times New Roman"/>
                <w:color w:val="000000"/>
                <w:sz w:val="24"/>
                <w:szCs w:val="24"/>
                <w:highlight w:val="none"/>
                <w:u w:val="single"/>
                <w:lang w:val="en-US" w:eastAsia="zh-CN"/>
              </w:rPr>
              <w:t>56.291</w:t>
            </w:r>
            <w:r>
              <w:rPr>
                <w:rFonts w:hint="default" w:ascii="Times New Roman" w:hAnsi="Times New Roman" w:eastAsia="宋体" w:cs="Times New Roman"/>
                <w:color w:val="000000"/>
                <w:sz w:val="24"/>
                <w:szCs w:val="24"/>
                <w:highlight w:val="none"/>
              </w:rPr>
              <w:t>秒，</w:t>
            </w:r>
            <w:r>
              <w:rPr>
                <w:rFonts w:hint="default" w:ascii="Times New Roman" w:hAnsi="Times New Roman" w:eastAsia="宋体" w:cs="Times New Roman"/>
                <w:color w:val="000000"/>
                <w:sz w:val="24"/>
                <w:szCs w:val="24"/>
                <w:highlight w:val="none"/>
                <w:u w:val="single"/>
                <w:lang w:val="en-US" w:eastAsia="zh-CN"/>
              </w:rPr>
              <w:t>46</w:t>
            </w:r>
            <w:r>
              <w:rPr>
                <w:rFonts w:hint="default" w:ascii="Times New Roman" w:hAnsi="Times New Roman" w:eastAsia="宋体" w:cs="Times New Roman"/>
                <w:color w:val="000000"/>
                <w:sz w:val="24"/>
                <w:szCs w:val="24"/>
                <w:highlight w:val="none"/>
              </w:rPr>
              <w:t>度</w:t>
            </w:r>
            <w:r>
              <w:rPr>
                <w:rFonts w:hint="eastAsia" w:ascii="Times New Roman" w:hAnsi="Times New Roman" w:eastAsia="宋体" w:cs="Times New Roman"/>
                <w:color w:val="000000"/>
                <w:sz w:val="24"/>
                <w:szCs w:val="24"/>
                <w:highlight w:val="none"/>
                <w:u w:val="single"/>
                <w:lang w:val="en-US" w:eastAsia="zh-CN"/>
              </w:rPr>
              <w:t>44</w:t>
            </w:r>
            <w:r>
              <w:rPr>
                <w:rFonts w:hint="default" w:ascii="Times New Roman" w:hAnsi="Times New Roman" w:eastAsia="宋体" w:cs="Times New Roman"/>
                <w:color w:val="000000"/>
                <w:sz w:val="24"/>
                <w:szCs w:val="24"/>
                <w:highlight w:val="none"/>
              </w:rPr>
              <w:t>分</w:t>
            </w:r>
            <w:r>
              <w:rPr>
                <w:rFonts w:hint="eastAsia" w:ascii="Times New Roman" w:hAnsi="Times New Roman" w:eastAsia="宋体" w:cs="Times New Roman"/>
                <w:color w:val="000000"/>
                <w:sz w:val="24"/>
                <w:szCs w:val="24"/>
                <w:highlight w:val="none"/>
                <w:u w:val="single"/>
                <w:lang w:val="en-US" w:eastAsia="zh-CN"/>
              </w:rPr>
              <w:t>28.312</w:t>
            </w:r>
            <w:r>
              <w:rPr>
                <w:rFonts w:hint="default" w:ascii="Times New Roman" w:hAnsi="Times New Roman" w:eastAsia="宋体" w:cs="Times New Roman"/>
                <w:color w:val="000000"/>
                <w:sz w:val="24"/>
                <w:szCs w:val="24"/>
                <w:highlight w:val="none"/>
              </w:rPr>
              <w:t>秒</w:t>
            </w:r>
          </w:p>
          <w:p>
            <w:pPr>
              <w:adjustRightInd w:val="0"/>
              <w:snapToGrid w:val="0"/>
              <w:jc w:val="center"/>
              <w:rPr>
                <w:rFonts w:hint="default" w:eastAsia="宋体"/>
                <w:lang w:val="en-US" w:eastAsia="zh-CN"/>
              </w:rPr>
            </w:pPr>
            <w:r>
              <w:rPr>
                <w:rFonts w:hint="eastAsia" w:ascii="Times New Roman" w:hAnsi="Times New Roman" w:eastAsia="宋体" w:cs="Times New Roman"/>
                <w:color w:val="auto"/>
                <w:sz w:val="24"/>
                <w:szCs w:val="24"/>
                <w:highlight w:val="none"/>
                <w:lang w:val="en-US" w:eastAsia="zh-CN"/>
              </w:rPr>
              <w:t>升压站中心点坐标：</w:t>
            </w:r>
            <w:r>
              <w:rPr>
                <w:rFonts w:hint="default" w:ascii="Times New Roman" w:hAnsi="Times New Roman" w:eastAsia="宋体" w:cs="Times New Roman"/>
                <w:color w:val="auto"/>
                <w:sz w:val="24"/>
                <w:szCs w:val="24"/>
                <w:highlight w:val="none"/>
                <w:u w:val="single"/>
                <w:lang w:val="en-US" w:eastAsia="zh-CN"/>
              </w:rPr>
              <w:t>1</w:t>
            </w:r>
            <w:r>
              <w:rPr>
                <w:rFonts w:hint="eastAsia" w:ascii="Times New Roman" w:hAnsi="Times New Roman" w:eastAsia="宋体" w:cs="Times New Roman"/>
                <w:color w:val="auto"/>
                <w:sz w:val="24"/>
                <w:szCs w:val="24"/>
                <w:highlight w:val="none"/>
                <w:u w:val="single"/>
                <w:lang w:val="en-US" w:eastAsia="zh-CN"/>
              </w:rPr>
              <w:t>31</w:t>
            </w:r>
            <w:r>
              <w:rPr>
                <w:rFonts w:hint="default" w:ascii="Times New Roman" w:hAnsi="Times New Roman" w:eastAsia="宋体" w:cs="Times New Roman"/>
                <w:color w:val="auto"/>
                <w:sz w:val="24"/>
                <w:szCs w:val="24"/>
                <w:highlight w:val="none"/>
              </w:rPr>
              <w:t>度</w:t>
            </w:r>
            <w:r>
              <w:rPr>
                <w:rFonts w:hint="eastAsia" w:cs="Times New Roman"/>
                <w:color w:val="auto"/>
                <w:sz w:val="24"/>
                <w:szCs w:val="24"/>
                <w:highlight w:val="none"/>
                <w:u w:val="single"/>
                <w:lang w:val="en-US" w:eastAsia="zh-CN"/>
              </w:rPr>
              <w:t>01</w:t>
            </w:r>
            <w:r>
              <w:rPr>
                <w:rFonts w:hint="default" w:ascii="Times New Roman" w:hAnsi="Times New Roman" w:eastAsia="宋体" w:cs="Times New Roman"/>
                <w:color w:val="auto"/>
                <w:sz w:val="24"/>
                <w:szCs w:val="24"/>
                <w:highlight w:val="none"/>
              </w:rPr>
              <w:t>分</w:t>
            </w:r>
            <w:r>
              <w:rPr>
                <w:rFonts w:hint="eastAsia" w:cs="Times New Roman"/>
                <w:color w:val="auto"/>
                <w:sz w:val="24"/>
                <w:szCs w:val="24"/>
                <w:highlight w:val="none"/>
                <w:u w:val="single"/>
                <w:lang w:val="en-US" w:eastAsia="zh-CN"/>
              </w:rPr>
              <w:t>17.398</w:t>
            </w:r>
            <w:r>
              <w:rPr>
                <w:rFonts w:hint="default" w:ascii="Times New Roman" w:hAnsi="Times New Roman" w:eastAsia="宋体" w:cs="Times New Roman"/>
                <w:color w:val="auto"/>
                <w:sz w:val="24"/>
                <w:szCs w:val="24"/>
                <w:highlight w:val="none"/>
              </w:rPr>
              <w:t>秒，</w:t>
            </w:r>
            <w:r>
              <w:rPr>
                <w:rFonts w:hint="default" w:ascii="Times New Roman" w:hAnsi="Times New Roman" w:eastAsia="宋体" w:cs="Times New Roman"/>
                <w:color w:val="auto"/>
                <w:sz w:val="24"/>
                <w:szCs w:val="24"/>
                <w:highlight w:val="none"/>
                <w:u w:val="single"/>
                <w:lang w:val="en-US" w:eastAsia="zh-CN"/>
              </w:rPr>
              <w:t>46</w:t>
            </w:r>
            <w:r>
              <w:rPr>
                <w:rFonts w:hint="default" w:ascii="Times New Roman" w:hAnsi="Times New Roman" w:eastAsia="宋体" w:cs="Times New Roman"/>
                <w:color w:val="auto"/>
                <w:sz w:val="24"/>
                <w:szCs w:val="24"/>
                <w:highlight w:val="none"/>
              </w:rPr>
              <w:t>度</w:t>
            </w:r>
            <w:r>
              <w:rPr>
                <w:rFonts w:hint="eastAsia" w:cs="Times New Roman"/>
                <w:color w:val="auto"/>
                <w:sz w:val="24"/>
                <w:szCs w:val="24"/>
                <w:highlight w:val="none"/>
                <w:u w:val="single"/>
                <w:lang w:val="en-US" w:eastAsia="zh-CN"/>
              </w:rPr>
              <w:t>52</w:t>
            </w:r>
            <w:r>
              <w:rPr>
                <w:rFonts w:hint="default" w:ascii="Times New Roman" w:hAnsi="Times New Roman" w:eastAsia="宋体" w:cs="Times New Roman"/>
                <w:color w:val="auto"/>
                <w:sz w:val="24"/>
                <w:szCs w:val="24"/>
                <w:highlight w:val="none"/>
              </w:rPr>
              <w:t>分</w:t>
            </w:r>
            <w:r>
              <w:rPr>
                <w:rFonts w:hint="eastAsia" w:cs="Times New Roman"/>
                <w:color w:val="auto"/>
                <w:sz w:val="24"/>
                <w:szCs w:val="24"/>
                <w:highlight w:val="none"/>
                <w:u w:val="single"/>
                <w:lang w:val="en-US" w:eastAsia="zh-CN"/>
              </w:rPr>
              <w:t>37.608</w:t>
            </w:r>
            <w:r>
              <w:rPr>
                <w:rFonts w:hint="default" w:ascii="Times New Roman" w:hAnsi="Times New Roman" w:eastAsia="宋体" w:cs="Times New Roman"/>
                <w:color w:val="auto"/>
                <w:sz w:val="24"/>
                <w:szCs w:val="24"/>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jc w:val="center"/>
        </w:trPr>
        <w:tc>
          <w:tcPr>
            <w:tcW w:w="2226"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建设项目</w:t>
            </w:r>
          </w:p>
          <w:p>
            <w:pPr>
              <w:adjustRightInd w:val="0"/>
              <w:snapToGrid w:val="0"/>
              <w:jc w:val="center"/>
              <w:rPr>
                <w:rFonts w:ascii="宋体" w:hAnsi="宋体" w:cs="宋体"/>
                <w:sz w:val="24"/>
                <w:szCs w:val="24"/>
              </w:rPr>
            </w:pPr>
            <w:r>
              <w:rPr>
                <w:rFonts w:hint="eastAsia" w:ascii="宋体" w:hAnsi="宋体" w:cs="宋体"/>
                <w:sz w:val="24"/>
                <w:szCs w:val="24"/>
              </w:rPr>
              <w:t>行业类别</w:t>
            </w:r>
          </w:p>
        </w:tc>
        <w:tc>
          <w:tcPr>
            <w:tcW w:w="2043" w:type="dxa"/>
            <w:noWrap w:val="0"/>
            <w:vAlign w:val="center"/>
          </w:tcPr>
          <w:p>
            <w:pPr>
              <w:adjustRightInd w:val="0"/>
              <w:snapToGrid w:val="0"/>
              <w:jc w:val="center"/>
              <w:rPr>
                <w:rFonts w:ascii="宋体" w:hAnsi="宋体" w:cs="宋体"/>
                <w:sz w:val="24"/>
                <w:szCs w:val="24"/>
              </w:rPr>
            </w:pP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五十五、核与辐射，161输变电工程；其它（100千伏以下除外）</w:t>
            </w:r>
            <w:r>
              <w:rPr>
                <w:rFonts w:hint="eastAsia" w:ascii="Times New Roman" w:hAnsi="Times New Roman" w:eastAsia="宋体" w:cs="Times New Roman"/>
                <w:color w:val="000000"/>
                <w:sz w:val="24"/>
                <w:szCs w:val="24"/>
                <w:highlight w:val="none"/>
                <w:lang w:val="en-US" w:eastAsia="zh-CN"/>
              </w:rPr>
              <w:t>”</w:t>
            </w:r>
          </w:p>
        </w:tc>
        <w:tc>
          <w:tcPr>
            <w:tcW w:w="2218" w:type="dxa"/>
            <w:noWrap w:val="0"/>
            <w:vAlign w:val="center"/>
          </w:tcPr>
          <w:p>
            <w:pPr>
              <w:adjustRightInd w:val="0"/>
              <w:snapToGrid w:val="0"/>
              <w:jc w:val="center"/>
              <w:rPr>
                <w:rFonts w:ascii="宋体" w:hAnsi="宋体" w:cs="宋体"/>
                <w:sz w:val="24"/>
                <w:szCs w:val="24"/>
              </w:rPr>
            </w:pPr>
            <w:r>
              <w:rPr>
                <w:rFonts w:hint="default" w:ascii="Times New Roman" w:hAnsi="Times New Roman" w:cs="Times New Roman"/>
                <w:sz w:val="24"/>
                <w:szCs w:val="24"/>
              </w:rPr>
              <w:t>用地（用海）面积（m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）/长度（km）</w:t>
            </w:r>
          </w:p>
        </w:tc>
        <w:tc>
          <w:tcPr>
            <w:tcW w:w="2552" w:type="dxa"/>
            <w:gridSpan w:val="2"/>
            <w:noWrap w:val="0"/>
            <w:vAlign w:val="center"/>
          </w:tcPr>
          <w:p>
            <w:pPr>
              <w:adjustRightInd w:val="0"/>
              <w:snapToGrid w:val="0"/>
              <w:jc w:val="center"/>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永久占地</w:t>
            </w:r>
            <w:r>
              <w:rPr>
                <w:rFonts w:hint="eastAsia" w:cs="Times New Roman"/>
                <w:color w:val="000000"/>
                <w:sz w:val="24"/>
                <w:szCs w:val="24"/>
                <w:highlight w:val="none"/>
                <w:lang w:val="en-US" w:eastAsia="zh-CN"/>
              </w:rPr>
              <w:t>（租地）：</w:t>
            </w:r>
            <w:r>
              <w:rPr>
                <w:rFonts w:hint="eastAsia" w:ascii="Times New Roman" w:hAnsi="Times New Roman" w:eastAsia="宋体" w:cs="Times New Roman"/>
                <w:color w:val="000000"/>
                <w:sz w:val="24"/>
                <w:szCs w:val="24"/>
                <w:highlight w:val="none"/>
                <w:lang w:val="en-US" w:eastAsia="zh-CN"/>
              </w:rPr>
              <w:t>5864.63</w:t>
            </w:r>
          </w:p>
          <w:p>
            <w:pPr>
              <w:adjustRightInd w:val="0"/>
              <w:snapToGrid w:val="0"/>
              <w:jc w:val="center"/>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临时占地</w:t>
            </w:r>
            <w:r>
              <w:rPr>
                <w:rFonts w:hint="eastAsia"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249635.4</w:t>
            </w:r>
            <w:r>
              <w:rPr>
                <w:rFonts w:hint="eastAsia" w:cs="Times New Roman"/>
                <w:color w:val="000000"/>
                <w:sz w:val="24"/>
                <w:szCs w:val="24"/>
                <w:highlight w:val="none"/>
                <w:lang w:val="en-US" w:eastAsia="zh-CN"/>
              </w:rPr>
              <w:t>7</w:t>
            </w:r>
          </w:p>
          <w:p>
            <w:pPr>
              <w:adjustRightInd w:val="0"/>
              <w:snapToGrid w:val="0"/>
              <w:jc w:val="center"/>
              <w:rPr>
                <w:rFonts w:ascii="宋体" w:hAnsi="宋体" w:cs="宋体"/>
                <w:sz w:val="24"/>
                <w:szCs w:val="24"/>
              </w:rPr>
            </w:pPr>
            <w:r>
              <w:rPr>
                <w:rFonts w:hint="eastAsia" w:ascii="Times New Roman" w:hAnsi="Times New Roman" w:eastAsia="宋体" w:cs="Times New Roman"/>
                <w:color w:val="000000"/>
                <w:sz w:val="24"/>
                <w:szCs w:val="24"/>
                <w:highlight w:val="none"/>
                <w:lang w:val="en-US" w:eastAsia="zh-CN"/>
              </w:rPr>
              <w:t>线路长度：26.5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jc w:val="center"/>
        </w:trPr>
        <w:tc>
          <w:tcPr>
            <w:tcW w:w="2226"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建设性质</w:t>
            </w:r>
          </w:p>
        </w:tc>
        <w:tc>
          <w:tcPr>
            <w:tcW w:w="2043" w:type="dxa"/>
            <w:noWrap w:val="0"/>
            <w:vAlign w:val="center"/>
          </w:tcPr>
          <w:p>
            <w:pPr>
              <w:adjustRightInd w:val="0"/>
              <w:snapToGrid w:val="0"/>
              <w:jc w:val="left"/>
              <w:rPr>
                <w:rFonts w:ascii="宋体" w:hAnsi="宋体" w:cs="宋体"/>
                <w:sz w:val="24"/>
                <w:szCs w:val="24"/>
              </w:rPr>
            </w:pPr>
            <w:r>
              <w:rPr>
                <w:rFonts w:hint="eastAsia" w:ascii="宋体" w:hAnsi="宋体" w:cs="宋体"/>
                <w:sz w:val="24"/>
                <w:szCs w:val="24"/>
                <w:lang w:eastAsia="zh-CN"/>
              </w:rPr>
              <w:t>☑</w:t>
            </w:r>
            <w:r>
              <w:rPr>
                <w:rFonts w:hint="eastAsia" w:ascii="宋体" w:hAnsi="宋体" w:cs="宋体"/>
                <w:sz w:val="24"/>
                <w:szCs w:val="24"/>
              </w:rPr>
              <w:t>新建（迁建）</w:t>
            </w:r>
          </w:p>
          <w:p>
            <w:pPr>
              <w:adjustRightInd w:val="0"/>
              <w:snapToGrid w:val="0"/>
              <w:jc w:val="left"/>
              <w:rPr>
                <w:rFonts w:ascii="宋体" w:hAnsi="宋体" w:cs="宋体"/>
                <w:sz w:val="24"/>
                <w:szCs w:val="24"/>
              </w:rPr>
            </w:pPr>
            <w:r>
              <w:rPr>
                <w:rFonts w:hint="eastAsia" w:ascii="宋体" w:hAnsi="宋体" w:cs="宋体"/>
                <w:sz w:val="24"/>
                <w:szCs w:val="24"/>
              </w:rPr>
              <w:t>□改建</w:t>
            </w:r>
          </w:p>
          <w:p>
            <w:pPr>
              <w:adjustRightInd w:val="0"/>
              <w:snapToGrid w:val="0"/>
              <w:jc w:val="left"/>
              <w:rPr>
                <w:rFonts w:ascii="宋体" w:hAnsi="宋体" w:cs="宋体"/>
                <w:sz w:val="24"/>
                <w:szCs w:val="24"/>
              </w:rPr>
            </w:pPr>
            <w:r>
              <w:rPr>
                <w:rFonts w:hint="eastAsia" w:ascii="宋体" w:hAnsi="宋体" w:cs="宋体"/>
                <w:sz w:val="24"/>
                <w:szCs w:val="24"/>
                <w:lang w:eastAsia="zh-CN"/>
              </w:rPr>
              <w:t>□</w:t>
            </w:r>
            <w:r>
              <w:rPr>
                <w:rFonts w:hint="eastAsia" w:ascii="宋体" w:hAnsi="宋体" w:cs="宋体"/>
                <w:sz w:val="24"/>
                <w:szCs w:val="24"/>
              </w:rPr>
              <w:t>扩建</w:t>
            </w:r>
          </w:p>
          <w:p>
            <w:pPr>
              <w:adjustRightInd w:val="0"/>
              <w:snapToGrid w:val="0"/>
              <w:jc w:val="left"/>
              <w:rPr>
                <w:rFonts w:ascii="宋体" w:hAnsi="宋体" w:cs="宋体"/>
                <w:sz w:val="24"/>
                <w:szCs w:val="24"/>
              </w:rPr>
            </w:pPr>
            <w:r>
              <w:rPr>
                <w:rFonts w:hint="eastAsia" w:ascii="宋体" w:hAnsi="宋体" w:cs="宋体"/>
                <w:sz w:val="24"/>
                <w:szCs w:val="24"/>
              </w:rPr>
              <w:t>□技术改造</w:t>
            </w:r>
          </w:p>
        </w:tc>
        <w:tc>
          <w:tcPr>
            <w:tcW w:w="2218" w:type="dxa"/>
            <w:noWrap w:val="0"/>
            <w:vAlign w:val="center"/>
          </w:tcPr>
          <w:p>
            <w:pPr>
              <w:adjustRightInd w:val="0"/>
              <w:snapToGrid w:val="0"/>
              <w:jc w:val="center"/>
              <w:rPr>
                <w:rFonts w:ascii="宋体" w:hAnsi="宋体" w:cs="宋体"/>
                <w:sz w:val="24"/>
                <w:szCs w:val="24"/>
              </w:rPr>
            </w:pPr>
            <w:r>
              <w:rPr>
                <w:rFonts w:hint="eastAsia" w:ascii="宋体" w:hAnsi="宋体" w:cs="宋体"/>
                <w:sz w:val="24"/>
                <w:szCs w:val="24"/>
              </w:rPr>
              <w:t>建设项目</w:t>
            </w:r>
          </w:p>
          <w:p>
            <w:pPr>
              <w:adjustRightInd w:val="0"/>
              <w:snapToGrid w:val="0"/>
              <w:jc w:val="center"/>
              <w:rPr>
                <w:rFonts w:ascii="宋体" w:hAnsi="宋体" w:cs="宋体"/>
                <w:sz w:val="24"/>
                <w:szCs w:val="24"/>
              </w:rPr>
            </w:pPr>
            <w:r>
              <w:rPr>
                <w:rFonts w:hint="eastAsia" w:ascii="宋体" w:hAnsi="宋体" w:cs="宋体"/>
                <w:sz w:val="24"/>
                <w:szCs w:val="24"/>
              </w:rPr>
              <w:t>申报情形</w:t>
            </w:r>
          </w:p>
        </w:tc>
        <w:tc>
          <w:tcPr>
            <w:tcW w:w="2552" w:type="dxa"/>
            <w:gridSpan w:val="2"/>
            <w:noWrap w:val="0"/>
            <w:vAlign w:val="center"/>
          </w:tcPr>
          <w:p>
            <w:pPr>
              <w:adjustRightInd w:val="0"/>
              <w:snapToGrid w:val="0"/>
              <w:jc w:val="left"/>
              <w:rPr>
                <w:rFonts w:ascii="宋体" w:hAnsi="宋体" w:cs="宋体"/>
                <w:sz w:val="24"/>
                <w:szCs w:val="24"/>
              </w:rPr>
            </w:pPr>
            <w:r>
              <w:rPr>
                <w:rFonts w:hint="eastAsia" w:ascii="宋体" w:hAnsi="宋体" w:cs="宋体"/>
                <w:sz w:val="24"/>
                <w:szCs w:val="24"/>
                <w:lang w:eastAsia="zh-CN"/>
              </w:rPr>
              <w:t>☑</w:t>
            </w:r>
            <w:r>
              <w:rPr>
                <w:rFonts w:hint="eastAsia" w:ascii="宋体" w:hAnsi="宋体" w:cs="宋体"/>
                <w:sz w:val="24"/>
                <w:szCs w:val="24"/>
              </w:rPr>
              <w:t>首次申报项目</w:t>
            </w:r>
          </w:p>
          <w:p>
            <w:pPr>
              <w:adjustRightInd w:val="0"/>
              <w:snapToGrid w:val="0"/>
              <w:jc w:val="left"/>
              <w:rPr>
                <w:rFonts w:ascii="宋体" w:hAnsi="宋体" w:cs="宋体"/>
                <w:sz w:val="24"/>
                <w:szCs w:val="24"/>
              </w:rPr>
            </w:pPr>
            <w:r>
              <w:rPr>
                <w:rFonts w:hint="eastAsia" w:ascii="宋体" w:hAnsi="宋体" w:cs="宋体"/>
                <w:sz w:val="24"/>
                <w:szCs w:val="24"/>
              </w:rPr>
              <w:t>□不予批准后再次申报项目</w:t>
            </w:r>
          </w:p>
          <w:p>
            <w:pPr>
              <w:adjustRightInd w:val="0"/>
              <w:snapToGrid w:val="0"/>
              <w:jc w:val="left"/>
              <w:rPr>
                <w:rFonts w:ascii="宋体" w:hAnsi="宋体" w:cs="宋体"/>
                <w:sz w:val="24"/>
                <w:szCs w:val="24"/>
              </w:rPr>
            </w:pPr>
            <w:r>
              <w:rPr>
                <w:rFonts w:hint="eastAsia" w:ascii="宋体" w:hAnsi="宋体" w:cs="宋体"/>
                <w:sz w:val="24"/>
                <w:szCs w:val="24"/>
              </w:rPr>
              <w:t>□超五年重新审核项目</w:t>
            </w:r>
          </w:p>
          <w:p>
            <w:pPr>
              <w:adjustRightInd w:val="0"/>
              <w:snapToGrid w:val="0"/>
              <w:rPr>
                <w:rFonts w:ascii="宋体" w:hAnsi="宋体" w:cs="宋体"/>
                <w:sz w:val="24"/>
                <w:szCs w:val="24"/>
              </w:rPr>
            </w:pPr>
            <w:r>
              <w:rPr>
                <w:rFonts w:hint="eastAsia" w:ascii="宋体" w:hAnsi="宋体" w:cs="宋体"/>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jc w:val="center"/>
        </w:trPr>
        <w:tc>
          <w:tcPr>
            <w:tcW w:w="2226" w:type="dxa"/>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项目审批（核准/</w:t>
            </w:r>
          </w:p>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备案）部门（选填）</w:t>
            </w:r>
          </w:p>
        </w:tc>
        <w:tc>
          <w:tcPr>
            <w:tcW w:w="2043" w:type="dxa"/>
            <w:noWrap w:val="0"/>
            <w:vAlign w:val="center"/>
          </w:tcPr>
          <w:p>
            <w:pPr>
              <w:adjustRightInd w:val="0"/>
              <w:snapToGrid w:val="0"/>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黑龙江省发展和改革委员会</w:t>
            </w:r>
          </w:p>
        </w:tc>
        <w:tc>
          <w:tcPr>
            <w:tcW w:w="2218" w:type="dxa"/>
            <w:noWrap w:val="0"/>
            <w:vAlign w:val="center"/>
          </w:tcPr>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项目审批（核准/</w:t>
            </w:r>
          </w:p>
          <w:p>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备案）文号（选填）</w:t>
            </w:r>
          </w:p>
        </w:tc>
        <w:tc>
          <w:tcPr>
            <w:tcW w:w="2552" w:type="dxa"/>
            <w:gridSpan w:val="2"/>
            <w:noWrap w:val="0"/>
            <w:vAlign w:val="center"/>
          </w:tcPr>
          <w:p>
            <w:pPr>
              <w:adjustRightInd w:val="0"/>
              <w:snapToGrid w:val="0"/>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黑发改电力〔2025〕234号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2226" w:type="dxa"/>
            <w:noWrap w:val="0"/>
            <w:tcMar>
              <w:top w:w="16" w:type="dxa"/>
              <w:left w:w="16" w:type="dxa"/>
              <w:right w:w="16" w:type="dxa"/>
            </w:tcMar>
            <w:vAlign w:val="center"/>
          </w:tcPr>
          <w:p>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总投资（万元）</w:t>
            </w:r>
          </w:p>
        </w:tc>
        <w:tc>
          <w:tcPr>
            <w:tcW w:w="2043" w:type="dxa"/>
            <w:noWrap w:val="0"/>
            <w:vAlign w:val="center"/>
          </w:tcPr>
          <w:p>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5416.712</w:t>
            </w:r>
          </w:p>
        </w:tc>
        <w:tc>
          <w:tcPr>
            <w:tcW w:w="2218" w:type="dxa"/>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环保投资（万元）</w:t>
            </w:r>
          </w:p>
        </w:tc>
        <w:tc>
          <w:tcPr>
            <w:tcW w:w="2552" w:type="dxa"/>
            <w:gridSpan w:val="2"/>
            <w:noWrap w:val="0"/>
            <w:vAlign w:val="center"/>
          </w:tcPr>
          <w:p>
            <w:pPr>
              <w:adjustRightInd w:val="0"/>
              <w:snapToGrid w:val="0"/>
              <w:jc w:val="center"/>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sz w:val="24"/>
                <w:szCs w:val="24"/>
                <w:highlight w:val="none"/>
                <w:lang w:val="en-US" w:eastAsia="zh-CN"/>
              </w:rPr>
              <w:t>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2226" w:type="dxa"/>
            <w:noWrap w:val="0"/>
            <w:tcMar>
              <w:top w:w="16" w:type="dxa"/>
              <w:left w:w="16" w:type="dxa"/>
              <w:right w:w="16" w:type="dxa"/>
            </w:tcMar>
            <w:vAlign w:val="center"/>
          </w:tcPr>
          <w:p>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环保投资占比（</w:t>
            </w:r>
            <w:r>
              <w:rPr>
                <w:rFonts w:ascii="宋体" w:hAnsi="宋体" w:cs="宋体"/>
                <w:sz w:val="24"/>
                <w:szCs w:val="24"/>
                <w:highlight w:val="none"/>
              </w:rPr>
              <w:t>%</w:t>
            </w:r>
            <w:r>
              <w:rPr>
                <w:rFonts w:hint="eastAsia" w:ascii="宋体" w:hAnsi="宋体" w:cs="宋体"/>
                <w:sz w:val="24"/>
                <w:szCs w:val="24"/>
                <w:highlight w:val="none"/>
              </w:rPr>
              <w:t>）</w:t>
            </w:r>
          </w:p>
        </w:tc>
        <w:tc>
          <w:tcPr>
            <w:tcW w:w="2043" w:type="dxa"/>
            <w:noWrap w:val="0"/>
            <w:vAlign w:val="center"/>
          </w:tcPr>
          <w:p>
            <w:pPr>
              <w:adjustRightInd w:val="0"/>
              <w:snapToGrid w:val="0"/>
              <w:jc w:val="center"/>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sz w:val="24"/>
                <w:szCs w:val="24"/>
                <w:highlight w:val="none"/>
                <w:lang w:val="en-US" w:eastAsia="zh-CN"/>
              </w:rPr>
              <w:t>1.48</w:t>
            </w:r>
          </w:p>
        </w:tc>
        <w:tc>
          <w:tcPr>
            <w:tcW w:w="2218" w:type="dxa"/>
            <w:noWrap w:val="0"/>
            <w:tcMar>
              <w:top w:w="16" w:type="dxa"/>
              <w:left w:w="16" w:type="dxa"/>
              <w:right w:w="16" w:type="dxa"/>
            </w:tcMar>
            <w:vAlign w:val="center"/>
          </w:tcPr>
          <w:p>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施工工期</w:t>
            </w:r>
          </w:p>
        </w:tc>
        <w:tc>
          <w:tcPr>
            <w:tcW w:w="2552" w:type="dxa"/>
            <w:gridSpan w:val="2"/>
            <w:noWrap w:val="0"/>
            <w:vAlign w:val="center"/>
          </w:tcPr>
          <w:p>
            <w:pPr>
              <w:adjustRightInd w:val="0"/>
              <w:snapToGrid w:val="0"/>
              <w:jc w:val="center"/>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sz w:val="24"/>
                <w:szCs w:val="24"/>
                <w:highlight w:val="none"/>
                <w:lang w:val="en-US" w:eastAsia="zh-CN"/>
              </w:rPr>
              <w:t>2026.3-2026.5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jc w:val="center"/>
        </w:trPr>
        <w:tc>
          <w:tcPr>
            <w:tcW w:w="2226"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是否开工建设</w:t>
            </w:r>
          </w:p>
        </w:tc>
        <w:tc>
          <w:tcPr>
            <w:tcW w:w="6813" w:type="dxa"/>
            <w:gridSpan w:val="4"/>
            <w:noWrap w:val="0"/>
            <w:vAlign w:val="center"/>
          </w:tcPr>
          <w:p>
            <w:pPr>
              <w:adjustRightInd w:val="0"/>
              <w:snapToGrid w:val="0"/>
              <w:ind w:firstLine="105"/>
              <w:jc w:val="left"/>
              <w:rPr>
                <w:rFonts w:ascii="宋体" w:hAnsi="宋体" w:cs="宋体"/>
                <w:sz w:val="24"/>
                <w:szCs w:val="24"/>
              </w:rPr>
            </w:pPr>
            <w:r>
              <w:rPr>
                <w:rFonts w:hint="eastAsia" w:ascii="宋体" w:hAnsi="宋体" w:cs="宋体"/>
                <w:sz w:val="24"/>
                <w:szCs w:val="24"/>
                <w:lang w:eastAsia="zh-CN"/>
              </w:rPr>
              <w:t>☑</w:t>
            </w:r>
            <w:r>
              <w:rPr>
                <w:rFonts w:hint="eastAsia" w:ascii="宋体" w:hAnsi="宋体" w:cs="宋体"/>
                <w:sz w:val="24"/>
                <w:szCs w:val="24"/>
              </w:rPr>
              <w:t>否</w:t>
            </w:r>
          </w:p>
          <w:p>
            <w:pPr>
              <w:adjustRightInd w:val="0"/>
              <w:snapToGrid w:val="0"/>
              <w:ind w:firstLine="92"/>
              <w:jc w:val="left"/>
              <w:rPr>
                <w:rFonts w:ascii="宋体" w:hAnsi="宋体" w:cs="宋体"/>
                <w:sz w:val="24"/>
                <w:szCs w:val="24"/>
              </w:rPr>
            </w:pPr>
            <w:r>
              <w:rPr>
                <w:rFonts w:hint="eastAsia" w:ascii="宋体" w:hAnsi="宋体" w:cs="宋体"/>
                <w:sz w:val="24"/>
                <w:szCs w:val="24"/>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jc w:val="center"/>
        </w:trPr>
        <w:tc>
          <w:tcPr>
            <w:tcW w:w="2226" w:type="dxa"/>
            <w:noWrap w:val="0"/>
            <w:tcMar>
              <w:top w:w="16" w:type="dxa"/>
              <w:left w:w="16" w:type="dxa"/>
              <w:right w:w="16" w:type="dxa"/>
            </w:tcMar>
            <w:vAlign w:val="center"/>
          </w:tcPr>
          <w:p>
            <w:pPr>
              <w:autoSpaceDE w:val="0"/>
              <w:autoSpaceDN w:val="0"/>
              <w:adjustRightInd w:val="0"/>
              <w:snapToGrid w:val="0"/>
              <w:jc w:val="center"/>
              <w:rPr>
                <w:rFonts w:ascii="宋体" w:hAnsi="宋体" w:cs="宋体"/>
                <w:kern w:val="0"/>
                <w:sz w:val="24"/>
                <w:szCs w:val="24"/>
              </w:rPr>
            </w:pPr>
            <w:r>
              <w:rPr>
                <w:rFonts w:hint="eastAsia" w:ascii="宋体" w:hAnsi="宋体" w:cs="宋体"/>
                <w:kern w:val="0"/>
                <w:sz w:val="24"/>
                <w:szCs w:val="24"/>
              </w:rPr>
              <w:t>专项评价设置情况</w:t>
            </w:r>
          </w:p>
        </w:tc>
        <w:tc>
          <w:tcPr>
            <w:tcW w:w="6813" w:type="dxa"/>
            <w:gridSpan w:val="4"/>
            <w:noWrap w:val="0"/>
            <w:tcMar>
              <w:top w:w="16" w:type="dxa"/>
              <w:left w:w="16" w:type="dxa"/>
              <w:right w:w="16" w:type="dxa"/>
            </w:tcMar>
            <w:vAlign w:val="center"/>
          </w:tcPr>
          <w:p>
            <w:pPr>
              <w:autoSpaceDE w:val="0"/>
              <w:autoSpaceDN w:val="0"/>
              <w:adjustRightInd w:val="0"/>
              <w:snapToGrid w:val="0"/>
              <w:rPr>
                <w:rFonts w:ascii="宋体" w:hAnsi="宋体" w:cs="宋体"/>
                <w:kern w:val="0"/>
                <w:sz w:val="24"/>
                <w:szCs w:val="24"/>
              </w:rPr>
            </w:pPr>
            <w:r>
              <w:rPr>
                <w:rFonts w:hint="default" w:ascii="Times New Roman" w:hAnsi="Times New Roman" w:eastAsia="宋体" w:cs="Times New Roman"/>
                <w:color w:val="000000"/>
                <w:kern w:val="0"/>
                <w:sz w:val="24"/>
                <w:szCs w:val="24"/>
                <w:lang w:val="en-US" w:eastAsia="zh-CN"/>
              </w:rPr>
              <w:t>根据《环境影响评价技术导则 输变电》（HJ24-2020）要求，</w:t>
            </w:r>
            <w:r>
              <w:rPr>
                <w:rFonts w:hint="default" w:ascii="Times New Roman" w:hAnsi="Times New Roman" w:eastAsia="宋体" w:cs="Times New Roman"/>
                <w:color w:val="000000"/>
                <w:kern w:val="0"/>
                <w:sz w:val="24"/>
                <w:szCs w:val="24"/>
                <w:highlight w:val="none"/>
                <w:lang w:val="en-US" w:eastAsia="zh-CN"/>
              </w:rPr>
              <w:t>本项目220kV输电线路应设电磁环境影响专题评价。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01" w:hRule="atLeast"/>
          <w:jc w:val="center"/>
        </w:trPr>
        <w:tc>
          <w:tcPr>
            <w:tcW w:w="2226" w:type="dxa"/>
            <w:noWrap w:val="0"/>
            <w:tcMar>
              <w:top w:w="16" w:type="dxa"/>
              <w:left w:w="16" w:type="dxa"/>
              <w:right w:w="16" w:type="dxa"/>
            </w:tcMar>
            <w:vAlign w:val="center"/>
          </w:tcPr>
          <w:p>
            <w:pPr>
              <w:autoSpaceDE w:val="0"/>
              <w:autoSpaceDN w:val="0"/>
              <w:adjustRightInd w:val="0"/>
              <w:snapToGrid w:val="0"/>
              <w:jc w:val="center"/>
              <w:rPr>
                <w:rFonts w:ascii="宋体" w:hAnsi="宋体" w:cs="宋体"/>
                <w:kern w:val="0"/>
                <w:sz w:val="24"/>
                <w:szCs w:val="24"/>
              </w:rPr>
            </w:pPr>
            <w:r>
              <w:rPr>
                <w:rFonts w:hint="eastAsia" w:ascii="宋体" w:hAnsi="宋体" w:cs="宋体"/>
                <w:sz w:val="24"/>
                <w:szCs w:val="24"/>
              </w:rPr>
              <w:t>规划情况</w:t>
            </w:r>
          </w:p>
        </w:tc>
        <w:tc>
          <w:tcPr>
            <w:tcW w:w="6813" w:type="dxa"/>
            <w:gridSpan w:val="4"/>
            <w:noWrap w:val="0"/>
            <w:tcMar>
              <w:top w:w="16" w:type="dxa"/>
              <w:left w:w="16" w:type="dxa"/>
              <w:right w:w="16" w:type="dxa"/>
            </w:tcMar>
            <w:vAlign w:val="center"/>
          </w:tcPr>
          <w:p>
            <w:pPr>
              <w:autoSpaceDE w:val="0"/>
              <w:autoSpaceDN w:val="0"/>
              <w:adjustRightInd w:val="0"/>
              <w:snapToGrid w:val="0"/>
              <w:jc w:val="both"/>
              <w:rPr>
                <w:rFonts w:hint="eastAsia" w:ascii="宋体" w:hAnsi="宋体" w:cs="宋体"/>
                <w:kern w:val="0"/>
                <w:sz w:val="24"/>
                <w:szCs w:val="24"/>
                <w:lang w:val="en-US" w:eastAsia="zh-CN"/>
              </w:rPr>
            </w:pPr>
            <w:r>
              <w:rPr>
                <w:rFonts w:hint="eastAsia" w:ascii="宋体" w:hAnsi="宋体" w:cs="宋体"/>
                <w:kern w:val="0"/>
                <w:sz w:val="24"/>
                <w:szCs w:val="24"/>
                <w:lang w:val="en-US" w:eastAsia="zh-CN"/>
              </w:rPr>
              <w:t>规划名称：《双鸭山经济技术开发区总体规划（</w:t>
            </w:r>
            <w:r>
              <w:rPr>
                <w:rFonts w:hint="default" w:ascii="Times New Roman" w:hAnsi="Times New Roman" w:cs="Times New Roman"/>
                <w:kern w:val="0"/>
                <w:sz w:val="24"/>
                <w:szCs w:val="24"/>
                <w:lang w:val="en-US" w:eastAsia="zh-CN"/>
              </w:rPr>
              <w:t>2022—2035年</w:t>
            </w:r>
            <w:r>
              <w:rPr>
                <w:rFonts w:hint="eastAsia" w:ascii="宋体" w:hAnsi="宋体" w:cs="宋体"/>
                <w:kern w:val="0"/>
                <w:sz w:val="24"/>
                <w:szCs w:val="24"/>
                <w:lang w:val="en-US" w:eastAsia="zh-CN"/>
              </w:rPr>
              <w:t>）》</w:t>
            </w:r>
          </w:p>
          <w:p>
            <w:pPr>
              <w:autoSpaceDE w:val="0"/>
              <w:autoSpaceDN w:val="0"/>
              <w:adjustRightInd w:val="0"/>
              <w:snapToGrid w:val="0"/>
              <w:jc w:val="both"/>
              <w:rPr>
                <w:rFonts w:hint="default" w:ascii="Times New Roman" w:hAnsi="Times New Roman" w:cs="Times New Roman"/>
                <w:color w:val="auto"/>
                <w:spacing w:val="0"/>
                <w:sz w:val="24"/>
                <w:lang w:val="en-US" w:eastAsia="zh-CN"/>
              </w:rPr>
            </w:pPr>
            <w:r>
              <w:rPr>
                <w:rFonts w:hint="eastAsia" w:ascii="Times New Roman" w:hAnsi="Times New Roman" w:cs="Times New Roman"/>
                <w:color w:val="auto"/>
                <w:spacing w:val="0"/>
                <w:sz w:val="24"/>
                <w:lang w:val="en-US" w:eastAsia="zh-CN"/>
              </w:rPr>
              <w:t>审批机关：黑龙江省人民政府</w:t>
            </w:r>
          </w:p>
          <w:p>
            <w:pPr>
              <w:autoSpaceDE w:val="0"/>
              <w:autoSpaceDN w:val="0"/>
              <w:adjustRightInd w:val="0"/>
              <w:snapToGrid w:val="0"/>
              <w:jc w:val="both"/>
              <w:rPr>
                <w:rFonts w:hint="default" w:ascii="Times New Roman" w:hAnsi="Times New Roman" w:cs="Times New Roman"/>
                <w:color w:val="auto"/>
                <w:spacing w:val="0"/>
                <w:sz w:val="24"/>
                <w:lang w:val="en-US" w:eastAsia="zh-CN"/>
              </w:rPr>
            </w:pPr>
            <w:r>
              <w:rPr>
                <w:rFonts w:hint="eastAsia" w:ascii="Times New Roman" w:hAnsi="Times New Roman" w:cs="Times New Roman"/>
                <w:color w:val="auto"/>
                <w:spacing w:val="0"/>
                <w:sz w:val="24"/>
                <w:lang w:val="en-US" w:eastAsia="zh-CN"/>
              </w:rPr>
              <w:t>审批文件名称：黑龙江省人民政府关于《双鸭山市国土空间总体规划（2021-2035年）》的批复（黑政函〔2024〕54号）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jc w:val="center"/>
        </w:trPr>
        <w:tc>
          <w:tcPr>
            <w:tcW w:w="2226" w:type="dxa"/>
            <w:noWrap w:val="0"/>
            <w:tcMar>
              <w:top w:w="16" w:type="dxa"/>
              <w:left w:w="16" w:type="dxa"/>
              <w:right w:w="16" w:type="dxa"/>
            </w:tcMar>
            <w:vAlign w:val="center"/>
          </w:tcPr>
          <w:p>
            <w:pPr>
              <w:autoSpaceDE w:val="0"/>
              <w:autoSpaceDN w:val="0"/>
              <w:adjustRightInd w:val="0"/>
              <w:snapToGrid w:val="0"/>
              <w:jc w:val="center"/>
              <w:rPr>
                <w:rFonts w:ascii="宋体" w:hAnsi="宋体" w:cs="宋体"/>
                <w:sz w:val="24"/>
                <w:szCs w:val="24"/>
              </w:rPr>
            </w:pPr>
            <w:r>
              <w:rPr>
                <w:rFonts w:hint="eastAsia" w:ascii="宋体" w:hAnsi="宋体" w:cs="宋体"/>
                <w:sz w:val="24"/>
                <w:szCs w:val="24"/>
              </w:rPr>
              <w:t>规划环境影响</w:t>
            </w:r>
          </w:p>
          <w:p>
            <w:pPr>
              <w:autoSpaceDE w:val="0"/>
              <w:autoSpaceDN w:val="0"/>
              <w:adjustRightInd w:val="0"/>
              <w:snapToGrid w:val="0"/>
              <w:jc w:val="center"/>
              <w:rPr>
                <w:rFonts w:ascii="宋体" w:hAnsi="宋体" w:cs="宋体"/>
                <w:kern w:val="0"/>
                <w:sz w:val="24"/>
                <w:szCs w:val="24"/>
              </w:rPr>
            </w:pPr>
            <w:r>
              <w:rPr>
                <w:rFonts w:hint="eastAsia" w:ascii="宋体" w:hAnsi="宋体" w:cs="宋体"/>
                <w:sz w:val="24"/>
                <w:szCs w:val="24"/>
              </w:rPr>
              <w:t>评价情况</w:t>
            </w:r>
          </w:p>
        </w:tc>
        <w:tc>
          <w:tcPr>
            <w:tcW w:w="6813" w:type="dxa"/>
            <w:gridSpan w:val="4"/>
            <w:noWrap w:val="0"/>
            <w:tcMar>
              <w:top w:w="16" w:type="dxa"/>
              <w:left w:w="16" w:type="dxa"/>
              <w:right w:w="16" w:type="dxa"/>
            </w:tcMar>
            <w:vAlign w:val="center"/>
          </w:tcPr>
          <w:p>
            <w:pPr>
              <w:autoSpaceDE w:val="0"/>
              <w:autoSpaceDN w:val="0"/>
              <w:adjustRightInd w:val="0"/>
              <w:snapToGrid w:val="0"/>
              <w:jc w:val="both"/>
              <w:rPr>
                <w:rFonts w:hint="eastAsia" w:ascii="Times New Roman" w:hAnsi="Times New Roman" w:eastAsia="宋体" w:cs="Times New Roman"/>
                <w:color w:val="auto"/>
                <w:spacing w:val="0"/>
                <w:sz w:val="24"/>
                <w:lang w:val="en-US" w:eastAsia="zh-CN"/>
              </w:rPr>
            </w:pPr>
            <w:r>
              <w:rPr>
                <w:rFonts w:hint="eastAsia" w:ascii="Times New Roman" w:hAnsi="Times New Roman" w:eastAsia="宋体" w:cs="Times New Roman"/>
                <w:color w:val="auto"/>
                <w:spacing w:val="0"/>
                <w:sz w:val="24"/>
                <w:lang w:val="en-US" w:eastAsia="zh-CN"/>
              </w:rPr>
              <w:t>规划环评文件名称：《</w:t>
            </w:r>
            <w:r>
              <w:rPr>
                <w:rFonts w:hint="default" w:ascii="Times New Roman" w:hAnsi="Times New Roman" w:eastAsia="宋体" w:cs="Times New Roman"/>
                <w:color w:val="auto"/>
                <w:spacing w:val="0"/>
                <w:sz w:val="24"/>
                <w:lang w:val="en-US" w:eastAsia="zh-CN"/>
              </w:rPr>
              <w:t>双鸭山经济技术开发区总体规划（2022—2035年）环境影响报告书</w:t>
            </w:r>
            <w:r>
              <w:rPr>
                <w:rFonts w:hint="eastAsia" w:ascii="Times New Roman" w:hAnsi="Times New Roman" w:eastAsia="宋体" w:cs="Times New Roman"/>
                <w:color w:val="auto"/>
                <w:spacing w:val="0"/>
                <w:sz w:val="24"/>
                <w:lang w:val="en-US" w:eastAsia="zh-CN"/>
              </w:rPr>
              <w:t>》</w:t>
            </w:r>
          </w:p>
          <w:p>
            <w:pPr>
              <w:autoSpaceDE w:val="0"/>
              <w:autoSpaceDN w:val="0"/>
              <w:adjustRightInd w:val="0"/>
              <w:snapToGrid w:val="0"/>
              <w:jc w:val="both"/>
              <w:rPr>
                <w:rFonts w:hint="eastAsia" w:ascii="Times New Roman" w:hAnsi="Times New Roman" w:eastAsia="宋体" w:cs="Times New Roman"/>
                <w:color w:val="auto"/>
                <w:spacing w:val="0"/>
                <w:sz w:val="24"/>
                <w:lang w:val="en-US" w:eastAsia="zh-CN"/>
              </w:rPr>
            </w:pPr>
            <w:r>
              <w:rPr>
                <w:rFonts w:hint="eastAsia" w:ascii="Times New Roman" w:hAnsi="Times New Roman" w:eastAsia="宋体" w:cs="Times New Roman"/>
                <w:color w:val="auto"/>
                <w:spacing w:val="0"/>
                <w:sz w:val="24"/>
                <w:lang w:val="en-US" w:eastAsia="zh-CN"/>
              </w:rPr>
              <w:t>召集审查机关：黑龙江省生态环境厅</w:t>
            </w:r>
          </w:p>
          <w:p>
            <w:pPr>
              <w:autoSpaceDE w:val="0"/>
              <w:autoSpaceDN w:val="0"/>
              <w:adjustRightInd w:val="0"/>
              <w:snapToGrid w:val="0"/>
              <w:jc w:val="both"/>
              <w:rPr>
                <w:rFonts w:hint="default"/>
                <w:lang w:val="en-US" w:eastAsia="zh-CN"/>
              </w:rPr>
            </w:pPr>
            <w:r>
              <w:rPr>
                <w:rFonts w:hint="eastAsia" w:ascii="Times New Roman" w:hAnsi="Times New Roman" w:eastAsia="宋体" w:cs="Times New Roman"/>
                <w:color w:val="auto"/>
                <w:spacing w:val="0"/>
                <w:sz w:val="24"/>
                <w:lang w:val="en-US" w:eastAsia="zh-CN"/>
              </w:rPr>
              <w:t>审查文件名称：关于《</w:t>
            </w:r>
            <w:r>
              <w:rPr>
                <w:rFonts w:hint="default" w:ascii="Times New Roman" w:hAnsi="Times New Roman" w:eastAsia="宋体" w:cs="Times New Roman"/>
                <w:color w:val="auto"/>
                <w:spacing w:val="0"/>
                <w:sz w:val="24"/>
                <w:lang w:val="en-US" w:eastAsia="zh-CN"/>
              </w:rPr>
              <w:t>双鸭山经济技术开发区总体规划（2022—2035年）环境影响报告书</w:t>
            </w:r>
            <w:r>
              <w:rPr>
                <w:rFonts w:hint="eastAsia" w:ascii="Times New Roman" w:hAnsi="Times New Roman" w:eastAsia="宋体" w:cs="Times New Roman"/>
                <w:color w:val="auto"/>
                <w:spacing w:val="0"/>
                <w:sz w:val="24"/>
                <w:lang w:val="en-US" w:eastAsia="zh-CN"/>
              </w:rPr>
              <w:t>》的审查意见（黑环函〔2023〕91号）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35" w:hRule="atLeast"/>
          <w:jc w:val="center"/>
        </w:trPr>
        <w:tc>
          <w:tcPr>
            <w:tcW w:w="2226" w:type="dxa"/>
            <w:noWrap w:val="0"/>
            <w:tcMar>
              <w:top w:w="16" w:type="dxa"/>
              <w:left w:w="16" w:type="dxa"/>
              <w:right w:w="16" w:type="dxa"/>
            </w:tcMar>
            <w:vAlign w:val="center"/>
          </w:tcPr>
          <w:p>
            <w:pPr>
              <w:autoSpaceDE w:val="0"/>
              <w:autoSpaceDN w:val="0"/>
              <w:adjustRightInd w:val="0"/>
              <w:snapToGrid w:val="0"/>
              <w:jc w:val="center"/>
              <w:rPr>
                <w:rFonts w:ascii="宋体" w:hAnsi="宋体" w:cs="宋体"/>
                <w:kern w:val="0"/>
                <w:sz w:val="24"/>
                <w:szCs w:val="24"/>
              </w:rPr>
            </w:pPr>
            <w:r>
              <w:rPr>
                <w:rFonts w:hint="eastAsia" w:ascii="宋体" w:hAnsi="宋体" w:cs="宋体"/>
                <w:kern w:val="0"/>
                <w:sz w:val="24"/>
                <w:szCs w:val="24"/>
              </w:rPr>
              <w:t>规划及</w:t>
            </w:r>
            <w:r>
              <w:rPr>
                <w:rFonts w:hint="eastAsia" w:ascii="宋体" w:hAnsi="宋体" w:cs="宋体"/>
                <w:sz w:val="24"/>
                <w:szCs w:val="24"/>
              </w:rPr>
              <w:t>规划环境影响评价</w:t>
            </w:r>
            <w:r>
              <w:rPr>
                <w:rFonts w:hint="eastAsia" w:ascii="宋体" w:hAnsi="宋体" w:cs="宋体"/>
                <w:kern w:val="0"/>
                <w:sz w:val="24"/>
                <w:szCs w:val="24"/>
              </w:rPr>
              <w:t>符合性分析</w:t>
            </w:r>
          </w:p>
        </w:tc>
        <w:tc>
          <w:tcPr>
            <w:tcW w:w="6813" w:type="dxa"/>
            <w:gridSpan w:val="4"/>
            <w:noWrap w:val="0"/>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1、规划符合性分析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本项目太保变电站位于</w:t>
            </w:r>
            <w:r>
              <w:rPr>
                <w:rFonts w:hint="default" w:ascii="Times New Roman" w:hAnsi="Times New Roman" w:eastAsia="宋体" w:cs="Times New Roman"/>
                <w:kern w:val="0"/>
                <w:sz w:val="24"/>
                <w:szCs w:val="24"/>
                <w:lang w:val="en-US" w:eastAsia="zh-CN"/>
              </w:rPr>
              <w:t>双鸭山经济技术开发区</w:t>
            </w:r>
            <w:r>
              <w:rPr>
                <w:rFonts w:hint="eastAsia" w:ascii="Times New Roman" w:hAnsi="Times New Roman" w:eastAsia="宋体" w:cs="Times New Roman"/>
                <w:kern w:val="0"/>
                <w:sz w:val="24"/>
                <w:szCs w:val="24"/>
                <w:lang w:val="en-US" w:eastAsia="zh-CN"/>
              </w:rPr>
              <w:t>内，项目选址合理。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双鸭山经济技术开发区在国家产业政策的指导下，发挥周边地区资源优势，充分依托现有产业基础，发展纵深加工产品，拓宽原料加工路线及产业领域，重点发展高端煤基化学品、新能源材料、生物化工和化学药品等板块，打造高端化、绿色化、低碳化、集约化的特色化工产业集群</w:t>
            </w:r>
            <w:r>
              <w:rPr>
                <w:rFonts w:hint="eastAsia" w:ascii="Times New Roman" w:hAnsi="Times New Roman" w:eastAsia="宋体" w:cs="Times New Roman"/>
                <w:kern w:val="0"/>
                <w:sz w:val="24"/>
                <w:szCs w:val="24"/>
                <w:lang w:val="en-US" w:eastAsia="zh-CN"/>
              </w:rPr>
              <w:t>。本项目为</w:t>
            </w:r>
            <w:r>
              <w:rPr>
                <w:rFonts w:hint="default" w:ascii="Times New Roman" w:hAnsi="Times New Roman" w:eastAsia="宋体" w:cs="Times New Roman"/>
                <w:kern w:val="0"/>
                <w:sz w:val="24"/>
                <w:szCs w:val="24"/>
                <w:lang w:val="en-US" w:eastAsia="zh-CN"/>
              </w:rPr>
              <w:t>龙煤双鸭山集贤200MW风力发电项目接网工程</w:t>
            </w:r>
            <w:r>
              <w:rPr>
                <w:rFonts w:hint="eastAsia" w:ascii="Times New Roman" w:hAnsi="Times New Roman" w:eastAsia="宋体" w:cs="Times New Roman"/>
                <w:kern w:val="0"/>
                <w:sz w:val="24"/>
                <w:szCs w:val="24"/>
                <w:lang w:val="en-US" w:eastAsia="zh-CN"/>
              </w:rPr>
              <w:t>项目，属于输变电工程，</w:t>
            </w:r>
            <w:r>
              <w:rPr>
                <w:rFonts w:hint="eastAsia" w:cs="Times New Roman"/>
                <w:color w:val="000000"/>
                <w:sz w:val="24"/>
                <w:szCs w:val="24"/>
                <w:highlight w:val="none"/>
                <w:lang w:val="en-US" w:eastAsia="zh-CN"/>
              </w:rPr>
              <w:t>项目建成后能够帮助当地风电场并网发电，提高当地电力供应能力，提高公共服务供给能力和水平，</w:t>
            </w:r>
            <w:r>
              <w:rPr>
                <w:rFonts w:hint="eastAsia" w:ascii="Times New Roman" w:hAnsi="Times New Roman" w:eastAsia="宋体" w:cs="Times New Roman"/>
                <w:kern w:val="0"/>
                <w:sz w:val="24"/>
                <w:szCs w:val="24"/>
                <w:lang w:val="en-US" w:eastAsia="zh-CN"/>
              </w:rPr>
              <w:t>符合功能定位及发展方向。</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color w:val="000000"/>
                <w:sz w:val="24"/>
                <w:szCs w:val="24"/>
                <w:highlight w:val="none"/>
                <w:lang w:val="en-US" w:eastAsia="zh-CN"/>
              </w:rPr>
            </w:pPr>
            <w:r>
              <w:rPr>
                <w:rFonts w:hint="eastAsia" w:ascii="Times New Roman" w:hAnsi="Times New Roman" w:eastAsia="宋体" w:cs="Times New Roman"/>
                <w:kern w:val="0"/>
                <w:sz w:val="24"/>
                <w:szCs w:val="24"/>
                <w:lang w:val="en-US" w:eastAsia="zh-CN"/>
              </w:rPr>
              <w:t>2、规划环评符合性分</w:t>
            </w:r>
            <w:r>
              <w:rPr>
                <w:rFonts w:hint="eastAsia" w:cs="Times New Roman"/>
                <w:color w:val="000000"/>
                <w:sz w:val="24"/>
                <w:szCs w:val="24"/>
                <w:highlight w:val="none"/>
                <w:lang w:val="en-US" w:eastAsia="zh-CN"/>
              </w:rPr>
              <w:t>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对照《</w:t>
            </w:r>
            <w:r>
              <w:rPr>
                <w:rFonts w:hint="default" w:ascii="Times New Roman" w:hAnsi="Times New Roman" w:eastAsia="宋体" w:cs="Times New Roman"/>
                <w:kern w:val="0"/>
                <w:sz w:val="24"/>
                <w:szCs w:val="24"/>
                <w:lang w:val="en-US" w:eastAsia="zh-CN"/>
              </w:rPr>
              <w:t>双鸭山经济技术开发区总体规划（2022—2035年）环境影响报告书</w:t>
            </w:r>
            <w:r>
              <w:rPr>
                <w:rFonts w:hint="eastAsia" w:ascii="Times New Roman" w:hAnsi="Times New Roman" w:eastAsia="宋体" w:cs="Times New Roman"/>
                <w:kern w:val="0"/>
                <w:sz w:val="24"/>
                <w:szCs w:val="24"/>
                <w:lang w:val="en-US" w:eastAsia="zh-CN"/>
              </w:rPr>
              <w:t>》及关于《</w:t>
            </w:r>
            <w:r>
              <w:rPr>
                <w:rFonts w:hint="default" w:ascii="Times New Roman" w:hAnsi="Times New Roman" w:eastAsia="宋体" w:cs="Times New Roman"/>
                <w:kern w:val="0"/>
                <w:sz w:val="24"/>
                <w:szCs w:val="24"/>
                <w:lang w:val="en-US" w:eastAsia="zh-CN"/>
              </w:rPr>
              <w:t>双鸭山经济技术开发区总体规划（2022—2035年）环境影响报告书</w:t>
            </w:r>
            <w:r>
              <w:rPr>
                <w:rFonts w:hint="eastAsia" w:ascii="Times New Roman" w:hAnsi="Times New Roman" w:eastAsia="宋体" w:cs="Times New Roman"/>
                <w:kern w:val="0"/>
                <w:sz w:val="24"/>
                <w:szCs w:val="24"/>
                <w:lang w:val="en-US" w:eastAsia="zh-CN"/>
              </w:rPr>
              <w:t>》的审查意见（黑环函〔2023〕91号），本项目为</w:t>
            </w:r>
            <w:r>
              <w:rPr>
                <w:rFonts w:hint="default" w:ascii="Times New Roman" w:hAnsi="Times New Roman" w:eastAsia="宋体" w:cs="Times New Roman"/>
                <w:kern w:val="0"/>
                <w:sz w:val="24"/>
                <w:szCs w:val="24"/>
                <w:lang w:val="en-US" w:eastAsia="zh-CN"/>
              </w:rPr>
              <w:t>龙煤双鸭山集贤200MW风力发电项目接网工程</w:t>
            </w:r>
            <w:r>
              <w:rPr>
                <w:rFonts w:hint="eastAsia" w:ascii="Times New Roman" w:hAnsi="Times New Roman" w:eastAsia="宋体" w:cs="Times New Roman"/>
                <w:kern w:val="0"/>
                <w:sz w:val="24"/>
                <w:szCs w:val="24"/>
                <w:lang w:val="en-US" w:eastAsia="zh-CN"/>
              </w:rPr>
              <w:t>项目，</w:t>
            </w:r>
            <w:r>
              <w:rPr>
                <w:rFonts w:hint="default" w:ascii="Times New Roman" w:hAnsi="Times New Roman" w:eastAsia="宋体" w:cs="Times New Roman"/>
                <w:kern w:val="0"/>
                <w:sz w:val="24"/>
                <w:szCs w:val="24"/>
                <w:lang w:val="en-US" w:eastAsia="zh-CN"/>
              </w:rPr>
              <w:t>与规划环境影响评价结论及审查意见的要求相符合</w:t>
            </w:r>
            <w:r>
              <w:rPr>
                <w:rFonts w:hint="eastAsia" w:ascii="Times New Roman" w:hAnsi="Times New Roman" w:eastAsia="宋体" w:cs="Times New Roman"/>
                <w:kern w:val="0"/>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对照《</w:t>
            </w:r>
            <w:r>
              <w:rPr>
                <w:rFonts w:hint="default" w:ascii="Times New Roman" w:hAnsi="Times New Roman" w:eastAsia="宋体" w:cs="Times New Roman"/>
                <w:kern w:val="0"/>
                <w:sz w:val="24"/>
                <w:szCs w:val="24"/>
                <w:lang w:val="en-US" w:eastAsia="zh-CN"/>
              </w:rPr>
              <w:t>双鸭山经济技术开发区总体规划（2022—2035年）环境影响报告书</w:t>
            </w:r>
            <w:r>
              <w:rPr>
                <w:rFonts w:hint="eastAsia" w:ascii="Times New Roman" w:hAnsi="Times New Roman" w:eastAsia="宋体" w:cs="Times New Roman"/>
                <w:kern w:val="0"/>
                <w:sz w:val="24"/>
                <w:szCs w:val="24"/>
                <w:lang w:val="en-US" w:eastAsia="zh-CN"/>
              </w:rPr>
              <w:t>》中的准入要求：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（1）对入区企业的特殊生产炉窑，要求采用清洁能源。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（2）对入区企业的工艺废气和生产废水均需在</w:t>
            </w:r>
            <w:r>
              <w:rPr>
                <w:rFonts w:hint="eastAsia" w:ascii="Times New Roman" w:hAnsi="Times New Roman" w:eastAsia="宋体" w:cs="Times New Roman"/>
                <w:kern w:val="0"/>
                <w:sz w:val="24"/>
                <w:szCs w:val="24"/>
                <w:lang w:val="en-US" w:eastAsia="zh-CN"/>
              </w:rPr>
              <w:t>“</w:t>
            </w:r>
            <w:r>
              <w:rPr>
                <w:rFonts w:hint="default" w:ascii="Times New Roman" w:hAnsi="Times New Roman" w:eastAsia="宋体" w:cs="Times New Roman"/>
                <w:kern w:val="0"/>
                <w:sz w:val="24"/>
                <w:szCs w:val="24"/>
                <w:lang w:val="en-US" w:eastAsia="zh-CN"/>
              </w:rPr>
              <w:t>三同时</w:t>
            </w:r>
            <w:r>
              <w:rPr>
                <w:rFonts w:hint="eastAsia" w:ascii="Times New Roman" w:hAnsi="Times New Roman" w:eastAsia="宋体" w:cs="Times New Roman"/>
                <w:kern w:val="0"/>
                <w:sz w:val="24"/>
                <w:szCs w:val="24"/>
                <w:lang w:val="en-US" w:eastAsia="zh-CN"/>
              </w:rPr>
              <w:t>”</w:t>
            </w:r>
            <w:r>
              <w:rPr>
                <w:rFonts w:hint="default" w:ascii="Times New Roman" w:hAnsi="Times New Roman" w:eastAsia="宋体" w:cs="Times New Roman"/>
                <w:kern w:val="0"/>
                <w:sz w:val="24"/>
                <w:szCs w:val="24"/>
                <w:lang w:val="en-US" w:eastAsia="zh-CN"/>
              </w:rPr>
              <w:t>过程中落实治理工程，做到达标排放，废水处理设施的设计容量和采用工艺必须与废水特性匹配，对于较难处理的特殊废水，在设施建造前必须经过方案的专家论证，以保证废水经预处理后全部达到</w:t>
            </w:r>
            <w:r>
              <w:rPr>
                <w:rFonts w:hint="eastAsia" w:ascii="Times New Roman" w:hAnsi="Times New Roman" w:eastAsia="宋体" w:cs="Times New Roman"/>
                <w:kern w:val="0"/>
                <w:sz w:val="24"/>
                <w:szCs w:val="24"/>
                <w:lang w:val="en-US" w:eastAsia="zh-CN"/>
              </w:rPr>
              <w:t>开发区</w:t>
            </w:r>
            <w:r>
              <w:rPr>
                <w:rFonts w:hint="default" w:ascii="Times New Roman" w:hAnsi="Times New Roman" w:eastAsia="宋体" w:cs="Times New Roman"/>
                <w:kern w:val="0"/>
                <w:sz w:val="24"/>
                <w:szCs w:val="24"/>
                <w:lang w:val="en-US" w:eastAsia="zh-CN"/>
              </w:rPr>
              <w:t>污水处理厂的接管标准。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（3）坚持</w:t>
            </w:r>
            <w:r>
              <w:rPr>
                <w:rFonts w:hint="eastAsia" w:ascii="Times New Roman" w:hAnsi="Times New Roman" w:eastAsia="宋体" w:cs="Times New Roman"/>
                <w:kern w:val="0"/>
                <w:sz w:val="24"/>
                <w:szCs w:val="24"/>
                <w:lang w:val="en-US" w:eastAsia="zh-CN"/>
              </w:rPr>
              <w:t>园区</w:t>
            </w:r>
            <w:r>
              <w:rPr>
                <w:rFonts w:hint="default" w:ascii="Times New Roman" w:hAnsi="Times New Roman" w:eastAsia="宋体" w:cs="Times New Roman"/>
                <w:kern w:val="0"/>
                <w:sz w:val="24"/>
                <w:szCs w:val="24"/>
                <w:lang w:val="en-US" w:eastAsia="zh-CN"/>
              </w:rPr>
              <w:t>规划的主导产业，结合</w:t>
            </w:r>
            <w:r>
              <w:rPr>
                <w:rFonts w:hint="eastAsia" w:ascii="Times New Roman" w:hAnsi="Times New Roman" w:eastAsia="宋体" w:cs="Times New Roman"/>
                <w:kern w:val="0"/>
                <w:sz w:val="24"/>
                <w:szCs w:val="24"/>
                <w:lang w:val="en-US" w:eastAsia="zh-CN"/>
              </w:rPr>
              <w:t>园区</w:t>
            </w:r>
            <w:r>
              <w:rPr>
                <w:rFonts w:hint="default" w:ascii="Times New Roman" w:hAnsi="Times New Roman" w:eastAsia="宋体" w:cs="Times New Roman"/>
                <w:kern w:val="0"/>
                <w:sz w:val="24"/>
                <w:szCs w:val="24"/>
                <w:lang w:val="en-US" w:eastAsia="zh-CN"/>
              </w:rPr>
              <w:t>发展循环经济战略，引进一些低耗能高产出的行业，有利于减少</w:t>
            </w:r>
            <w:r>
              <w:rPr>
                <w:rFonts w:hint="eastAsia" w:ascii="Times New Roman" w:hAnsi="Times New Roman" w:eastAsia="宋体" w:cs="Times New Roman"/>
                <w:kern w:val="0"/>
                <w:sz w:val="24"/>
                <w:szCs w:val="24"/>
                <w:lang w:val="en-US" w:eastAsia="zh-CN"/>
              </w:rPr>
              <w:t>园区</w:t>
            </w:r>
            <w:r>
              <w:rPr>
                <w:rFonts w:hint="default" w:ascii="Times New Roman" w:hAnsi="Times New Roman" w:eastAsia="宋体" w:cs="Times New Roman"/>
                <w:kern w:val="0"/>
                <w:sz w:val="24"/>
                <w:szCs w:val="24"/>
                <w:lang w:val="en-US" w:eastAsia="zh-CN"/>
              </w:rPr>
              <w:t>内废物产生量，并延续了循环经济产业链。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（4）入区企业必须遵循清洁生产原则进行生产，最大限度提高资源利用效率，减少固体废物的产生量和产生种类，从固体废物产生的源头上实现固体废物减量化。</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lang w:val="en-US" w:eastAsia="zh-CN"/>
              </w:rPr>
            </w:pPr>
            <w:r>
              <w:rPr>
                <w:rFonts w:hint="eastAsia" w:ascii="Times New Roman" w:hAnsi="Times New Roman" w:eastAsia="宋体" w:cs="Times New Roman"/>
                <w:kern w:val="0"/>
                <w:sz w:val="24"/>
                <w:szCs w:val="24"/>
                <w:lang w:val="en-US" w:eastAsia="zh-CN"/>
              </w:rPr>
              <w:t>本项目为</w:t>
            </w:r>
            <w:r>
              <w:rPr>
                <w:rFonts w:hint="default" w:ascii="Times New Roman" w:hAnsi="Times New Roman" w:eastAsia="宋体" w:cs="Times New Roman"/>
                <w:kern w:val="0"/>
                <w:sz w:val="24"/>
                <w:szCs w:val="24"/>
                <w:lang w:val="en-US" w:eastAsia="zh-CN"/>
              </w:rPr>
              <w:t>龙煤双鸭山集贤200MW风力发电项目接网工程</w:t>
            </w:r>
            <w:r>
              <w:rPr>
                <w:rFonts w:hint="eastAsia" w:ascii="Times New Roman" w:hAnsi="Times New Roman" w:eastAsia="宋体" w:cs="Times New Roman"/>
                <w:kern w:val="0"/>
                <w:sz w:val="24"/>
                <w:szCs w:val="24"/>
                <w:lang w:val="en-US" w:eastAsia="zh-CN"/>
              </w:rPr>
              <w:t>项目，属于输变电工程，</w:t>
            </w:r>
            <w:r>
              <w:rPr>
                <w:rFonts w:hint="eastAsia" w:cs="Times New Roman"/>
                <w:color w:val="000000"/>
                <w:sz w:val="24"/>
                <w:szCs w:val="24"/>
                <w:highlight w:val="none"/>
                <w:lang w:val="en-US" w:eastAsia="zh-CN"/>
              </w:rPr>
              <w:t>项目建成后能够帮助当地风电场并网发电，提高当地电力供应能力，提高公共服务供给能力和水平，</w:t>
            </w:r>
            <w:r>
              <w:rPr>
                <w:rFonts w:hint="eastAsia" w:ascii="Times New Roman" w:hAnsi="Times New Roman" w:eastAsia="宋体" w:cs="Times New Roman"/>
                <w:kern w:val="0"/>
                <w:sz w:val="24"/>
                <w:szCs w:val="24"/>
                <w:lang w:val="en-US" w:eastAsia="zh-CN"/>
              </w:rPr>
              <w:t>项目建设情况与园区准入条件相符合。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564" w:hRule="atLeast"/>
          <w:jc w:val="center"/>
        </w:trPr>
        <w:tc>
          <w:tcPr>
            <w:tcW w:w="2226" w:type="dxa"/>
            <w:noWrap w:val="0"/>
            <w:tcMar>
              <w:top w:w="16" w:type="dxa"/>
              <w:left w:w="16" w:type="dxa"/>
              <w:right w:w="16" w:type="dxa"/>
            </w:tcMar>
            <w:vAlign w:val="center"/>
          </w:tcPr>
          <w:p>
            <w:pPr>
              <w:autoSpaceDE w:val="0"/>
              <w:autoSpaceDN w:val="0"/>
              <w:adjustRightInd w:val="0"/>
              <w:snapToGrid w:val="0"/>
              <w:jc w:val="center"/>
              <w:rPr>
                <w:rFonts w:ascii="宋体" w:hAnsi="宋体" w:cs="宋体"/>
                <w:kern w:val="0"/>
                <w:sz w:val="24"/>
                <w:szCs w:val="24"/>
              </w:rPr>
            </w:pPr>
            <w:bookmarkStart w:id="4" w:name="_Hlk56690880"/>
            <w:r>
              <w:rPr>
                <w:rFonts w:hint="eastAsia" w:ascii="宋体" w:hAnsi="宋体" w:cs="宋体"/>
                <w:kern w:val="0"/>
                <w:sz w:val="24"/>
                <w:szCs w:val="24"/>
                <w:highlight w:val="none"/>
              </w:rPr>
              <w:t>其他符合性分析</w:t>
            </w:r>
            <w:bookmarkEnd w:id="4"/>
          </w:p>
        </w:tc>
        <w:tc>
          <w:tcPr>
            <w:tcW w:w="6813" w:type="dxa"/>
            <w:gridSpan w:val="4"/>
            <w:noWrap w:val="0"/>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kern w:val="0"/>
                <w:sz w:val="24"/>
                <w:szCs w:val="24"/>
              </w:rPr>
            </w:pPr>
            <w:r>
              <w:rPr>
                <w:rFonts w:hint="default" w:ascii="Times New Roman" w:hAnsi="Times New Roman" w:cs="Times New Roman"/>
                <w:kern w:val="0"/>
                <w:sz w:val="24"/>
                <w:szCs w:val="24"/>
              </w:rPr>
              <w:t>1、产业政策符合性分析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kern w:val="0"/>
                <w:sz w:val="24"/>
                <w:szCs w:val="24"/>
              </w:rPr>
            </w:pPr>
            <w:r>
              <w:rPr>
                <w:rFonts w:hint="default" w:ascii="Times New Roman" w:hAnsi="Times New Roman" w:cs="Times New Roman"/>
                <w:kern w:val="0"/>
                <w:sz w:val="24"/>
                <w:szCs w:val="24"/>
              </w:rPr>
              <w:t>根据国家发展改革委牵头会同相关部门共同修订形成</w:t>
            </w:r>
            <w:r>
              <w:rPr>
                <w:rFonts w:hint="default" w:ascii="Times New Roman" w:hAnsi="Times New Roman" w:cs="Times New Roman"/>
                <w:kern w:val="0"/>
                <w:sz w:val="24"/>
                <w:szCs w:val="24"/>
                <w:lang w:val="en-US" w:eastAsia="zh-CN"/>
              </w:rPr>
              <w:t>的</w:t>
            </w:r>
            <w:r>
              <w:rPr>
                <w:rFonts w:hint="default" w:ascii="Times New Roman" w:hAnsi="Times New Roman" w:cs="Times New Roman"/>
                <w:kern w:val="0"/>
                <w:sz w:val="24"/>
                <w:szCs w:val="24"/>
              </w:rPr>
              <w:t>《产业结构调整指导目录（2024年本）》，本项目属于其中第一类</w:t>
            </w:r>
            <w:r>
              <w:rPr>
                <w:rFonts w:hint="eastAsia" w:cs="Times New Roman"/>
                <w:kern w:val="0"/>
                <w:sz w:val="24"/>
                <w:szCs w:val="24"/>
                <w:lang w:eastAsia="zh-CN"/>
              </w:rPr>
              <w:t>“</w:t>
            </w:r>
            <w:r>
              <w:rPr>
                <w:rFonts w:hint="default" w:ascii="Times New Roman" w:hAnsi="Times New Roman" w:cs="Times New Roman"/>
                <w:kern w:val="0"/>
                <w:sz w:val="24"/>
                <w:szCs w:val="24"/>
              </w:rPr>
              <w:t>鼓励类</w:t>
            </w:r>
            <w:r>
              <w:rPr>
                <w:rFonts w:hint="eastAsia" w:cs="Times New Roman"/>
                <w:kern w:val="0"/>
                <w:sz w:val="24"/>
                <w:szCs w:val="24"/>
                <w:lang w:eastAsia="zh-CN"/>
              </w:rPr>
              <w:t>”</w:t>
            </w:r>
            <w:r>
              <w:rPr>
                <w:rFonts w:hint="default" w:ascii="Times New Roman" w:hAnsi="Times New Roman" w:cs="Times New Roman"/>
                <w:kern w:val="0"/>
                <w:sz w:val="24"/>
                <w:szCs w:val="24"/>
              </w:rPr>
              <w:t>第四项</w:t>
            </w:r>
            <w:r>
              <w:rPr>
                <w:rFonts w:hint="eastAsia" w:cs="Times New Roman"/>
                <w:kern w:val="0"/>
                <w:sz w:val="24"/>
                <w:szCs w:val="24"/>
                <w:lang w:eastAsia="zh-CN"/>
              </w:rPr>
              <w:t>“</w:t>
            </w:r>
            <w:r>
              <w:rPr>
                <w:rFonts w:hint="default" w:ascii="Times New Roman" w:hAnsi="Times New Roman" w:cs="Times New Roman"/>
                <w:kern w:val="0"/>
                <w:sz w:val="24"/>
                <w:szCs w:val="24"/>
              </w:rPr>
              <w:t>电力</w:t>
            </w:r>
            <w:r>
              <w:rPr>
                <w:rFonts w:hint="eastAsia" w:cs="Times New Roman"/>
                <w:kern w:val="0"/>
                <w:sz w:val="24"/>
                <w:szCs w:val="24"/>
                <w:lang w:eastAsia="zh-CN"/>
              </w:rPr>
              <w:t>”</w:t>
            </w:r>
            <w:r>
              <w:rPr>
                <w:rFonts w:hint="default" w:ascii="Times New Roman" w:hAnsi="Times New Roman" w:cs="Times New Roman"/>
                <w:kern w:val="0"/>
                <w:sz w:val="24"/>
                <w:szCs w:val="24"/>
              </w:rPr>
              <w:t>第2条</w:t>
            </w:r>
            <w:r>
              <w:rPr>
                <w:rFonts w:hint="eastAsia" w:cs="Times New Roman"/>
                <w:kern w:val="0"/>
                <w:sz w:val="24"/>
                <w:szCs w:val="24"/>
                <w:lang w:eastAsia="zh-CN"/>
              </w:rPr>
              <w:t>“</w:t>
            </w:r>
            <w:r>
              <w:rPr>
                <w:rFonts w:hint="default" w:ascii="Times New Roman" w:hAnsi="Times New Roman" w:cs="Times New Roman"/>
                <w:kern w:val="0"/>
                <w:sz w:val="24"/>
                <w:szCs w:val="24"/>
              </w:rPr>
              <w:t>电力基础设施建设</w:t>
            </w:r>
            <w:r>
              <w:rPr>
                <w:rFonts w:hint="eastAsia" w:cs="Times New Roman"/>
                <w:kern w:val="0"/>
                <w:sz w:val="24"/>
                <w:szCs w:val="24"/>
                <w:lang w:eastAsia="zh-CN"/>
              </w:rPr>
              <w:t>”</w:t>
            </w:r>
            <w:r>
              <w:rPr>
                <w:rFonts w:hint="default" w:ascii="Times New Roman" w:hAnsi="Times New Roman" w:cs="Times New Roman"/>
                <w:kern w:val="0"/>
                <w:sz w:val="24"/>
                <w:szCs w:val="24"/>
              </w:rPr>
              <w:t>项目。因此该项目的实施建设符合国家有关的产业政策要求。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2、与《黑龙江省主体功能区规划》符合性分析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kern w:val="0"/>
                <w:sz w:val="24"/>
                <w:szCs w:val="24"/>
                <w:highlight w:val="none"/>
                <w:lang w:val="en-US" w:eastAsia="zh-CN"/>
              </w:rPr>
            </w:pPr>
            <w:r>
              <w:rPr>
                <w:rFonts w:hint="default" w:ascii="Times New Roman" w:hAnsi="Times New Roman" w:cs="Times New Roman"/>
                <w:kern w:val="0"/>
                <w:sz w:val="24"/>
                <w:szCs w:val="24"/>
                <w:lang w:val="en-US" w:eastAsia="zh-CN"/>
              </w:rPr>
              <w:t>根据《黑龙江省主体功能区规划》（黑政发〔2012〕29号）</w:t>
            </w:r>
            <w:r>
              <w:rPr>
                <w:rFonts w:hint="eastAsia" w:cs="Times New Roman"/>
                <w:kern w:val="0"/>
                <w:sz w:val="24"/>
                <w:szCs w:val="24"/>
                <w:lang w:val="en-US" w:eastAsia="zh-CN"/>
              </w:rPr>
              <w:t>，集贤县属于限值开发区域（国家农产品主产区）。我省国家农产品主产区主要位于农业生产条件较好的松嫩平原、三江平原和中部山区，以松嫩平原、三江平原农业综合开发试验区为主体。主要建设以优质粳稻为主的水稻产业带，以籽粒与青贮兼用玉米为主的专用玉米产业带，以高油高蛋白大豆为主的大豆产业带，以肉牛、奶牛、生猪为主的畜牧产品产业带以及马铃薯产业带。功能定位：以提供农产品为主体功能，保障农产品供给安全的重要区域。重要的商品粮生产基地、绿色食品生产基地、畜牧业生产基地和农产品深加工区、农业综合开发试验区、社会主义新农村建设的示范区。发展方向：建设农业综合开发试验区，保护耕地，集约开发，加强农业基础设施建设，显著提高农业综合生产能力、产业化水平、物资装备水平、支撑服务能力，提高农业生产效率，大力发展高产、高效、优质、安全的现代化大农业，保障农产品供给，确保国家粮食安全和食品安全；积极推进农业规模化水平，搞好绿色（有机）食品基地建设，发展农产品深加工，加大绿色（有机）食品和无公害农产品开发力度，拓展农村就业和增收空间，</w:t>
            </w:r>
            <w:r>
              <w:rPr>
                <w:rFonts w:hint="eastAsia" w:cs="Times New Roman"/>
                <w:kern w:val="0"/>
                <w:sz w:val="24"/>
                <w:szCs w:val="24"/>
                <w:highlight w:val="none"/>
                <w:lang w:val="en-US" w:eastAsia="zh-CN"/>
              </w:rPr>
              <w:t>加强农村基础设施和公共服务设施建设，改善生产生活条件。</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color w:val="000000"/>
                <w:sz w:val="24"/>
                <w:szCs w:val="24"/>
                <w:lang w:val="en-US" w:eastAsia="zh-CN"/>
              </w:rPr>
            </w:pPr>
            <w:r>
              <w:rPr>
                <w:rFonts w:hint="eastAsia" w:cs="Times New Roman"/>
                <w:kern w:val="0"/>
                <w:sz w:val="24"/>
                <w:szCs w:val="24"/>
                <w:highlight w:val="none"/>
                <w:lang w:val="en-US" w:eastAsia="zh-CN"/>
              </w:rPr>
              <w:t>本项目为</w:t>
            </w:r>
            <w:r>
              <w:rPr>
                <w:rFonts w:hint="default" w:ascii="Times New Roman" w:hAnsi="Times New Roman" w:eastAsia="宋体" w:cs="Times New Roman"/>
                <w:color w:val="000000"/>
                <w:sz w:val="24"/>
                <w:szCs w:val="24"/>
                <w:highlight w:val="none"/>
              </w:rPr>
              <w:t>龙煤双鸭山集贤200MW风力发电项目接网工程</w:t>
            </w:r>
            <w:r>
              <w:rPr>
                <w:rFonts w:hint="eastAsia" w:ascii="Times New Roman" w:hAnsi="Times New Roman" w:eastAsia="宋体" w:cs="Times New Roman"/>
                <w:color w:val="000000"/>
                <w:sz w:val="24"/>
                <w:szCs w:val="24"/>
                <w:highlight w:val="none"/>
                <w:lang w:val="en-US" w:eastAsia="zh-CN"/>
              </w:rPr>
              <w:t>项目</w:t>
            </w:r>
            <w:r>
              <w:rPr>
                <w:rFonts w:hint="eastAsia" w:cs="Times New Roman"/>
                <w:color w:val="000000"/>
                <w:sz w:val="24"/>
                <w:szCs w:val="24"/>
                <w:highlight w:val="none"/>
                <w:lang w:val="en-US" w:eastAsia="zh-CN"/>
              </w:rPr>
              <w:t>，符合功能定位及发展方向。本项目建成后能够帮助集贤县风电场并网发电，提高当地电力供应能力，提高公共服务供给能力和水平，属于《黑龙江省主体功能区规划》中</w:t>
            </w:r>
            <w:r>
              <w:rPr>
                <w:rFonts w:hint="eastAsia" w:cs="Times New Roman"/>
                <w:kern w:val="0"/>
                <w:sz w:val="24"/>
                <w:szCs w:val="24"/>
                <w:highlight w:val="none"/>
                <w:lang w:val="en-US" w:eastAsia="zh-CN"/>
              </w:rPr>
              <w:t>基础设施和公共服务设施建设</w:t>
            </w:r>
            <w:r>
              <w:rPr>
                <w:rFonts w:hint="eastAsia" w:cs="Times New Roman"/>
                <w:color w:val="000000"/>
                <w:sz w:val="24"/>
                <w:szCs w:val="24"/>
                <w:highlight w:val="none"/>
                <w:lang w:val="en-US" w:eastAsia="zh-CN"/>
              </w:rPr>
              <w:t>，因此，本项目符合《黑龙江省主体功能区规划》的要求，</w:t>
            </w:r>
            <w:r>
              <w:rPr>
                <w:rFonts w:hint="eastAsia" w:cs="Times New Roman"/>
                <w:color w:val="000000"/>
                <w:sz w:val="24"/>
                <w:szCs w:val="24"/>
                <w:lang w:val="en-US" w:eastAsia="zh-CN"/>
              </w:rPr>
              <w:t>黑龙江省主体功能区规划图见图1-1。</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cs="Times New Roman"/>
                <w:color w:val="000000"/>
                <w:sz w:val="24"/>
                <w:szCs w:val="24"/>
                <w:lang w:val="en-US" w:eastAsia="zh-CN"/>
              </w:rPr>
            </w:pPr>
            <w:r>
              <w:drawing>
                <wp:inline distT="0" distB="0" distL="114300" distR="114300">
                  <wp:extent cx="4305300" cy="3246755"/>
                  <wp:effectExtent l="0" t="0" r="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4305300" cy="32467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cs="Times New Roman"/>
                <w:kern w:val="0"/>
                <w:sz w:val="21"/>
                <w:szCs w:val="21"/>
              </w:rPr>
            </w:pPr>
            <w:r>
              <w:rPr>
                <w:rFonts w:hint="default" w:ascii="Times New Roman" w:hAnsi="Times New Roman" w:eastAsia="宋体" w:cs="Times New Roman"/>
                <w:b/>
                <w:bCs/>
                <w:color w:val="000000"/>
                <w:kern w:val="2"/>
                <w:sz w:val="21"/>
                <w:szCs w:val="21"/>
                <w:lang w:val="en-US" w:eastAsia="zh-CN" w:bidi="ar-SA"/>
              </w:rPr>
              <w:t>图1-1  黑龙江省主体功能区规划图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3、与《黑龙江省生态功能区划》符合性分析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根据《黑龙江省生态功能区划》，本项目位于I-3三江平原农业与湿地生态区，I-3-2完达山山地针阔混交林与湿地生态亚区，I-3-2-3双鸭山—集贤矿业与林业、农业生态功能区，由双鸭山市和集贤县组成，面积4051平方公里。主要生态环境问题是矿山开采导致生态环境极为脆弱；资源超采严重；产业结构不合理，物能消耗高，产生较大的环境压力，生态环境敏感性为大部分地区土地沙漠化敏感性为高度敏感；土壤侵蚀敏感性为中度敏感，主要生态系统服务功能为土地沙漠化控制、土壤保持、矿、林、农业生产，保护措施与发展方向是加大对开采迹地的恢复工作，调整产业结构，加大城市环境基础设施建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kern w:val="0"/>
                <w:sz w:val="24"/>
                <w:szCs w:val="24"/>
                <w:highlight w:val="none"/>
                <w:lang w:val="en-US"/>
              </w:rPr>
            </w:pPr>
            <w:r>
              <w:rPr>
                <w:rFonts w:hint="eastAsia" w:cs="Times New Roman"/>
                <w:kern w:val="0"/>
                <w:sz w:val="24"/>
                <w:szCs w:val="24"/>
                <w:highlight w:val="none"/>
                <w:lang w:val="en-US" w:eastAsia="zh-CN"/>
              </w:rPr>
              <w:t>本项目为</w:t>
            </w:r>
            <w:r>
              <w:rPr>
                <w:rFonts w:hint="default" w:ascii="Times New Roman" w:hAnsi="Times New Roman" w:eastAsia="宋体" w:cs="Times New Roman"/>
                <w:color w:val="000000"/>
                <w:sz w:val="24"/>
                <w:szCs w:val="24"/>
                <w:highlight w:val="none"/>
              </w:rPr>
              <w:t>龙煤双鸭山集贤200MW风力发电项目接网工程</w:t>
            </w:r>
            <w:r>
              <w:rPr>
                <w:rFonts w:hint="eastAsia" w:ascii="Times New Roman" w:hAnsi="Times New Roman" w:eastAsia="宋体" w:cs="Times New Roman"/>
                <w:color w:val="000000"/>
                <w:sz w:val="24"/>
                <w:szCs w:val="24"/>
                <w:highlight w:val="none"/>
                <w:lang w:val="en-US" w:eastAsia="zh-CN"/>
              </w:rPr>
              <w:t>项目</w:t>
            </w:r>
            <w:r>
              <w:rPr>
                <w:rFonts w:hint="eastAsia" w:cs="Times New Roman"/>
                <w:color w:val="000000"/>
                <w:sz w:val="24"/>
                <w:szCs w:val="24"/>
                <w:highlight w:val="none"/>
                <w:lang w:val="en-US" w:eastAsia="zh-CN"/>
              </w:rPr>
              <w:t>，建成后能够并网发电，大大减少了因火力发电项目建设对生态环境的破坏。本项目的建设不会破坏当地的生态系统、影响生物多样性。本项目施工期间加强监管、严格执行水土保持方案提出的措施及要求，临时占用的土地在施工结束后及时进行恢复。因此，本项目建设符合《黑龙江省生态功能区划》的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highlight w:val="none"/>
                <w:lang w:val="en-US" w:eastAsia="zh-CN"/>
              </w:rPr>
            </w:pPr>
            <w:r>
              <w:rPr>
                <w:rFonts w:hint="eastAsia" w:cs="Times New Roman"/>
                <w:kern w:val="0"/>
                <w:sz w:val="24"/>
                <w:szCs w:val="24"/>
                <w:highlight w:val="none"/>
                <w:lang w:val="en-US" w:eastAsia="zh-CN"/>
              </w:rPr>
              <w:t>4、与《黑龙江省水土保持规划（2015—2030年）》符合性分析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Cs/>
                <w:color w:val="auto"/>
                <w:spacing w:val="0"/>
                <w:w w:val="100"/>
                <w:position w:val="0"/>
                <w:sz w:val="24"/>
                <w:szCs w:val="24"/>
                <w:highlight w:val="none"/>
                <w:lang w:val="en-US" w:eastAsia="zh-CN"/>
              </w:rPr>
            </w:pPr>
            <w:r>
              <w:rPr>
                <w:rFonts w:hint="default" w:ascii="Times New Roman" w:hAnsi="Times New Roman" w:eastAsia="宋体" w:cs="Times New Roman"/>
                <w:bCs/>
                <w:color w:val="auto"/>
                <w:spacing w:val="0"/>
                <w:w w:val="100"/>
                <w:position w:val="0"/>
                <w:sz w:val="24"/>
                <w:szCs w:val="24"/>
                <w:highlight w:val="none"/>
                <w:lang w:val="en-US" w:eastAsia="zh-CN"/>
              </w:rPr>
              <w:t>根据《黑龙江省水土保持规划（2015—2030年）》</w:t>
            </w:r>
            <w:r>
              <w:rPr>
                <w:rFonts w:hint="default" w:ascii="Times New Roman" w:hAnsi="Times New Roman" w:cs="Times New Roman"/>
                <w:bCs/>
                <w:color w:val="auto"/>
                <w:spacing w:val="0"/>
                <w:w w:val="100"/>
                <w:position w:val="0"/>
                <w:sz w:val="24"/>
                <w:szCs w:val="24"/>
                <w:highlight w:val="none"/>
                <w:lang w:val="en-US" w:eastAsia="zh-CN"/>
              </w:rPr>
              <w:t>可知，本项目位于长白山-完达山山地丘陵区I-2-3st,长白山山地丘陵水质维护保土区，省级区划名称为东南部山地丘陵水质维护保土区。</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Cs/>
                <w:color w:val="auto"/>
                <w:spacing w:val="0"/>
                <w:w w:val="100"/>
                <w:position w:val="0"/>
                <w:sz w:val="24"/>
                <w:szCs w:val="24"/>
                <w:highlight w:val="none"/>
                <w:lang w:val="en-US" w:eastAsia="zh-CN"/>
              </w:rPr>
            </w:pPr>
            <w:r>
              <w:rPr>
                <w:rFonts w:hint="default" w:ascii="Times New Roman" w:hAnsi="Times New Roman" w:cs="Times New Roman"/>
                <w:bCs/>
                <w:color w:val="auto"/>
                <w:spacing w:val="0"/>
                <w:w w:val="100"/>
                <w:position w:val="0"/>
                <w:sz w:val="24"/>
                <w:szCs w:val="24"/>
                <w:highlight w:val="none"/>
                <w:lang w:val="en-US" w:eastAsia="zh-CN"/>
              </w:rPr>
              <w:t>本区包括五常市、尚志市、佳木斯市、双鸭山市和依兰县等14市（县），区域总面积34448.13km²。本区大部为张广才岭北麓与小兴安岭相接的低山丘陵区，森林覆盖度高，西端接松嫩平原北缘，以灌溉农田为主。本区水土保持主导基础功能为水质维护、水源涵养、农田防护、拦沙减沙；社会经济功能为农业林业生产、粮食生产、水源地保护、土地生产力保护、饮水安全保护。</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highlight w:val="none"/>
                <w:lang w:val="en-US" w:eastAsia="zh-CN"/>
              </w:rPr>
            </w:pPr>
            <w:r>
              <w:rPr>
                <w:rFonts w:hint="eastAsia" w:ascii="Times New Roman" w:hAnsi="Times New Roman" w:eastAsia="宋体" w:cs="Times New Roman"/>
                <w:kern w:val="0"/>
                <w:sz w:val="24"/>
                <w:szCs w:val="24"/>
                <w:highlight w:val="none"/>
                <w:lang w:val="en-US" w:eastAsia="zh-CN"/>
              </w:rPr>
              <w:t>本项目位于国家级水土流失重点治理区，项目施工时分层开挖、分层堆放，挖方及时回填，避免在大风天施工作业。工程施工时注意合理分配施工时段，避开降雨集中时段，开挖的土方、开挖裸露面做好防治措施，尽量缩短暴露时间，做好堆土拦挡，开挖土方临时堆存场所底部采用布袋挡墙，堆土表面用苫盖，能有效减缓水土流失，工程完成后及时覆土夯实，回填表土，撒播草种，完成迹地恢复。整体来说，在施工过程中做好相应的水土保持措施后，整个施工过程不会加剧区域水土流失。工程建成后将采用因地制宜的植被恢复方式进行生态补偿，保证工程区域内植被数量不会减少。项目建设符合《黑龙江省水土保持规划</w:t>
            </w:r>
            <w:r>
              <w:rPr>
                <w:rFonts w:hint="eastAsia" w:cs="Times New Roman"/>
                <w:kern w:val="0"/>
                <w:sz w:val="24"/>
                <w:szCs w:val="24"/>
                <w:highlight w:val="none"/>
                <w:lang w:val="en-US" w:eastAsia="zh-CN"/>
              </w:rPr>
              <w:t>（</w:t>
            </w:r>
            <w:r>
              <w:rPr>
                <w:rFonts w:hint="eastAsia" w:ascii="Times New Roman" w:hAnsi="Times New Roman" w:eastAsia="宋体" w:cs="Times New Roman"/>
                <w:kern w:val="0"/>
                <w:sz w:val="24"/>
                <w:szCs w:val="24"/>
                <w:highlight w:val="none"/>
                <w:lang w:val="en-US" w:eastAsia="zh-CN"/>
              </w:rPr>
              <w:t>2015-2030年</w:t>
            </w:r>
            <w:r>
              <w:rPr>
                <w:rFonts w:hint="eastAsia" w:cs="Times New Roman"/>
                <w:kern w:val="0"/>
                <w:sz w:val="24"/>
                <w:szCs w:val="24"/>
                <w:highlight w:val="none"/>
                <w:lang w:val="en-US" w:eastAsia="zh-CN"/>
              </w:rPr>
              <w:t>）</w:t>
            </w:r>
            <w:r>
              <w:rPr>
                <w:rFonts w:hint="eastAsia" w:ascii="Times New Roman" w:hAnsi="Times New Roman" w:eastAsia="宋体" w:cs="Times New Roman"/>
                <w:kern w:val="0"/>
                <w:sz w:val="24"/>
                <w:szCs w:val="24"/>
                <w:highlight w:val="none"/>
                <w:lang w:val="en-US" w:eastAsia="zh-CN"/>
              </w:rPr>
              <w:t>》要求。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5、与《黑龙江省“十四五”生态环境保护规划》符合性分析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kern w:val="0"/>
                <w:sz w:val="24"/>
                <w:szCs w:val="24"/>
                <w:lang w:val="en-US" w:eastAsia="zh-CN"/>
              </w:rPr>
            </w:pPr>
            <w:r>
              <w:rPr>
                <w:rFonts w:hint="eastAsia" w:cs="Times New Roman"/>
                <w:kern w:val="0"/>
                <w:sz w:val="24"/>
                <w:szCs w:val="24"/>
                <w:lang w:val="en-US" w:eastAsia="zh-CN"/>
              </w:rPr>
              <w:t>根据《黑龙江省“十四五”生态环境保护规划》，“十四五”时期，我省主要任务为深入实施减污降碳、精准治污、亮剑护绿、科技赋能“四大行动”，聚焦生态环境保护的短板弱项，大力实施绿色低碳发展战略，深入打好蓝天、碧水、净土保卫战，坚持山水林田湖草沙冰一体化保护和系统治理，深入实施“十个全覆盖”，加强环境风险防范，推进生态环境治理体系与治理能力现代化。</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kern w:val="0"/>
                <w:sz w:val="24"/>
                <w:szCs w:val="24"/>
                <w:lang w:val="en-US" w:eastAsia="zh-CN"/>
              </w:rPr>
            </w:pPr>
            <w:r>
              <w:rPr>
                <w:rFonts w:hint="eastAsia" w:cs="Times New Roman"/>
                <w:kern w:val="0"/>
                <w:sz w:val="24"/>
                <w:szCs w:val="24"/>
                <w:lang w:val="en-US" w:eastAsia="zh-CN"/>
              </w:rPr>
              <w:t>构建清洁低碳能源体系。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推进核能供暖示范，探索可再生能源制氢，开展绿色氢能利用。</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highlight w:val="none"/>
                <w:lang w:val="en-US" w:eastAsia="zh-CN"/>
              </w:rPr>
            </w:pPr>
            <w:r>
              <w:rPr>
                <w:rFonts w:hint="eastAsia" w:cs="Times New Roman"/>
                <w:kern w:val="0"/>
                <w:sz w:val="24"/>
                <w:szCs w:val="24"/>
                <w:highlight w:val="none"/>
                <w:lang w:val="en-US" w:eastAsia="zh-CN"/>
              </w:rPr>
              <w:t>本项目为龙煤双鸭山集贤200MW风力发电项目接网工程项目，项目建成后帮助集贤县风电场接入电网，</w:t>
            </w:r>
            <w:r>
              <w:rPr>
                <w:rFonts w:hint="eastAsia" w:cs="Times New Roman"/>
                <w:color w:val="000000"/>
                <w:sz w:val="24"/>
                <w:szCs w:val="24"/>
                <w:highlight w:val="none"/>
                <w:lang w:val="en-US" w:eastAsia="zh-CN"/>
              </w:rPr>
              <w:t>减少了因火力发电项目建设对生态环境的破坏。</w:t>
            </w:r>
            <w:r>
              <w:rPr>
                <w:rFonts w:hint="eastAsia" w:cs="Times New Roman"/>
                <w:kern w:val="0"/>
                <w:sz w:val="24"/>
                <w:szCs w:val="24"/>
                <w:highlight w:val="none"/>
                <w:lang w:val="en-US" w:eastAsia="zh-CN"/>
              </w:rPr>
              <w:t>符合《黑龙江省“十四五”生态环境保护规划》要求。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6、与《黑龙江省黑土地保护利用条例》符合性分析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根据《黑龙江省黑土地保护利用条例》第四十一条，生产建设活动占用黑土地的，应当按照有关标准、规范和管理规定剥离表土。第四十九条任何组织和个人应当节约使用黑土。农田改造、河湖清淤、表土剥离等活动中收集的黑土，经县级以上人民政府指定的部门备案并取得备案凭证后，可以用于土地复垦、劣质地改良、受污染耕地的风险管控和修复以及园林绿化、苗床苗圃用土、花卉种植等。鼓励苗床用土在本田取土或者使用黑土以外的其他基质。</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本</w:t>
            </w:r>
            <w:r>
              <w:rPr>
                <w:rFonts w:hint="eastAsia" w:ascii="Times New Roman" w:hAnsi="Times New Roman" w:eastAsia="宋体" w:cs="Times New Roman"/>
                <w:kern w:val="0"/>
                <w:sz w:val="24"/>
                <w:szCs w:val="24"/>
                <w:highlight w:val="none"/>
                <w:lang w:val="en-US" w:eastAsia="zh-CN"/>
              </w:rPr>
              <w:t>项目施工前对占用的土地进行表土剥离。在土壤剥离及运输过程中，采取了水土保持和扬尘防治措施，防止了土壤和环境污染。本着就近存储的原则，表土剥离后存储于项目区内临时堆土区内。表土储存时在堆土表面播撒草籽，并对堆土区进行苫盖，堆土区设置土袋拦挡，并采取堆土区四周设置截水沟等措施，堆土区由专人进行管理。在项目施工结束后，剥离的表土用于临时占地生态恢复</w:t>
            </w:r>
            <w:r>
              <w:rPr>
                <w:rFonts w:hint="eastAsia" w:ascii="Times New Roman" w:hAnsi="Times New Roman" w:eastAsia="宋体" w:cs="Times New Roman"/>
                <w:kern w:val="0"/>
                <w:sz w:val="24"/>
                <w:szCs w:val="24"/>
                <w:lang w:val="en-US" w:eastAsia="zh-CN"/>
              </w:rPr>
              <w:t>。因此符合《黑龙江省黑土地保护利用条例》要求。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7、与《黑龙江省黑土地保护工程实施方案（2021—2025年）》符合性分析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根据《黑龙江省黑土地保护工程实施方案（2021—2025年）》，黑土地保护工程实施内容为：（一）加强耕地水土流失治理。坚持水土保持工程与耕作、生物措施相结合，实行“三治”结合，防治黑土耕地水土流失。（二）加强农田基础设施建设。优先实施粮食生产功能区和重要农产品生产保护区黑土高标准农田建设，采取“三建”同步，巩固提升“两区”综合生产能力。（三）加强耕地质量提升。坚持农机农艺融合，优化耕作制度，推进种养结合，分类推行“三个实施”，增加秸秆、畜禽粪肥等有机物补充回归，提升土壤有机质含量和基础地力。（四）推行绿色生产方式。发展绿色低碳、节约集约农业，深入开展“三节”，防治农业面源污染，提高农业用水效率，推动加快形成绿色生产方式。（五）加强监测评价体系建设。加强黑土耕地质量变化规律研究，实施“三个建立”，建立耕地质量监测评价制度，合理布设耕地质量监测调查点，完善耕地质量监测网络，建设黑土耕地质量数据库。</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highlight w:val="none"/>
                <w:lang w:val="en-US" w:eastAsia="zh-CN"/>
              </w:rPr>
              <w:t>本项目永久和临时占地皆占用耕地，施工期对耕作层土壤进行土壤剥离，施工期采取水土保持措施防止水土流失</w:t>
            </w:r>
            <w:r>
              <w:rPr>
                <w:rFonts w:hint="eastAsia" w:ascii="Times New Roman" w:hAnsi="Times New Roman" w:eastAsia="宋体" w:cs="Times New Roman"/>
                <w:kern w:val="0"/>
                <w:sz w:val="24"/>
                <w:szCs w:val="24"/>
                <w:lang w:val="en-US" w:eastAsia="zh-CN"/>
              </w:rPr>
              <w:t>，施工结束后对临时占地进行生态恢复。项目的建设和采取的措施符合《黑龙江省黑土地保护工程实施方案（2021—2025年）》要求。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8、与《黑龙江省“十四五”黑土地保护规划》符合性分析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w:t>
            </w:r>
            <w:r>
              <w:rPr>
                <w:rFonts w:hint="eastAsia" w:cs="Times New Roman"/>
                <w:kern w:val="0"/>
                <w:sz w:val="24"/>
                <w:szCs w:val="24"/>
                <w:lang w:val="en-US" w:eastAsia="zh-CN"/>
              </w:rPr>
              <w:t>黑龙江省“十四五”黑土地保护规划</w:t>
            </w:r>
            <w:r>
              <w:rPr>
                <w:rFonts w:hint="eastAsia" w:ascii="Times New Roman" w:hAnsi="Times New Roman" w:eastAsia="宋体" w:cs="Times New Roman"/>
                <w:kern w:val="0"/>
                <w:sz w:val="24"/>
                <w:szCs w:val="24"/>
                <w:lang w:val="en-US" w:eastAsia="zh-CN"/>
              </w:rPr>
              <w:t>》提出采取“三严”措施，依法加强黑土耕地数量管控，坚决遏制耕地“非农化”、防止“非粮化”。</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1.严控耕地保护红线。实行最严格的耕地保护制度，划定耕地保护红线和永久基本农田控制线，严格落实耕地占补平衡、易地补充耕地、土地复垦等政策，确保完成规划期内黑土耕地保有量和永久基本农田保护任务。</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2.严格国土空间用途管制。划定一般农业区，把优质黑土耕地优先划入一般农业区。制定用途管制规则，实行严格的用途管制，严控非农建设用地规模，尽量少占优质黑土地。强化对占用黑土地的管控约束，使得城镇发展等非农建设尽量避让优质黑土地。</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3.严格土地执法。建设项目占用耕地的，应当按规定进行表土剥离和利用。全面加大黑土耕地保护违法违规问题执法力度，及时发现、严肃查处土地违法特别是乱占耕地、破坏耕地、盗挖黑土等行为。</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highlight w:val="none"/>
                <w:lang w:val="en-US" w:eastAsia="zh-CN"/>
              </w:rPr>
            </w:pPr>
            <w:r>
              <w:rPr>
                <w:rFonts w:hint="eastAsia" w:ascii="Times New Roman" w:hAnsi="Times New Roman" w:eastAsia="宋体" w:cs="Times New Roman"/>
                <w:kern w:val="0"/>
                <w:sz w:val="24"/>
                <w:szCs w:val="24"/>
                <w:highlight w:val="none"/>
                <w:lang w:val="en-US" w:eastAsia="zh-CN"/>
              </w:rPr>
              <w:t>本项目设计阶段优化塔型，尽可能地减少了塔基永久占用面积，永久和临时占地皆占用耕地，施工期对耕作层土壤进行土壤剥离，施工期采取水土保持措施防止水土流失，施工结束后对临时占地进行生态恢复本项目建设不会降低黑土耕地保有量，可以满足《黑龙江省“十四五”黑土地保护规划》。</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9、土地利用规划符合性分析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根据国土资源部、国家发展和改革委员会2012年5月30日发布的“关于发布实施《限制用地项目目录（2012年本）》和《禁止用地项目目录（2012年本）》的通知”中规定，本项目不属于其规定的限制用地和禁止用地项目范畴。项目主要占地为农用地（主要为一般耕地）</w:t>
            </w:r>
            <w:r>
              <w:rPr>
                <w:rFonts w:hint="eastAsia" w:cs="Times New Roman"/>
                <w:kern w:val="0"/>
                <w:sz w:val="24"/>
                <w:szCs w:val="24"/>
                <w:lang w:val="en-US" w:eastAsia="zh-CN"/>
              </w:rPr>
              <w:t>，</w:t>
            </w:r>
            <w:r>
              <w:rPr>
                <w:rFonts w:hint="eastAsia" w:cs="Times New Roman"/>
                <w:kern w:val="0"/>
                <w:sz w:val="24"/>
                <w:szCs w:val="24"/>
                <w:highlight w:val="none"/>
                <w:lang w:val="en-US" w:eastAsia="zh-CN"/>
              </w:rPr>
              <w:t>根据“《黑龙江省自然资源厅黑龙江省发展和改革委员会关于简化用地管理加快电网建设的通知》（黑自然资函（2018）46号）和“双鸭山市人民政府办公室关于印发《进一步推动电网高质量发展工作方案》的通知（双政办发〔2024〕13号）”文件精神，</w:t>
            </w:r>
            <w:r>
              <w:rPr>
                <w:rFonts w:hint="eastAsia" w:ascii="Times New Roman" w:hAnsi="Times New Roman" w:eastAsia="宋体" w:cs="Times New Roman"/>
                <w:color w:val="000000"/>
                <w:sz w:val="24"/>
                <w:szCs w:val="24"/>
                <w:highlight w:val="none"/>
                <w:lang w:val="en-US" w:eastAsia="zh-CN"/>
              </w:rPr>
              <w:t>项目用地符合土地利用规划要求</w:t>
            </w:r>
            <w:r>
              <w:rPr>
                <w:rFonts w:hint="eastAsia" w:cs="Times New Roman"/>
                <w:color w:val="000000"/>
                <w:sz w:val="24"/>
                <w:szCs w:val="24"/>
                <w:highlight w:val="no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10、与《自然资源部关于规范临时用地管理的通知》（自然资规〔2021〕2号）符合性分析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bookmarkStart w:id="5" w:name="_Toc5849"/>
            <w:bookmarkStart w:id="6" w:name="_Toc31622"/>
            <w:bookmarkStart w:id="7" w:name="_Toc16748"/>
            <w:r>
              <w:rPr>
                <w:rFonts w:hint="eastAsia" w:ascii="Times New Roman" w:hAnsi="Times New Roman" w:eastAsia="宋体" w:cs="Times New Roman"/>
                <w:kern w:val="0"/>
                <w:sz w:val="24"/>
                <w:szCs w:val="24"/>
                <w:lang w:val="en-US" w:eastAsia="zh-CN"/>
              </w:rPr>
              <w:t>根据《自然资源部关于规范临时用地管理的通知》（自然资规〔2021〕2号）文件要求，临时用地是指建设项目施工、地质勘查等临时使用，不修建永久性建（构）筑物，使用后可恢复的土地（通过复垦可恢复原地类或者达到可供利用状态）。临时用地具有临时性和可恢复性等特点，与建设项目施工、地质勘查等无关的用地，使用后无法恢复到原地类或者复垦达不到可供利用状态的用地，不得使用临时用地。建设项目施工、地质勘查使用临时用地时应坚持“用多少、批多少、占多少、恢复多少”，尽量不占或者少占耕地。使用后土地复垦难度较大的临时用地，要严格控制占用耕地。铁路、公路等单独选址建设项目，应科学组织施工，节约集约使用临时用地。制梁场、拌合站等难以恢复原种植条件的不得以临时用地方式占用耕地和永久基本农田，可以建设用地方式或者临时占用未利用地方式使用土地。临时用地确需占用永久基本农田的，必须能够恢复原种植条件，并符合《自然资源部农业农村部关于加强和改进永久基本农田保护工作的通知》（自然资规〔2019〕1号）中申请条件、土壤剥离、复垦验收等有关规定。临时用地使用期限一般不超过两年。建设周期较长的能源、交通、水利等基础设施建设项目施工使用的临时用地，期限不超过四年。城镇开发边界内临时建设用地规划许可、临时建设工程规划许可的期限应当与临时用地期限相衔接。临时用地使用期限，从批准之日起算。县（市）自然资源主管部门负责临时用地审批，其中涉及占用耕地和永久基本农田的，由市级或者市级以上自然资源主管部门负责审批。不得下放临时用地审批权或者委托相关部门行使审批权。临时用地使用人应当按照批准的用途使用土地，不得转让、出租、抵押临时用地。临时用地使用人应当自临时用地期满之日起一年内完成土地复垦，因气候、灾害等不可抗力因素影响复垦的，经批准可以适当延长复垦期限。</w:t>
            </w:r>
            <w:bookmarkEnd w:id="5"/>
            <w:bookmarkEnd w:id="6"/>
            <w:bookmarkEnd w:id="7"/>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bookmarkStart w:id="8" w:name="_Toc20455"/>
            <w:bookmarkStart w:id="9" w:name="_Toc5561"/>
            <w:bookmarkStart w:id="10" w:name="_Toc24063"/>
            <w:bookmarkStart w:id="11" w:name="_Toc32687"/>
            <w:bookmarkStart w:id="12" w:name="_Toc4477"/>
            <w:bookmarkStart w:id="13" w:name="_Toc20047"/>
            <w:r>
              <w:rPr>
                <w:rFonts w:hint="eastAsia" w:ascii="Times New Roman" w:hAnsi="Times New Roman" w:eastAsia="宋体" w:cs="Times New Roman"/>
                <w:kern w:val="0"/>
                <w:sz w:val="24"/>
                <w:szCs w:val="24"/>
                <w:lang w:val="en-US" w:eastAsia="zh-CN"/>
              </w:rPr>
              <w:t>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bookmarkEnd w:id="8"/>
            <w:bookmarkEnd w:id="9"/>
            <w:bookmarkEnd w:id="10"/>
            <w:bookmarkEnd w:id="11"/>
            <w:bookmarkEnd w:id="12"/>
            <w:bookmarkEnd w:id="13"/>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bookmarkStart w:id="14" w:name="_Toc8037"/>
            <w:bookmarkStart w:id="15" w:name="_Toc28063"/>
            <w:bookmarkStart w:id="16" w:name="_Toc5433"/>
            <w:bookmarkStart w:id="17" w:name="_Toc18378"/>
            <w:bookmarkStart w:id="18" w:name="_Toc19826"/>
            <w:bookmarkStart w:id="19" w:name="_Toc28490"/>
            <w:bookmarkStart w:id="20" w:name="_Toc23391"/>
            <w:bookmarkStart w:id="21" w:name="_Toc28139"/>
            <w:bookmarkStart w:id="22" w:name="_Toc32638"/>
            <w:bookmarkStart w:id="23" w:name="_Toc20966"/>
            <w:r>
              <w:rPr>
                <w:rFonts w:hint="eastAsia" w:ascii="Times New Roman" w:hAnsi="Times New Roman" w:eastAsia="宋体" w:cs="Times New Roman"/>
                <w:kern w:val="0"/>
                <w:sz w:val="24"/>
                <w:szCs w:val="24"/>
                <w:highlight w:val="none"/>
                <w:lang w:val="en-US" w:eastAsia="zh-CN"/>
              </w:rPr>
              <w:t>本项目施工期不占用基本农田。</w:t>
            </w:r>
            <w:r>
              <w:rPr>
                <w:rFonts w:hint="eastAsia" w:ascii="Times New Roman" w:hAnsi="Times New Roman" w:eastAsia="宋体" w:cs="Times New Roman"/>
                <w:kern w:val="0"/>
                <w:sz w:val="24"/>
                <w:szCs w:val="24"/>
                <w:lang w:val="en-US" w:eastAsia="zh-CN"/>
              </w:rPr>
              <w:t>项目坚持“用多少、批多少、占多少、恢复多少”的原则，项目在临时用地使用结束后拆除临建设施，并进行土地复垦，临时占地可恢复原有土地功能。因此项目建设符合《自然资源部关于规范临时用地管理的通知》（自然资规〔2021〕2号）文件要求</w:t>
            </w:r>
            <w:bookmarkEnd w:id="14"/>
            <w:bookmarkEnd w:id="15"/>
            <w:bookmarkEnd w:id="16"/>
            <w:bookmarkEnd w:id="17"/>
            <w:r>
              <w:rPr>
                <w:rFonts w:hint="eastAsia" w:ascii="Times New Roman" w:hAnsi="Times New Roman" w:eastAsia="宋体" w:cs="Times New Roman"/>
                <w:kern w:val="0"/>
                <w:sz w:val="24"/>
                <w:szCs w:val="24"/>
                <w:lang w:val="en-US" w:eastAsia="zh-CN"/>
              </w:rPr>
              <w:t>。</w:t>
            </w:r>
            <w:bookmarkEnd w:id="18"/>
            <w:bookmarkEnd w:id="19"/>
            <w:bookmarkEnd w:id="20"/>
            <w:bookmarkEnd w:id="21"/>
            <w:bookmarkEnd w:id="22"/>
            <w:bookmarkEnd w:id="23"/>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kern w:val="0"/>
                <w:sz w:val="24"/>
                <w:szCs w:val="24"/>
                <w:lang w:val="en-US" w:eastAsia="zh-CN"/>
              </w:rPr>
            </w:pPr>
            <w:r>
              <w:rPr>
                <w:rFonts w:hint="eastAsia" w:cs="Times New Roman"/>
                <w:kern w:val="0"/>
                <w:sz w:val="24"/>
                <w:szCs w:val="24"/>
                <w:lang w:val="en-US" w:eastAsia="zh-CN"/>
              </w:rPr>
              <w:t>11、与《输变电建设项目环境保护技术要求》（HJ 1113-2020）符合性分析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kern w:val="0"/>
                <w:sz w:val="24"/>
                <w:szCs w:val="24"/>
                <w:lang w:val="en-US" w:eastAsia="zh-CN"/>
              </w:rPr>
            </w:pPr>
            <w:bookmarkStart w:id="24" w:name="_Toc29826"/>
            <w:bookmarkStart w:id="25" w:name="_Toc9974"/>
            <w:bookmarkStart w:id="26" w:name="_Toc12852"/>
            <w:bookmarkStart w:id="27" w:name="_Toc14523"/>
            <w:bookmarkStart w:id="28" w:name="_Toc39"/>
            <w:bookmarkStart w:id="29" w:name="_Toc4095"/>
            <w:bookmarkStart w:id="30" w:name="_Toc19750"/>
            <w:bookmarkStart w:id="31" w:name="_Toc16053"/>
            <w:bookmarkStart w:id="32" w:name="_Toc25473"/>
            <w:bookmarkStart w:id="33" w:name="_Toc19818"/>
            <w:bookmarkStart w:id="34" w:name="_Toc22549"/>
            <w:r>
              <w:rPr>
                <w:rFonts w:hint="eastAsia" w:cs="Times New Roman"/>
                <w:kern w:val="0"/>
                <w:sz w:val="24"/>
                <w:szCs w:val="24"/>
                <w:lang w:val="en-US" w:eastAsia="zh-CN"/>
              </w:rPr>
              <w:t>本项目与《输变电建设项目环境保护技术要求》（HJ 1113-2020）的符合性分析如下：</w:t>
            </w:r>
            <w:bookmarkEnd w:id="24"/>
            <w:bookmarkEnd w:id="25"/>
            <w:bookmarkEnd w:id="26"/>
            <w:bookmarkEnd w:id="27"/>
            <w:bookmarkEnd w:id="28"/>
            <w:bookmarkEnd w:id="29"/>
            <w:bookmarkEnd w:id="30"/>
            <w:bookmarkEnd w:id="31"/>
            <w:bookmarkEnd w:id="32"/>
            <w:bookmarkEnd w:id="33"/>
            <w:bookmarkEnd w:id="34"/>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b/>
                <w:bCs/>
                <w:sz w:val="21"/>
                <w:szCs w:val="21"/>
                <w:lang w:val="en-US" w:eastAsia="zh-CN"/>
              </w:rPr>
            </w:pPr>
            <w:bookmarkStart w:id="35" w:name="_Toc23142"/>
            <w:bookmarkStart w:id="36" w:name="_Toc5868"/>
            <w:bookmarkStart w:id="37" w:name="_Toc23400"/>
            <w:bookmarkStart w:id="38" w:name="_Toc31821"/>
            <w:bookmarkStart w:id="39" w:name="_Toc16643"/>
            <w:r>
              <w:rPr>
                <w:rFonts w:hint="eastAsia"/>
                <w:b/>
                <w:bCs/>
                <w:sz w:val="21"/>
                <w:szCs w:val="21"/>
                <w:lang w:val="en-US" w:eastAsia="zh-CN"/>
              </w:rPr>
              <w:t>表1-1 本项目与《输变电建设项目环境保护技术要求》（HJ 1113-2020）</w:t>
            </w:r>
            <w:bookmarkEnd w:id="35"/>
            <w:bookmarkEnd w:id="36"/>
            <w:bookmarkEnd w:id="37"/>
            <w:bookmarkStart w:id="40" w:name="_Toc28294"/>
            <w:bookmarkStart w:id="41" w:name="_Toc4755"/>
            <w:bookmarkStart w:id="42" w:name="_Toc21268"/>
            <w:r>
              <w:rPr>
                <w:rFonts w:hint="eastAsia"/>
                <w:b/>
                <w:bCs/>
                <w:sz w:val="21"/>
                <w:szCs w:val="21"/>
                <w:lang w:val="en-US" w:eastAsia="zh-CN"/>
              </w:rPr>
              <w:t>符合性分析</w:t>
            </w:r>
            <w:bookmarkEnd w:id="38"/>
            <w:bookmarkEnd w:id="39"/>
            <w:bookmarkEnd w:id="40"/>
            <w:bookmarkEnd w:id="41"/>
            <w:bookmarkEnd w:id="42"/>
          </w:p>
          <w:tbl>
            <w:tblPr>
              <w:tblStyle w:val="21"/>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557"/>
              <w:gridCol w:w="3881"/>
              <w:gridCol w:w="16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序号</w:t>
                  </w:r>
                </w:p>
              </w:tc>
              <w:tc>
                <w:tcPr>
                  <w:tcW w:w="3273" w:type="pct"/>
                  <w:gridSpan w:val="2"/>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文件要求</w:t>
                  </w:r>
                </w:p>
              </w:tc>
              <w:tc>
                <w:tcPr>
                  <w:tcW w:w="1250"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符合性分析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1</w:t>
                  </w:r>
                </w:p>
              </w:tc>
              <w:tc>
                <w:tcPr>
                  <w:tcW w:w="411"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基本规定</w:t>
                  </w:r>
                </w:p>
              </w:tc>
              <w:tc>
                <w:tcPr>
                  <w:tcW w:w="2862"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4.1 输变电建设项目环境保护应坚持保护优先、预防为主、综合治理、公众参与、损害担责的原则，对可能产生的电磁、声、生态、水、大气等不利环境影响和环境风险进行防治，在确保满足各项环境标准的基础上持续不断改善环境质量。</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lang w:val="en-US" w:eastAsia="zh-CN" w:bidi="ar-SA"/>
                    </w:rPr>
                    <w:t>4.2 依法依规开展规划环境影响评价工作，加强规划环境影响评价与建设项目环境影响评价的联动</w:t>
                  </w:r>
                  <w:r>
                    <w:rPr>
                      <w:rFonts w:hint="default" w:ascii="Times New Roman" w:hAnsi="Times New Roman" w:eastAsia="宋体" w:cs="Times New Roman"/>
                      <w:color w:val="000000"/>
                      <w:kern w:val="0"/>
                      <w:sz w:val="21"/>
                      <w:szCs w:val="21"/>
                      <w:highlight w:val="none"/>
                      <w:lang w:val="en-US" w:eastAsia="zh-CN" w:bidi="ar-SA"/>
                    </w:rPr>
                    <w:t>。</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highlight w:val="none"/>
                      <w:lang w:val="en-US" w:eastAsia="zh-CN" w:bidi="ar-SA"/>
                    </w:rPr>
                    <w:t>4.3 输变电建设项目在开工建设前应依法依规进行建设项目环境影响评价。建设项目构成重大变动的，应当</w:t>
                  </w:r>
                  <w:r>
                    <w:rPr>
                      <w:rFonts w:hint="default" w:ascii="Times New Roman" w:hAnsi="Times New Roman" w:eastAsia="宋体" w:cs="Times New Roman"/>
                      <w:color w:val="000000"/>
                      <w:kern w:val="0"/>
                      <w:sz w:val="21"/>
                      <w:szCs w:val="21"/>
                      <w:lang w:val="en-US" w:eastAsia="zh-CN" w:bidi="ar-SA"/>
                    </w:rPr>
                    <w:t>依法依规重新进行环境影响评价。</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4.4 输变电建设项目需要配套建设的环境保护设施，必须与主体工程同时设计、同时施工、同时投产使用。建设单位应当将环境保护设施纳入施工合同，保证环境保护设施建设进度和资金，并在项目建设过程中同时组织实施环境影响评价文件及其审批部门审批决定中提出的环境保护对策措施。</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4.5 输变电建设项目竣工时，建设单位应当按照规定的标准和程序，开展竣工环境保护验收工作。</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4.6 加强建设项目及其环境保护工作的公开、透明，依法依规进行信息公开。</w:t>
                  </w:r>
                </w:p>
              </w:tc>
              <w:tc>
                <w:tcPr>
                  <w:tcW w:w="1250"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本项目依法进行环境影响评级工作，</w:t>
                  </w:r>
                  <w:r>
                    <w:rPr>
                      <w:rFonts w:hint="default" w:ascii="Times New Roman" w:hAnsi="Times New Roman" w:eastAsia="宋体" w:cs="Times New Roman"/>
                      <w:color w:val="000000"/>
                      <w:kern w:val="0"/>
                      <w:sz w:val="21"/>
                      <w:szCs w:val="21"/>
                      <w:lang w:val="en-US" w:eastAsia="zh-CN" w:bidi="ar-SA"/>
                    </w:rPr>
                    <w:t>满足各项环境标准并持续不断改善火电对区域造成的环境污染。如</w:t>
                  </w:r>
                  <w:r>
                    <w:rPr>
                      <w:rFonts w:hint="default" w:ascii="Times New Roman" w:hAnsi="Times New Roman" w:eastAsia="宋体" w:cs="Times New Roman"/>
                      <w:color w:val="000000"/>
                      <w:kern w:val="0"/>
                      <w:sz w:val="21"/>
                      <w:szCs w:val="21"/>
                      <w:highlight w:val="none"/>
                      <w:lang w:val="en-US" w:eastAsia="zh-CN" w:bidi="ar-SA"/>
                    </w:rPr>
                    <w:t>建设项目构成重大变动，应当</w:t>
                  </w:r>
                  <w:r>
                    <w:rPr>
                      <w:rFonts w:hint="default" w:ascii="Times New Roman" w:hAnsi="Times New Roman" w:eastAsia="宋体" w:cs="Times New Roman"/>
                      <w:color w:val="000000"/>
                      <w:kern w:val="0"/>
                      <w:sz w:val="21"/>
                      <w:szCs w:val="21"/>
                      <w:lang w:val="en-US" w:eastAsia="zh-CN" w:bidi="ar-SA"/>
                    </w:rPr>
                    <w:t>依法依规重新进行环境影响评价。</w:t>
                  </w:r>
                  <w:r>
                    <w:rPr>
                      <w:rFonts w:hint="default" w:ascii="Times New Roman" w:hAnsi="Times New Roman" w:eastAsia="宋体" w:cs="Times New Roman"/>
                      <w:color w:val="000000"/>
                      <w:kern w:val="0"/>
                      <w:sz w:val="21"/>
                      <w:szCs w:val="21"/>
                      <w:highlight w:val="none"/>
                      <w:lang w:val="en-US" w:eastAsia="zh-CN" w:bidi="ar-SA"/>
                    </w:rPr>
                    <w:t>环境保护设施与主体工程同时设计、同时施工、同时投产使用。项目竣工后，依法进行竣工环境保护验收。环评及验收文件依法进行公示，</w:t>
                  </w:r>
                  <w:r>
                    <w:rPr>
                      <w:rFonts w:hint="default" w:ascii="Times New Roman" w:hAnsi="Times New Roman" w:eastAsia="宋体" w:cs="Times New Roman"/>
                      <w:color w:val="000000"/>
                      <w:kern w:val="0"/>
                      <w:sz w:val="21"/>
                      <w:szCs w:val="21"/>
                      <w:lang w:val="en-US" w:eastAsia="zh-CN" w:bidi="ar-SA"/>
                    </w:rPr>
                    <w:t>加强建设项目及其环境保护工作的公开、透明，依法依规进行信息公开。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2</w:t>
                  </w:r>
                </w:p>
              </w:tc>
              <w:tc>
                <w:tcPr>
                  <w:tcW w:w="411"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选址选线</w:t>
                  </w:r>
                </w:p>
              </w:tc>
              <w:tc>
                <w:tcPr>
                  <w:tcW w:w="2862"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5.1 工程选址选线应符合规划环境影响评价文件的要求。</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5.2 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5.3 变电工程在选址时应按终期规模综合考虑进出线走廊规划，避免进出线进入自然保护区、饮用水水源保护区等环境敏感区。</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5.4 户外变电工程及规划架空进出线选址选线时，应关注以居住、医疗卫生、文化教育、科研、行政办公等为主要功能的区域，采取综合措施，减少电磁和声环境影响。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5.5 同一走廊内的多回输电线路，宜采取同塔多回架设、并行架设等形式，减少新开辟走廊，优化线路走廊间距，降低环境影响。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5.6 原则上避免在0类声环境功能区建设变电工程。</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5.7 变电工程选址时，应综合考虑减少土地占用、植被砍伐和弃土弃渣等，以减少对生态环境的不利影响。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5.8输电线路宜避让集中林区，以减少林木砍伐，保护生态环境。</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5.9 进入自然保护区的输电线路，应按照 HJ 19 的要求开展生态现状调查，避让保护对象的集中分布区。</w:t>
                  </w:r>
                </w:p>
              </w:tc>
              <w:tc>
                <w:tcPr>
                  <w:tcW w:w="1250"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本项目选址选线</w:t>
                  </w:r>
                  <w:r>
                    <w:rPr>
                      <w:rFonts w:hint="eastAsia" w:cs="Times New Roman"/>
                      <w:color w:val="000000"/>
                      <w:kern w:val="0"/>
                      <w:sz w:val="21"/>
                      <w:szCs w:val="21"/>
                      <w:highlight w:val="none"/>
                      <w:lang w:val="en-US" w:eastAsia="zh-CN" w:bidi="ar-SA"/>
                    </w:rPr>
                    <w:t>不涉及</w:t>
                  </w:r>
                  <w:r>
                    <w:rPr>
                      <w:rFonts w:hint="default" w:ascii="Times New Roman" w:hAnsi="Times New Roman" w:eastAsia="宋体" w:cs="Times New Roman"/>
                      <w:color w:val="000000"/>
                      <w:kern w:val="0"/>
                      <w:sz w:val="21"/>
                      <w:szCs w:val="21"/>
                      <w:highlight w:val="none"/>
                      <w:lang w:val="en-US" w:eastAsia="zh-CN" w:bidi="ar-SA"/>
                    </w:rPr>
                    <w:t>生态保护红线，避让了自然保护区、饮用水水源保护区等环境敏感区，并避让了以居住、医疗卫生、文化教育、科研、行政办公等为主要功能的区域以减少电磁和声环境影响；</w:t>
                  </w:r>
                  <w:r>
                    <w:rPr>
                      <w:rFonts w:hint="default" w:ascii="Times New Roman" w:hAnsi="Times New Roman" w:eastAsia="宋体" w:cs="Times New Roman"/>
                      <w:color w:val="FF0000"/>
                      <w:kern w:val="0"/>
                      <w:sz w:val="21"/>
                      <w:szCs w:val="21"/>
                      <w:highlight w:val="none"/>
                      <w:lang w:val="en-US" w:eastAsia="zh-CN" w:bidi="ar-SA"/>
                    </w:rPr>
                    <w:t>本项目太保220kV变电站位于双鸭山经开区，为3类声功能区，输电线路部分处于双鸭山经开区（3类声环境功能区）内，部分处于未划分功能区的区域（农村区域，原则上执行1类区标准）</w:t>
                  </w:r>
                  <w:r>
                    <w:rPr>
                      <w:rFonts w:hint="eastAsia" w:cs="Times New Roman"/>
                      <w:color w:val="FF0000"/>
                      <w:kern w:val="0"/>
                      <w:sz w:val="21"/>
                      <w:szCs w:val="21"/>
                      <w:highlight w:val="none"/>
                      <w:lang w:val="en-US" w:eastAsia="zh-CN" w:bidi="ar-SA"/>
                    </w:rPr>
                    <w:t>；</w:t>
                  </w:r>
                  <w:r>
                    <w:rPr>
                      <w:rFonts w:hint="default" w:ascii="Times New Roman" w:hAnsi="Times New Roman" w:eastAsia="宋体" w:cs="Times New Roman"/>
                      <w:color w:val="000000"/>
                      <w:kern w:val="0"/>
                      <w:sz w:val="21"/>
                      <w:szCs w:val="21"/>
                      <w:highlight w:val="none"/>
                      <w:lang w:val="en-US" w:eastAsia="zh-CN" w:bidi="ar-SA"/>
                    </w:rPr>
                    <w:t>占地类型为耕地，送出线路避让林区无林木砍伐。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3</w:t>
                  </w:r>
                </w:p>
              </w:tc>
              <w:tc>
                <w:tcPr>
                  <w:tcW w:w="411"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设计</w:t>
                  </w:r>
                </w:p>
              </w:tc>
              <w:tc>
                <w:tcPr>
                  <w:tcW w:w="2862"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6.1 总体要求</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6.1.1 输变电建设项目的初步设计、施工图设计文件中应包含相关的环境保护内容，编制环境保护篇章、开展环境保护专项设计，落实防治环境污染和生态破坏的措施、设施及相应资金。</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6.1.2 改建、扩建输变电建设项目应采取措施，治理与该项目有关的原有环境污染和生态破坏。</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6.1.3 输电线路进入自然保护区实验区、饮用水水源二级保护区等环境敏感区时，应采取塔基定位避让、减少进入长度、控制导线高度等环境保护措施，减少对环境保护对象的不利影响。</w:t>
                  </w:r>
                </w:p>
              </w:tc>
              <w:tc>
                <w:tcPr>
                  <w:tcW w:w="1250"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yellow"/>
                      <w:lang w:val="en-US" w:eastAsia="zh-CN" w:bidi="ar-SA"/>
                    </w:rPr>
                  </w:pPr>
                  <w:r>
                    <w:rPr>
                      <w:rFonts w:hint="default" w:ascii="Times New Roman" w:hAnsi="Times New Roman" w:eastAsia="宋体" w:cs="Times New Roman"/>
                      <w:color w:val="000000"/>
                      <w:kern w:val="0"/>
                      <w:sz w:val="21"/>
                      <w:szCs w:val="21"/>
                      <w:highlight w:val="none"/>
                      <w:lang w:val="en-US" w:eastAsia="zh-CN" w:bidi="ar-SA"/>
                    </w:rPr>
                    <w:t>项</w:t>
                  </w:r>
                  <w:r>
                    <w:rPr>
                      <w:rFonts w:hint="default" w:ascii="Times New Roman" w:hAnsi="Times New Roman" w:eastAsia="宋体" w:cs="Times New Roman"/>
                      <w:color w:val="000000"/>
                      <w:kern w:val="0"/>
                      <w:sz w:val="21"/>
                      <w:szCs w:val="21"/>
                      <w:lang w:val="en-US" w:eastAsia="zh-CN" w:bidi="ar-SA"/>
                    </w:rPr>
                    <w:t>目的设计文件中均体现避让敏感点等相关的环境保护内容</w:t>
                  </w:r>
                  <w:r>
                    <w:rPr>
                      <w:rFonts w:hint="default" w:ascii="Times New Roman" w:hAnsi="Times New Roman" w:eastAsia="宋体" w:cs="Times New Roman"/>
                      <w:color w:val="000000"/>
                      <w:kern w:val="0"/>
                      <w:sz w:val="21"/>
                      <w:szCs w:val="21"/>
                      <w:highlight w:val="none"/>
                      <w:lang w:val="en-US" w:eastAsia="zh-CN" w:bidi="ar-SA"/>
                    </w:rPr>
                    <w:t>。输电线路不进入自然保护区实验区、饮用水水源二级保护区等环境敏感区。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4</w:t>
                  </w:r>
                </w:p>
              </w:tc>
              <w:tc>
                <w:tcPr>
                  <w:tcW w:w="411"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电磁环境保护</w:t>
                  </w:r>
                </w:p>
              </w:tc>
              <w:tc>
                <w:tcPr>
                  <w:tcW w:w="2862"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6.2.1 工程设计应对产生的工频电场、工频磁场、直流合成电场等电磁环境影响因子进行验算，采取相应防护措施，确保电磁环境影响满足国家标准要求。</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6.2.2 输电线路设计应因地制宜选择线路型式、架设高度、杆塔塔型、导线参数、相序布置等，减少电磁环境影响。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6.2.3 架空输电线路经过电磁环境敏感目标时，应采取避让或增加导线对地高度等措施，减少电磁环境影响。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6.2.4 新建城市电力线路在市中心地区、高层建筑群区、市区主干路、人口密集区、繁华街道等区域应采用地下电缆，减少电磁环境影响。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eastAsia="宋体" w:cs="Times New Roman"/>
                      <w:color w:val="000000"/>
                      <w:kern w:val="0"/>
                      <w:sz w:val="21"/>
                      <w:szCs w:val="21"/>
                      <w:highlight w:val="none"/>
                      <w:lang w:val="en-US" w:eastAsia="zh-CN" w:bidi="ar-SA"/>
                    </w:rPr>
                    <w:t>6.2.5 变电工程的布置设计应考虑进出线对周围电磁环境的影响。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6.2.6 330kV及以上电压等级的输电线路出现交叉跨越或并行时，应考虑其对电磁环境敏感目标的综合影响。</w:t>
                  </w:r>
                </w:p>
              </w:tc>
              <w:tc>
                <w:tcPr>
                  <w:tcW w:w="1250"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本项目为220kV送电线路，主要跨越耕地，40m范围内没有电磁保护目标，项目在设计阶段，对产生的工频电场、工频磁场、直流合成电场等电磁环境影响因子进行验算，因地制宜选择线路型式、架设高度、杆塔塔型、导线参数、相序布置等，减少电磁环境影响，本项目线路与330kv及以上电压等级的输电线路无相交跨越或并行情况，电磁环境保护符合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5</w:t>
                  </w:r>
                </w:p>
              </w:tc>
              <w:tc>
                <w:tcPr>
                  <w:tcW w:w="411"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生态环境保护</w:t>
                  </w:r>
                </w:p>
              </w:tc>
              <w:tc>
                <w:tcPr>
                  <w:tcW w:w="2862"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6.4.1 输变电建设项目在设计过程中应按照避让、减缓、恢复的次序提出生态影响防护与恢复的措施。</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6.4.2 输电线路应因地制宜合理选择塔基基础，在山丘区应采用全方位长短腿与不等高基础设计，以减少土石方开挖。输电线路无法避让集中林区时，应采取控制导线高度设计，以减少林木砍伐，保护生态环境。</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6.4.3 输变电建设项目临时占地，应因地制宜进行土地功能恢复设计。</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6.4.4 进入自然保护区的输电线路，应根据生态现状调查结果，制定相应的保护方案。塔基定位应避让珍稀濒危物种、保护植物和保护动物的栖息地，根据保护对象的特性设计相应的生态环境保护措施、设施等。</w:t>
                  </w:r>
                </w:p>
              </w:tc>
              <w:tc>
                <w:tcPr>
                  <w:tcW w:w="1250"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highlight w:val="none"/>
                      <w:lang w:val="en-US" w:eastAsia="zh-CN" w:bidi="ar-SA"/>
                    </w:rPr>
                    <w:t>本项目为220kV输电线路，40m范围内没有电磁保护目标，并在设计阶段</w:t>
                  </w:r>
                  <w:r>
                    <w:rPr>
                      <w:rFonts w:hint="default" w:ascii="Times New Roman" w:hAnsi="Times New Roman" w:eastAsia="宋体" w:cs="Times New Roman"/>
                      <w:color w:val="000000"/>
                      <w:kern w:val="0"/>
                      <w:sz w:val="21"/>
                      <w:szCs w:val="21"/>
                      <w:lang w:val="en-US" w:eastAsia="zh-CN" w:bidi="ar-SA"/>
                    </w:rPr>
                    <w:t>因地制宜合理选择塔基基础，本项目线路主要跨越耕地，送出线路避让林区无林木砍伐</w:t>
                  </w:r>
                  <w:r>
                    <w:rPr>
                      <w:rFonts w:hint="eastAsia" w:cs="Times New Roman"/>
                      <w:color w:val="000000"/>
                      <w:kern w:val="0"/>
                      <w:sz w:val="21"/>
                      <w:szCs w:val="21"/>
                      <w:lang w:val="en-US" w:eastAsia="zh-CN" w:bidi="ar-SA"/>
                    </w:rPr>
                    <w:t>，</w:t>
                  </w:r>
                  <w:r>
                    <w:rPr>
                      <w:rFonts w:hint="default" w:ascii="Times New Roman" w:hAnsi="Times New Roman" w:eastAsia="宋体" w:cs="Times New Roman"/>
                      <w:color w:val="000000"/>
                      <w:kern w:val="0"/>
                      <w:sz w:val="21"/>
                      <w:szCs w:val="21"/>
                      <w:lang w:val="en-US" w:eastAsia="zh-CN" w:bidi="ar-SA"/>
                    </w:rPr>
                    <w:t>临时占地在施工结束后恢复原有功能。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6</w:t>
                  </w:r>
                </w:p>
              </w:tc>
              <w:tc>
                <w:tcPr>
                  <w:tcW w:w="411"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施工</w:t>
                  </w:r>
                </w:p>
              </w:tc>
              <w:tc>
                <w:tcPr>
                  <w:tcW w:w="2862"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7.1 总体要求</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7.1.1 输变电建设项目施工应落实设计文件、环境影响评价文件及其审批部门审批决定中提出的环境保护要求。设备采购和施工合同中应明确环境保护要求，环境保护措施的实施和环境保护设施的施工安装质量应符合设计和技术协议书、相关标准的要求。</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7.1.2 进入自然保护区和饮用水水源保护区等环境敏感区的输电线路，建设单位应加强施工过程的管理，开展环境保护培训，明确保护对象和保护要求，严格控制施工影响范围，确定适宜的施工季节和施工方式，减少对环境保护对象的不利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7.2 声环境保护</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7.2.1 变电工程施工过程中场界环境噪声排放应满足GB12523中的要求。</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7.2.2 在城市市区噪声敏感建筑物集中区域内，禁止夜间进行产生环境噪声污染的建筑施工作业，但抢修、抢险作业和因生产工艺上要求或者特殊需要必须连续作业的除外。夜间作业必须公告附近居民。</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7.3 生态环境保护</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7.3.1 输变电建设项目施工期临时用地应永临结合，优先利用荒地、劣地。</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7.3.2 输变电建设项目施工占用耕地、园地、林地和草地，应做好表土剥离、分类存放和回填利用。</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7.3.3 进入自然保护区的输电线路，应落实环境影响评价文件和设计阶段制定的生态环境保护方案。施工时宜采用飞艇、动力伞、无人机等展放线，索道运输、人畜运输材料等对生态环境破坏较小的施工工艺。</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7.3.4 进入自然保护区的输电线路，应对工程影响区域内的保护植物进行就地保护，设置围栏和植物保护警示牌。不能避让需异地保护时，应选择适宜的生境进行植株移栽，并确保移栽成活率。</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7.3.5 进入自然保护区的输电线路，应选择合理施工时间，避开保护动物的重要生理活动期。施工区发现有保护动物时应暂停施工，并实施保护方案。</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7.3.6 施工临时道路应尽可能利用机耕路、林区小路等现有道路，新建道路应严格控制道路宽度，以减少临时工程对生态环境的影响。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7.3.7 施工现场使用带油料的机械器具，应采取措施防止油料跑、冒、滴、漏，防止对土壤和水体造成污染。</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7.3.8 施工结束后，应及时清理施工现场，因地制宜进行土地功能恢复。</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7.4 水环境保护</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7.4.1 在饮用水水源保护区和其他水体保护区内或附近施工时，应加强管理，做好污水防治措施，确保水环境不受影响。</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7.4.2 施工期间禁止向水体排放、倾倒垃圾、弃土、弃渣，禁止排放未经处理的钻浆等废弃物。</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7.4.3 变电工程施工现场临时厕所的化粪池应进行防渗处理。</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7.5 大气环境保护</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7.5.1 施工过程中，应当加强对施工现场和物料运输的管理，在施工工地设置硬质围挡，保持道路清洁，管控料堆和渣土堆放，防治扬尘污染。</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7.5.2 施工过程中，对易起尘的临时堆土、运输过程中的土石方等应采用密闭式防尘布（网）进行苫盖，施工面集中且有条件的地方宜采取洒水降尘等有效措施，减少易造成大气污染的施工作业。</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7.5.3 施工过程中，建设单位应当对裸露地面进行覆盖；暂时不能开工的建设用地超过三个月的， 应当进行绿化、铺装或者遮盖。</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7.5.4 施工现场禁止将包装物、可燃垃圾等固体废弃物就地焚烧。</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7.5.5 位于城市规划区内的输变电建设项目，施工扬尘污染的防治还应符合HJ/T393的规定。</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7.6 固体废物处置</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7.6.1 施工过程中产生的土石方、建筑垃圾、生活垃圾应分类集中收集，并按国家和地方有关规定定期进行清运处置，施工完成后及时做好迹地清理工作。</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7.6.2 在农田和经济作物区施工时，施工临时占地宜采取隔离保护措施，施工结束后应将混凝土余料和残渣及时清除，以免影响后期土地功能的恢复。</w:t>
                  </w:r>
                </w:p>
              </w:tc>
              <w:tc>
                <w:tcPr>
                  <w:tcW w:w="1250"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highlight w:val="yellow"/>
                      <w:lang w:val="en-US" w:eastAsia="zh-CN" w:bidi="ar-SA"/>
                    </w:rPr>
                  </w:pPr>
                  <w:r>
                    <w:rPr>
                      <w:rFonts w:hint="default" w:ascii="Times New Roman" w:hAnsi="Times New Roman" w:eastAsia="宋体" w:cs="Times New Roman"/>
                      <w:color w:val="000000"/>
                      <w:kern w:val="0"/>
                      <w:sz w:val="21"/>
                      <w:szCs w:val="21"/>
                      <w:highlight w:val="none"/>
                      <w:lang w:val="en-US" w:eastAsia="zh-CN" w:bidi="ar-SA"/>
                    </w:rPr>
                    <w:t>项目</w:t>
                  </w:r>
                  <w:r>
                    <w:rPr>
                      <w:rFonts w:hint="default" w:ascii="Times New Roman" w:hAnsi="Times New Roman" w:eastAsia="宋体" w:cs="Times New Roman"/>
                      <w:color w:val="000000"/>
                      <w:kern w:val="0"/>
                      <w:sz w:val="21"/>
                      <w:szCs w:val="21"/>
                      <w:lang w:val="en-US" w:eastAsia="zh-CN" w:bidi="ar-SA"/>
                    </w:rPr>
                    <w:t>施工应落实设计文件、环境影响评价文件及其审批部门审批决定中提出的环境保护要求。</w:t>
                  </w:r>
                  <w:r>
                    <w:rPr>
                      <w:rFonts w:hint="default" w:ascii="Times New Roman" w:hAnsi="Times New Roman" w:eastAsia="宋体" w:cs="Times New Roman"/>
                      <w:color w:val="000000"/>
                      <w:kern w:val="0"/>
                      <w:sz w:val="21"/>
                      <w:szCs w:val="21"/>
                      <w:highlight w:val="none"/>
                      <w:lang w:val="en-US" w:eastAsia="zh-CN" w:bidi="ar-SA"/>
                    </w:rPr>
                    <w:t>线路不进入自然保护区和饮用水水源保护区等环境敏感区，施工期尽量利用原有道路，项目占用的土地，以协议补偿方式直接使用，在工程使用期结束后恢复原地类。建设单位在施工前将耕地表土进行剥离并妥善储存，在施工完成后对临时占地进行表土恢复。没有弃土。</w:t>
                  </w:r>
                  <w:r>
                    <w:rPr>
                      <w:rFonts w:hint="default" w:ascii="Times New Roman" w:hAnsi="Times New Roman" w:eastAsia="宋体" w:cs="Times New Roman"/>
                      <w:color w:val="000000"/>
                      <w:kern w:val="0"/>
                      <w:sz w:val="21"/>
                      <w:szCs w:val="21"/>
                      <w:lang w:val="en-US" w:eastAsia="zh-CN" w:bidi="ar-SA"/>
                    </w:rPr>
                    <w:t>施工过程中，应当加强对施工现场和物料运输的管理，在施工工地设置硬质围挡，保持道路清洁，管控料堆和渣土堆放，防治扬尘污染。施工过程中，对易起尘的临时堆土、运输过程中的土石方等应采用密闭式防尘布（网）进行苫盖，施工面集中且有条件的地方宜采取洒水降尘等有效措施，减少易造成大气污染的施工作业。</w:t>
                  </w:r>
                  <w:r>
                    <w:rPr>
                      <w:rFonts w:hint="default" w:ascii="Times New Roman" w:hAnsi="Times New Roman" w:eastAsia="宋体" w:cs="Times New Roman"/>
                      <w:color w:val="000000"/>
                      <w:kern w:val="0"/>
                      <w:sz w:val="21"/>
                      <w:szCs w:val="21"/>
                      <w:highlight w:val="none"/>
                      <w:lang w:val="en-US" w:eastAsia="zh-CN" w:bidi="ar-SA"/>
                    </w:rPr>
                    <w:t>项目在施工期采取了妥善的大气、噪声、地表水、固废处置及生态保护措施，防止对周边环境造成影响。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7</w:t>
                  </w:r>
                </w:p>
              </w:tc>
              <w:tc>
                <w:tcPr>
                  <w:tcW w:w="411" w:type="pct"/>
                  <w:tcBorders>
                    <w:tl2br w:val="nil"/>
                    <w:tr2bl w:val="nil"/>
                  </w:tcBorders>
                  <w:noWrap w:val="0"/>
                  <w:vAlign w:val="center"/>
                </w:tcPr>
                <w:p>
                  <w:pPr>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运行</w:t>
                  </w:r>
                </w:p>
              </w:tc>
              <w:tc>
                <w:tcPr>
                  <w:tcW w:w="2862" w:type="pct"/>
                  <w:tcBorders>
                    <w:tl2br w:val="nil"/>
                    <w:tr2bl w:val="nil"/>
                  </w:tcBorders>
                  <w:noWrap w:val="0"/>
                  <w:vAlign w:val="center"/>
                </w:tcPr>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8.1 运行期做好环境保护设施的维护和运行管理，加强巡查和检查，保障发挥环境保护作用。定期开展环境监测，确保电磁、噪声、废水排放符合GB8702、GB12348、GB8978等国家标准要求，并及时解决公众合理的环境保护诉求。</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8.2 鼓励位于城市中心区域的变电站开展电磁和声环境在线监测，监测结果以方便公众知晓的方式予以公开。</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8.3 主要声源设备大修前后，应对变电工程厂界排放噪声和周围声环境敏感目标环境噪声进行监测，监测结果向社会公开。</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zh-CN" w:eastAsia="zh-CN" w:bidi="ar-SA"/>
                    </w:rPr>
                  </w:pPr>
                  <w:r>
                    <w:rPr>
                      <w:rFonts w:hint="default" w:ascii="Times New Roman" w:hAnsi="Times New Roman" w:eastAsia="宋体" w:cs="Times New Roman"/>
                      <w:color w:val="000000"/>
                      <w:kern w:val="0"/>
                      <w:sz w:val="21"/>
                      <w:szCs w:val="21"/>
                      <w:lang w:val="en-US" w:eastAsia="zh-CN" w:bidi="ar-SA"/>
                    </w:rPr>
                    <w:t>8.4 运行期应对事故油池的完好情况进行检查，确保无渗漏、无溢流。</w:t>
                  </w:r>
                </w:p>
                <w:p>
                  <w:pPr>
                    <w:spacing w:line="240" w:lineRule="auto"/>
                    <w:ind w:left="0" w:leftChars="0" w:firstLine="0" w:firstLineChars="0"/>
                    <w:jc w:val="left"/>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8.5 变电工程运行过程中产生的变压器油、高抗油等矿物油应进行回收处理。废矿物油和废铅酸蓄电池作为危险废物应交由有资质的单位回收处理，严禁随意丢弃。不能立即回收处理的应暂存在危险废物暂存间或暂存区。</w:t>
                  </w:r>
                </w:p>
              </w:tc>
              <w:tc>
                <w:tcPr>
                  <w:tcW w:w="1250" w:type="pct"/>
                  <w:tcBorders>
                    <w:tl2br w:val="nil"/>
                    <w:tr2bl w:val="nil"/>
                  </w:tcBorders>
                  <w:noWrap w:val="0"/>
                  <w:vAlign w:val="center"/>
                </w:tcPr>
                <w:p>
                  <w:pPr>
                    <w:pStyle w:val="7"/>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highlight w:val="none"/>
                      <w:lang w:val="en-US" w:eastAsia="zh-CN" w:bidi="ar-SA"/>
                    </w:rPr>
                    <w:t>项目本次仅对</w:t>
                  </w:r>
                  <w:r>
                    <w:rPr>
                      <w:rFonts w:hint="eastAsia" w:ascii="Times New Roman" w:hAnsi="Times New Roman" w:cs="Times New Roman"/>
                      <w:color w:val="000000"/>
                      <w:kern w:val="0"/>
                      <w:sz w:val="21"/>
                      <w:szCs w:val="21"/>
                      <w:highlight w:val="none"/>
                      <w:lang w:val="en-US" w:eastAsia="zh-CN" w:bidi="ar-SA"/>
                    </w:rPr>
                    <w:t>太保变</w:t>
                  </w:r>
                  <w:r>
                    <w:rPr>
                      <w:rFonts w:hint="default" w:ascii="Times New Roman" w:hAnsi="Times New Roman" w:eastAsia="宋体" w:cs="Times New Roman"/>
                      <w:color w:val="000000"/>
                      <w:kern w:val="0"/>
                      <w:sz w:val="21"/>
                      <w:szCs w:val="21"/>
                      <w:highlight w:val="none"/>
                      <w:lang w:val="en-US" w:eastAsia="zh-CN" w:bidi="ar-SA"/>
                    </w:rPr>
                    <w:t>进行间隔扩建</w:t>
                  </w:r>
                  <w:r>
                    <w:rPr>
                      <w:rFonts w:hint="eastAsia" w:cs="Times New Roman"/>
                      <w:color w:val="000000"/>
                      <w:kern w:val="0"/>
                      <w:sz w:val="21"/>
                      <w:szCs w:val="21"/>
                      <w:highlight w:val="none"/>
                      <w:lang w:val="en-US" w:eastAsia="zh-CN" w:bidi="ar-SA"/>
                    </w:rPr>
                    <w:t>及</w:t>
                  </w:r>
                  <w:r>
                    <w:rPr>
                      <w:rFonts w:hint="default" w:ascii="Times New Roman" w:hAnsi="Times New Roman" w:eastAsia="宋体" w:cs="Times New Roman"/>
                      <w:color w:val="000000"/>
                      <w:kern w:val="0"/>
                      <w:sz w:val="21"/>
                      <w:szCs w:val="21"/>
                      <w:highlight w:val="none"/>
                      <w:lang w:val="en-US" w:eastAsia="zh-CN" w:bidi="ar-SA"/>
                    </w:rPr>
                    <w:t>线路建设，</w:t>
                  </w:r>
                  <w:r>
                    <w:rPr>
                      <w:rFonts w:hint="default" w:ascii="Times New Roman" w:hAnsi="Times New Roman" w:eastAsia="宋体" w:cs="Times New Roman"/>
                      <w:color w:val="000000"/>
                      <w:kern w:val="0"/>
                      <w:sz w:val="21"/>
                      <w:szCs w:val="21"/>
                      <w:lang w:val="en-US" w:eastAsia="zh-CN" w:bidi="ar-SA"/>
                    </w:rPr>
                    <w:t>不涉及变压器油、高抗油等矿物油</w:t>
                  </w:r>
                  <w:r>
                    <w:rPr>
                      <w:rFonts w:hint="eastAsia" w:cs="Times New Roman"/>
                      <w:color w:val="000000"/>
                      <w:kern w:val="0"/>
                      <w:sz w:val="21"/>
                      <w:szCs w:val="21"/>
                      <w:lang w:val="en-US" w:eastAsia="zh-CN" w:bidi="ar-SA"/>
                    </w:rPr>
                    <w:t>及</w:t>
                  </w:r>
                  <w:r>
                    <w:rPr>
                      <w:rFonts w:hint="default" w:ascii="Times New Roman" w:hAnsi="Times New Roman" w:eastAsia="宋体" w:cs="Times New Roman"/>
                      <w:color w:val="000000"/>
                      <w:kern w:val="0"/>
                      <w:sz w:val="21"/>
                      <w:szCs w:val="21"/>
                      <w:lang w:val="en-US" w:eastAsia="zh-CN" w:bidi="ar-SA"/>
                    </w:rPr>
                    <w:t>废矿物油和废铅酸蓄电池等危险废物。本项目运营期做好环境保护设施的维护和运行管理，加强巡查和检查，保障发挥环境保护作用。定期开展环境监测，确保电磁、噪声、废水排放符合GB8702、GB12348、GB8978等国家标准要求，并及时解决公众合理的环境保护诉求设置专人对设备和环境保护措施进行检修及维护；定期进行环境监测。</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eastAsia" w:cs="Times New Roman"/>
                <w:color w:val="000000" w:themeColor="text1"/>
                <w:kern w:val="0"/>
                <w:sz w:val="24"/>
                <w:szCs w:val="24"/>
                <w:highlight w:val="none"/>
                <w:lang w:val="en-US" w:eastAsia="zh-CN"/>
                <w14:textFill>
                  <w14:solidFill>
                    <w14:schemeClr w14:val="tx1"/>
                  </w14:solidFill>
                </w14:textFill>
              </w:rPr>
              <w:t>12、“生态环境分区管控”符合性分析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eastAsia" w:cs="Times New Roman"/>
                <w:color w:val="000000" w:themeColor="text1"/>
                <w:kern w:val="0"/>
                <w:sz w:val="24"/>
                <w:szCs w:val="24"/>
                <w:lang w:val="en-US" w:eastAsia="zh-CN"/>
                <w14:textFill>
                  <w14:solidFill>
                    <w14:schemeClr w14:val="tx1"/>
                  </w14:solidFill>
                </w14:textFill>
              </w:rPr>
              <w:t>本项目位于黑龙江省双鸭山市集贤县和双鸭山市四方台区境内，根据《黑龙江省人民政府关于实施“三线一单”生态环境分区管控的意见》（黑政发〔2020〕14号）和《双鸭山市人民政府关于实施“三线一单”生态环境分区管控的意见》（双政规〔2021〕2号），</w:t>
            </w:r>
            <w:r>
              <w:rPr>
                <w:rFonts w:hint="eastAsia" w:ascii="宋体" w:hAnsi="宋体" w:eastAsia="宋体" w:cs="宋体"/>
                <w:bCs/>
                <w:color w:val="000000" w:themeColor="text1"/>
                <w:spacing w:val="0"/>
                <w:w w:val="100"/>
                <w:position w:val="0"/>
                <w:sz w:val="24"/>
                <w:szCs w:val="24"/>
                <w:highlight w:val="none"/>
                <w:lang w:val="en-US" w:eastAsia="zh-CN"/>
                <w14:textFill>
                  <w14:solidFill>
                    <w14:schemeClr w14:val="tx1"/>
                  </w14:solidFill>
                </w14:textFill>
              </w:rPr>
              <w:t>本项目位于重点管控区和一般管控区，重点管控单元管控要求为：重点管控单元突出污染物排放控制和环境风险防控，按照差别化的生态环境准入要求，优化空间和产业布局，不断提升资源利用效率，强化环境质量改善目标约束，解决局部生态环境质量不达标、生态环境风险高的问题；一般管控单元管控要求为：以生态环境保护与适度开发相结合为主，落实生态环境管控相关要求，重点加强农业、生活等领域污染治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宋体" w:hAnsi="宋体" w:eastAsia="宋体" w:cs="宋体"/>
                <w:smallCaps w:val="0"/>
                <w:color w:val="000000" w:themeColor="text1"/>
                <w:spacing w:val="0"/>
                <w:w w:val="100"/>
                <w:position w:val="0"/>
                <w:szCs w:val="24"/>
                <w:highlight w:val="lightGray"/>
                <w:lang w:eastAsia="zh-CN"/>
                <w14:textFill>
                  <w14:solidFill>
                    <w14:schemeClr w14:val="tx1"/>
                  </w14:solidFill>
                </w14:textFill>
              </w:rPr>
            </w:pPr>
            <w:r>
              <w:rPr>
                <w:rFonts w:hint="default" w:ascii="Times New Roman" w:hAnsi="Times New Roman" w:eastAsia="宋体" w:cs="Times New Roman"/>
                <w:bCs/>
                <w:color w:val="000000" w:themeColor="text1"/>
                <w:spacing w:val="0"/>
                <w:w w:val="100"/>
                <w:position w:val="0"/>
                <w:sz w:val="24"/>
                <w:szCs w:val="24"/>
                <w:highlight w:val="none"/>
                <w:lang w:val="en-US" w:eastAsia="zh-CN"/>
                <w14:textFill>
                  <w14:solidFill>
                    <w14:schemeClr w14:val="tx1"/>
                  </w14:solidFill>
                </w14:textFill>
              </w:rPr>
              <w:t>根据《双鸭山市生态环境准入清单》（2022年更新版）、《</w:t>
            </w:r>
            <w:r>
              <w:rPr>
                <w:rFonts w:hint="default" w:ascii="Times New Roman" w:hAnsi="Times New Roman" w:eastAsia="宋体" w:cs="Times New Roman"/>
                <w:color w:val="000000" w:themeColor="text1"/>
                <w:sz w:val="24"/>
                <w:szCs w:val="24"/>
                <w14:textFill>
                  <w14:solidFill>
                    <w14:schemeClr w14:val="tx1"/>
                  </w14:solidFill>
                </w14:textFill>
              </w:rPr>
              <w:t>龙煤双鸭山集贤200MW风力发电项目接网工程</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项目</w:t>
            </w:r>
            <w:r>
              <w:rPr>
                <w:rFonts w:hint="default" w:ascii="Times New Roman" w:hAnsi="Times New Roman" w:eastAsia="宋体" w:cs="Times New Roman"/>
                <w:color w:val="000000" w:themeColor="text1"/>
                <w:spacing w:val="0"/>
                <w:w w:val="100"/>
                <w:position w:val="0"/>
                <w:sz w:val="24"/>
                <w:szCs w:val="24"/>
                <w:highlight w:val="none"/>
                <w:lang w:val="en-US" w:eastAsia="zh-CN"/>
                <w14:textFill>
                  <w14:solidFill>
                    <w14:schemeClr w14:val="tx1"/>
                  </w14:solidFill>
                </w14:textFill>
              </w:rPr>
              <w:t>生态环境分区管控分析报告</w:t>
            </w:r>
            <w:r>
              <w:rPr>
                <w:rFonts w:hint="default" w:ascii="Times New Roman" w:hAnsi="Times New Roman" w:eastAsia="宋体" w:cs="Times New Roman"/>
                <w:bCs/>
                <w:color w:val="000000" w:themeColor="text1"/>
                <w:spacing w:val="0"/>
                <w:w w:val="100"/>
                <w:position w:val="0"/>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eastAsia="zh-CN"/>
                <w14:textFill>
                  <w14:solidFill>
                    <w14:schemeClr w14:val="tx1"/>
                  </w14:solidFill>
                </w14:textFill>
              </w:rPr>
              <w:t>本项目符合性情况如下：</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eastAsia" w:ascii="Times New Roman" w:hAnsi="Times New Roman" w:eastAsia="宋体" w:cs="Times New Roman"/>
                <w:color w:val="000000"/>
                <w:sz w:val="24"/>
                <w:szCs w:val="24"/>
                <w:lang w:eastAsia="zh-CN"/>
              </w:rPr>
            </w:pPr>
            <w:r>
              <w:drawing>
                <wp:inline distT="0" distB="0" distL="114300" distR="114300">
                  <wp:extent cx="4285615" cy="2169160"/>
                  <wp:effectExtent l="0" t="0" r="635" b="254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10"/>
                          <a:stretch>
                            <a:fillRect/>
                          </a:stretch>
                        </pic:blipFill>
                        <pic:spPr>
                          <a:xfrm>
                            <a:off x="0" y="0"/>
                            <a:ext cx="4285615" cy="2169160"/>
                          </a:xfrm>
                          <a:prstGeom prst="rect">
                            <a:avLst/>
                          </a:prstGeom>
                          <a:noFill/>
                          <a:ln>
                            <a:noFill/>
                          </a:ln>
                        </pic:spPr>
                      </pic:pic>
                    </a:graphicData>
                  </a:graphic>
                </wp:inline>
              </w:drawing>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图1-</w:t>
            </w:r>
            <w:r>
              <w:rPr>
                <w:rFonts w:hint="eastAsia" w:ascii="Times New Roman" w:hAnsi="Times New Roman" w:eastAsia="宋体" w:cs="Times New Roman"/>
                <w:b/>
                <w:bCs/>
                <w:color w:val="000000" w:themeColor="text1"/>
                <w:kern w:val="2"/>
                <w:sz w:val="21"/>
                <w:szCs w:val="21"/>
                <w:lang w:val="en-US" w:eastAsia="zh-CN" w:bidi="ar-SA"/>
                <w14:textFill>
                  <w14:solidFill>
                    <w14:schemeClr w14:val="tx1"/>
                  </w14:solidFill>
                </w14:textFill>
              </w:rPr>
              <w:t>2</w:t>
            </w: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龙煤双鸭山集贤200MW风力发电项目接网工程项目</w:t>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与环境管控单元叠加图</w:t>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表1-2  本项目与地下水环境管控区相交情况符合性分析</w:t>
            </w:r>
          </w:p>
          <w:tbl>
            <w:tblPr>
              <w:tblStyle w:val="2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3"/>
              <w:gridCol w:w="651"/>
              <w:gridCol w:w="50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环境管控单元名称</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集贤县地下水环境二级管控区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环境管控单元编码</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val="en-US" w:eastAsia="zh-CN"/>
                    </w:rPr>
                    <w:t>YS2305216220002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所属地市</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双鸭山市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所属区县</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集贤县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管控单元类别</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rPr>
                  </w:pPr>
                  <w:r>
                    <w:rPr>
                      <w:rFonts w:hint="eastAsia" w:ascii="宋体" w:hAnsi="宋体" w:eastAsia="宋体" w:cs="宋体"/>
                      <w:color w:val="auto"/>
                      <w:spacing w:val="0"/>
                      <w:w w:val="100"/>
                      <w:position w:val="0"/>
                      <w:sz w:val="21"/>
                      <w:szCs w:val="21"/>
                      <w:highlight w:val="none"/>
                      <w:lang w:val="en-US" w:eastAsia="zh-CN"/>
                    </w:rPr>
                    <w:t>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管控要求</w:t>
                  </w:r>
                </w:p>
              </w:tc>
              <w:tc>
                <w:tcPr>
                  <w:tcW w:w="480" w:type="pct"/>
                  <w:vMerge w:val="restar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空间布局约束</w:t>
                  </w:r>
                </w:p>
              </w:tc>
              <w:tc>
                <w:tcPr>
                  <w:tcW w:w="3728" w:type="pct"/>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80" w:lineRule="atLeast"/>
                    <w:ind w:right="0" w:rightChars="0"/>
                    <w:textAlignment w:val="auto"/>
                    <w:outlineLvl w:val="9"/>
                    <w:rPr>
                      <w:rFonts w:hint="default" w:ascii="Times New Roman" w:hAnsi="Times New Roman" w:eastAsia="宋体" w:cs="Times New Roman"/>
                      <w:color w:val="auto"/>
                      <w:spacing w:val="0"/>
                      <w:w w:val="100"/>
                      <w:position w:val="0"/>
                      <w:sz w:val="21"/>
                      <w:szCs w:val="21"/>
                      <w:highlight w:val="none"/>
                      <w:lang w:val="zh-CN" w:eastAsia="zh-CN"/>
                    </w:rPr>
                  </w:pPr>
                  <w:r>
                    <w:rPr>
                      <w:rFonts w:hint="default" w:ascii="Times New Roman" w:hAnsi="Times New Roman" w:eastAsia="宋体" w:cs="Times New Roman"/>
                      <w:color w:val="auto"/>
                      <w:spacing w:val="0"/>
                      <w:w w:val="100"/>
                      <w:position w:val="0"/>
                      <w:sz w:val="21"/>
                      <w:szCs w:val="21"/>
                      <w:highlight w:val="none"/>
                      <w:lang w:val="en-US" w:eastAsia="zh-CN"/>
                    </w:rPr>
                    <w:t>1.</w:t>
                  </w:r>
                  <w:r>
                    <w:rPr>
                      <w:rFonts w:hint="default" w:ascii="Times New Roman" w:hAnsi="Times New Roman" w:eastAsia="宋体" w:cs="Times New Roman"/>
                      <w:color w:val="auto"/>
                      <w:spacing w:val="0"/>
                      <w:w w:val="100"/>
                      <w:position w:val="0"/>
                      <w:sz w:val="21"/>
                      <w:szCs w:val="21"/>
                      <w:highlight w:val="none"/>
                      <w:lang w:val="zh-CN" w:eastAsia="zh-CN"/>
                    </w:rPr>
                    <w:t>严格建设项目土壤环境影响评价制度。对涉及有毒有害物质可能造成土壤污染的新（改、扩）建项目，依法进行环境影响评价，提出并落实防腐蚀、防渗漏、防遗撒等土壤污染防治具体措施。</w:t>
                  </w:r>
                </w:p>
                <w:p>
                  <w:pPr>
                    <w:keepNext w:val="0"/>
                    <w:keepLines w:val="0"/>
                    <w:pageBreakBefore w:val="0"/>
                    <w:widowControl w:val="0"/>
                    <w:numPr>
                      <w:ilvl w:val="0"/>
                      <w:numId w:val="0"/>
                    </w:numPr>
                    <w:kinsoku/>
                    <w:wordWrap/>
                    <w:overflowPunct/>
                    <w:topLinePunct w:val="0"/>
                    <w:autoSpaceDE/>
                    <w:autoSpaceDN/>
                    <w:bidi w:val="0"/>
                    <w:adjustRightInd w:val="0"/>
                    <w:snapToGrid w:val="0"/>
                    <w:spacing w:line="280" w:lineRule="atLeast"/>
                    <w:ind w:leftChars="0" w:right="0" w:rightChars="0"/>
                    <w:textAlignment w:val="auto"/>
                    <w:outlineLvl w:val="9"/>
                    <w:rPr>
                      <w:rFonts w:hint="default" w:ascii="Times New Roman" w:hAnsi="Times New Roman" w:eastAsia="宋体" w:cs="Times New Roman"/>
                      <w:color w:val="auto"/>
                      <w:spacing w:val="0"/>
                      <w:w w:val="100"/>
                      <w:position w:val="0"/>
                      <w:sz w:val="21"/>
                      <w:szCs w:val="21"/>
                      <w:highlight w:val="none"/>
                      <w:lang w:val="zh-CN" w:eastAsia="zh-CN"/>
                    </w:rPr>
                  </w:pPr>
                  <w:r>
                    <w:rPr>
                      <w:rFonts w:hint="default" w:ascii="Times New Roman" w:hAnsi="Times New Roman" w:eastAsia="宋体" w:cs="Times New Roman"/>
                      <w:color w:val="auto"/>
                      <w:spacing w:val="0"/>
                      <w:w w:val="100"/>
                      <w:position w:val="0"/>
                      <w:sz w:val="21"/>
                      <w:szCs w:val="21"/>
                      <w:highlight w:val="none"/>
                      <w:lang w:val="en-US" w:eastAsia="zh-CN"/>
                    </w:rPr>
                    <w:t>2.</w:t>
                  </w:r>
                  <w:r>
                    <w:rPr>
                      <w:rFonts w:hint="default" w:ascii="Times New Roman" w:hAnsi="Times New Roman" w:eastAsia="宋体" w:cs="Times New Roman"/>
                      <w:color w:val="auto"/>
                      <w:spacing w:val="0"/>
                      <w:w w:val="100"/>
                      <w:position w:val="0"/>
                      <w:sz w:val="21"/>
                      <w:szCs w:val="21"/>
                      <w:highlight w:val="none"/>
                      <w:lang w:val="zh-CN" w:eastAsia="zh-CN"/>
                    </w:rPr>
                    <w:t>合理规划污染地块用途，从严管控农药、化工等行业中的重度污染地块规划用途，确需开发利用的，鼓励用于拓展生态空间。</w:t>
                  </w:r>
                </w:p>
                <w:p>
                  <w:pPr>
                    <w:keepNext w:val="0"/>
                    <w:keepLines w:val="0"/>
                    <w:pageBreakBefore w:val="0"/>
                    <w:widowControl w:val="0"/>
                    <w:numPr>
                      <w:ilvl w:val="0"/>
                      <w:numId w:val="0"/>
                    </w:numPr>
                    <w:kinsoku/>
                    <w:wordWrap/>
                    <w:overflowPunct/>
                    <w:topLinePunct w:val="0"/>
                    <w:autoSpaceDE/>
                    <w:autoSpaceDN/>
                    <w:bidi w:val="0"/>
                    <w:adjustRightInd w:val="0"/>
                    <w:snapToGrid w:val="0"/>
                    <w:spacing w:line="280" w:lineRule="atLeast"/>
                    <w:ind w:leftChars="0" w:right="0" w:rightChars="0"/>
                    <w:textAlignment w:val="auto"/>
                    <w:outlineLvl w:val="9"/>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val="zh-CN" w:eastAsia="zh-CN"/>
                    </w:rPr>
                    <w:t>3.污染地块未经治理与修复，或者经治理与修复但未达到相关规划用地土壤环境质量要求的，有关环境保护主管部门不予批准选址涉及该污染地块的建设项目环境影响报告书或者报告表。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80" w:type="pct"/>
                  <w:vMerge w:val="continue"/>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p>
              </w:tc>
              <w:tc>
                <w:tcPr>
                  <w:tcW w:w="3728" w:type="pct"/>
                  <w:vAlign w:val="center"/>
                </w:tcPr>
                <w:p>
                  <w:pPr>
                    <w:keepNext w:val="0"/>
                    <w:keepLines w:val="0"/>
                    <w:pageBreakBefore w:val="0"/>
                    <w:widowControl w:val="0"/>
                    <w:kinsoku/>
                    <w:wordWrap/>
                    <w:overflowPunct/>
                    <w:topLinePunct w:val="0"/>
                    <w:autoSpaceDE/>
                    <w:autoSpaceDN/>
                    <w:bidi w:val="0"/>
                    <w:adjustRightInd w:val="0"/>
                    <w:snapToGrid w:val="0"/>
                    <w:ind w:right="0"/>
                    <w:jc w:val="left"/>
                    <w:textAlignment w:val="auto"/>
                    <w:outlineLvl w:val="9"/>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本项目为</w:t>
                  </w:r>
                  <w:r>
                    <w:rPr>
                      <w:rFonts w:hint="eastAsia" w:ascii="宋体" w:hAnsi="宋体" w:eastAsia="宋体" w:cs="宋体"/>
                      <w:color w:val="auto"/>
                      <w:spacing w:val="0"/>
                      <w:w w:val="100"/>
                      <w:position w:val="0"/>
                      <w:sz w:val="21"/>
                      <w:szCs w:val="21"/>
                      <w:highlight w:val="none"/>
                      <w:lang w:val="en-US" w:eastAsia="zh-CN"/>
                    </w:rPr>
                    <w:t>风力发电项目配套输变电工程</w:t>
                  </w:r>
                  <w:r>
                    <w:rPr>
                      <w:rFonts w:hint="default" w:ascii="Times New Roman" w:hAnsi="Times New Roman" w:eastAsia="宋体" w:cs="Times New Roman"/>
                      <w:color w:val="auto"/>
                      <w:spacing w:val="0"/>
                      <w:w w:val="100"/>
                      <w:position w:val="0"/>
                      <w:sz w:val="21"/>
                      <w:szCs w:val="21"/>
                      <w:highlight w:val="none"/>
                      <w:lang w:val="en-US" w:eastAsia="zh-CN"/>
                    </w:rPr>
                    <w:t>，不涉及有毒有害物质，不涉及</w:t>
                  </w:r>
                  <w:r>
                    <w:rPr>
                      <w:rFonts w:hint="default" w:ascii="Times New Roman" w:hAnsi="Times New Roman" w:eastAsia="宋体" w:cs="Times New Roman"/>
                      <w:color w:val="auto"/>
                      <w:spacing w:val="0"/>
                      <w:w w:val="100"/>
                      <w:position w:val="0"/>
                      <w:sz w:val="21"/>
                      <w:szCs w:val="21"/>
                      <w:highlight w:val="none"/>
                      <w:lang w:val="zh-CN" w:eastAsia="zh-CN"/>
                    </w:rPr>
                    <w:t>重度污染地块</w:t>
                  </w:r>
                  <w:r>
                    <w:rPr>
                      <w:rFonts w:hint="default" w:ascii="Times New Roman" w:hAnsi="Times New Roman" w:eastAsia="宋体" w:cs="Times New Roman"/>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79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80" w:type="pct"/>
                  <w:vMerge w:val="restar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环境风险防控</w:t>
                  </w:r>
                </w:p>
              </w:tc>
              <w:tc>
                <w:tcPr>
                  <w:tcW w:w="3728" w:type="pct"/>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ind w:right="0" w:rightChars="0"/>
                    <w:jc w:val="left"/>
                    <w:textAlignment w:val="auto"/>
                    <w:outlineLvl w:val="9"/>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1.化学品生产企业以及工业集聚区、矿山开采区、尾矿库、危险废物处置场、垃圾填埋场等的运营、管理单位，应当采取防渗漏等措施，并建设地下水水质监测井进行监测，防止地下水污染。</w:t>
                  </w:r>
                </w:p>
                <w:p>
                  <w:pPr>
                    <w:keepNext w:val="0"/>
                    <w:keepLines w:val="0"/>
                    <w:pageBreakBefore w:val="0"/>
                    <w:widowControl w:val="0"/>
                    <w:numPr>
                      <w:ilvl w:val="0"/>
                      <w:numId w:val="0"/>
                    </w:numPr>
                    <w:kinsoku/>
                    <w:wordWrap/>
                    <w:overflowPunct/>
                    <w:topLinePunct w:val="0"/>
                    <w:autoSpaceDE/>
                    <w:autoSpaceDN/>
                    <w:bidi w:val="0"/>
                    <w:adjustRightInd w:val="0"/>
                    <w:snapToGrid w:val="0"/>
                    <w:ind w:right="0" w:rightChars="0"/>
                    <w:jc w:val="left"/>
                    <w:textAlignment w:val="auto"/>
                    <w:outlineLvl w:val="9"/>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val="en-US" w:eastAsia="zh-CN"/>
                    </w:rPr>
                    <w:t>2.指导地下水污染防治重点排污单位优先开展地下水污染渗漏排查，针对存在问题的设施，采取污染防渗改造措施。</w:t>
                  </w:r>
                </w:p>
                <w:p>
                  <w:pPr>
                    <w:keepNext w:val="0"/>
                    <w:keepLines w:val="0"/>
                    <w:pageBreakBefore w:val="0"/>
                    <w:widowControl w:val="0"/>
                    <w:numPr>
                      <w:ilvl w:val="0"/>
                      <w:numId w:val="0"/>
                    </w:numPr>
                    <w:kinsoku/>
                    <w:wordWrap/>
                    <w:overflowPunct/>
                    <w:topLinePunct w:val="0"/>
                    <w:autoSpaceDE/>
                    <w:autoSpaceDN/>
                    <w:bidi w:val="0"/>
                    <w:adjustRightInd w:val="0"/>
                    <w:snapToGrid w:val="0"/>
                    <w:ind w:right="0" w:rightChars="0"/>
                    <w:jc w:val="left"/>
                    <w:textAlignment w:val="auto"/>
                    <w:outlineLvl w:val="9"/>
                    <w:rPr>
                      <w:rFonts w:hint="eastAsia" w:ascii="宋体" w:hAnsi="宋体" w:eastAsia="宋体" w:cs="宋体"/>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val="en-US" w:eastAsia="zh-CN"/>
                    </w:rPr>
                    <w:t>3.重点单位在隐患排查、监测等活动中发现工矿用地土壤和地下水存在污染迹象的，应当排查污染源，查明污染原因，采取措施防止新增污染，并参照污染地块土壤环境管理有关规定及时开展土壤和地下水环境调查与风险评估，根据调查与风险评估结果采取风险管控或者治理与修复等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80" w:type="pct"/>
                  <w:vMerge w:val="continue"/>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p>
              </w:tc>
              <w:tc>
                <w:tcPr>
                  <w:tcW w:w="3728" w:type="pct"/>
                  <w:vAlign w:val="center"/>
                </w:tcPr>
                <w:p>
                  <w:pPr>
                    <w:keepNext w:val="0"/>
                    <w:keepLines w:val="0"/>
                    <w:pageBreakBefore w:val="0"/>
                    <w:widowControl w:val="0"/>
                    <w:kinsoku/>
                    <w:wordWrap/>
                    <w:overflowPunct/>
                    <w:topLinePunct w:val="0"/>
                    <w:autoSpaceDE/>
                    <w:autoSpaceDN/>
                    <w:bidi w:val="0"/>
                    <w:adjustRightInd w:val="0"/>
                    <w:snapToGrid w:val="0"/>
                    <w:ind w:right="0"/>
                    <w:jc w:val="left"/>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本项目为风力发电项目配套输变电工程，不涉及化学品生产，不属于污染类项目，不涉及重点排污，符合要求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jc w:val="center"/>
              </w:trPr>
              <w:tc>
                <w:tcPr>
                  <w:tcW w:w="79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管控要求</w:t>
                  </w:r>
                </w:p>
              </w:tc>
              <w:tc>
                <w:tcPr>
                  <w:tcW w:w="480" w:type="pct"/>
                  <w:vMerge w:val="restar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污染物排放管控</w:t>
                  </w:r>
                </w:p>
              </w:tc>
              <w:tc>
                <w:tcPr>
                  <w:tcW w:w="3728" w:type="pct"/>
                  <w:vAlign w:val="center"/>
                </w:tcPr>
                <w:p>
                  <w:pPr>
                    <w:keepNext w:val="0"/>
                    <w:keepLines w:val="0"/>
                    <w:pageBreakBefore w:val="0"/>
                    <w:widowControl w:val="0"/>
                    <w:kinsoku/>
                    <w:wordWrap/>
                    <w:overflowPunct/>
                    <w:topLinePunct w:val="0"/>
                    <w:autoSpaceDE/>
                    <w:autoSpaceDN/>
                    <w:bidi w:val="0"/>
                    <w:adjustRightInd w:val="0"/>
                    <w:snapToGrid w:val="0"/>
                    <w:ind w:right="0"/>
                    <w:jc w:val="left"/>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新建、扩建“两高”项目应采用先进适用的工艺技术和装备，单位产品物耗、能耗、水耗等达到清洁生产先进水平，依法制定并严格落实防治地下水污染的措施。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80" w:type="pct"/>
                  <w:vMerge w:val="continue"/>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p>
              </w:tc>
              <w:tc>
                <w:tcPr>
                  <w:tcW w:w="3728" w:type="pct"/>
                  <w:vAlign w:val="center"/>
                </w:tcPr>
                <w:p>
                  <w:pPr>
                    <w:keepNext w:val="0"/>
                    <w:keepLines w:val="0"/>
                    <w:pageBreakBefore w:val="0"/>
                    <w:widowControl w:val="0"/>
                    <w:kinsoku/>
                    <w:wordWrap/>
                    <w:overflowPunct/>
                    <w:topLinePunct w:val="0"/>
                    <w:autoSpaceDE/>
                    <w:autoSpaceDN/>
                    <w:bidi w:val="0"/>
                    <w:adjustRightInd w:val="0"/>
                    <w:snapToGrid w:val="0"/>
                    <w:ind w:right="0"/>
                    <w:jc w:val="left"/>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本项目为风力发电项目配套输变电工程，不涉及“两高”项目，符合要求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环境管控单元名称</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kern w:val="0"/>
                      <w:position w:val="0"/>
                      <w:sz w:val="21"/>
                      <w:szCs w:val="21"/>
                      <w:highlight w:val="none"/>
                      <w:lang w:val="en-US" w:eastAsia="zh-CN"/>
                    </w:rPr>
                    <w:t>四方台区地下水环境二级管控区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环境管控单元编码</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lang w:val="en-US" w:eastAsia="zh-CN"/>
                    </w:rPr>
                    <w:t>YS2305056220002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所属地市</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双鸭山市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所属区县</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rPr>
                  </w:pPr>
                  <w:r>
                    <w:rPr>
                      <w:rFonts w:hint="eastAsia" w:ascii="宋体" w:hAnsi="宋体" w:eastAsia="宋体" w:cs="宋体"/>
                      <w:color w:val="auto"/>
                      <w:spacing w:val="0"/>
                      <w:w w:val="100"/>
                      <w:position w:val="0"/>
                      <w:sz w:val="21"/>
                      <w:szCs w:val="21"/>
                      <w:highlight w:val="none"/>
                      <w:lang w:val="en-US" w:eastAsia="zh-CN"/>
                    </w:rPr>
                    <w:t>四方台区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管控单元类别</w:t>
                  </w:r>
                </w:p>
              </w:tc>
              <w:tc>
                <w:tcPr>
                  <w:tcW w:w="4208" w:type="pct"/>
                  <w:gridSpan w:val="2"/>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eastAsia="zh-CN"/>
                    </w:rPr>
                  </w:pPr>
                  <w:r>
                    <w:rPr>
                      <w:rFonts w:hint="eastAsia" w:ascii="宋体" w:hAnsi="宋体" w:eastAsia="宋体" w:cs="宋体"/>
                      <w:color w:val="auto"/>
                      <w:spacing w:val="0"/>
                      <w:w w:val="100"/>
                      <w:position w:val="0"/>
                      <w:sz w:val="21"/>
                      <w:szCs w:val="21"/>
                      <w:highlight w:val="none"/>
                      <w:lang w:val="en-US" w:eastAsia="zh-CN"/>
                    </w:rPr>
                    <w:t>重点</w:t>
                  </w:r>
                  <w:r>
                    <w:rPr>
                      <w:rFonts w:hint="eastAsia" w:ascii="宋体" w:hAnsi="宋体" w:eastAsia="宋体" w:cs="宋体"/>
                      <w:color w:val="auto"/>
                      <w:spacing w:val="0"/>
                      <w:w w:val="100"/>
                      <w:position w:val="0"/>
                      <w:sz w:val="21"/>
                      <w:szCs w:val="21"/>
                      <w:highlight w:val="none"/>
                    </w:rPr>
                    <w:t>管控</w:t>
                  </w:r>
                  <w:r>
                    <w:rPr>
                      <w:rFonts w:hint="eastAsia" w:ascii="宋体" w:hAnsi="宋体" w:eastAsia="宋体" w:cs="宋体"/>
                      <w:color w:val="auto"/>
                      <w:spacing w:val="0"/>
                      <w:w w:val="100"/>
                      <w:position w:val="0"/>
                      <w:sz w:val="21"/>
                      <w:szCs w:val="21"/>
                      <w:highlight w:val="none"/>
                      <w:lang w:val="en-US" w:eastAsia="zh-CN"/>
                    </w:rPr>
                    <w:t>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0"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管控要求</w:t>
                  </w:r>
                </w:p>
              </w:tc>
              <w:tc>
                <w:tcPr>
                  <w:tcW w:w="480" w:type="pct"/>
                  <w:vMerge w:val="restar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空间布局约束</w:t>
                  </w:r>
                </w:p>
              </w:tc>
              <w:tc>
                <w:tcPr>
                  <w:tcW w:w="3728" w:type="pct"/>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ind w:right="0" w:rightChars="0"/>
                    <w:jc w:val="left"/>
                    <w:textAlignment w:val="auto"/>
                    <w:outlineLvl w:val="9"/>
                    <w:rPr>
                      <w:rFonts w:hint="default" w:ascii="Times New Roman" w:hAnsi="Times New Roman" w:eastAsia="宋体" w:cs="Times New Roman"/>
                      <w:color w:val="auto"/>
                      <w:spacing w:val="0"/>
                      <w:w w:val="100"/>
                      <w:kern w:val="0"/>
                      <w:position w:val="0"/>
                      <w:sz w:val="21"/>
                      <w:szCs w:val="21"/>
                      <w:highlight w:val="none"/>
                      <w:lang w:val="en-US" w:eastAsia="zh-CN"/>
                    </w:rPr>
                  </w:pPr>
                  <w:r>
                    <w:rPr>
                      <w:rFonts w:hint="default" w:ascii="Times New Roman" w:hAnsi="Times New Roman" w:eastAsia="宋体" w:cs="Times New Roman"/>
                      <w:color w:val="auto"/>
                      <w:spacing w:val="0"/>
                      <w:w w:val="100"/>
                      <w:kern w:val="0"/>
                      <w:position w:val="0"/>
                      <w:sz w:val="21"/>
                      <w:szCs w:val="21"/>
                      <w:highlight w:val="none"/>
                      <w:lang w:val="en-US" w:eastAsia="zh-CN"/>
                    </w:rPr>
                    <w:t>1.严格建设项目土壤环境影响评价制度。对涉及有毒有害物质可能造成土壤污染的新（改、扩）建项目，依法进行环境影响评价，提出并落实防腐蚀、防渗漏、防遗撒等土壤污染防治具体措施。</w:t>
                  </w:r>
                </w:p>
                <w:p>
                  <w:pPr>
                    <w:keepNext w:val="0"/>
                    <w:keepLines w:val="0"/>
                    <w:pageBreakBefore w:val="0"/>
                    <w:widowControl w:val="0"/>
                    <w:numPr>
                      <w:ilvl w:val="0"/>
                      <w:numId w:val="0"/>
                    </w:numPr>
                    <w:kinsoku/>
                    <w:wordWrap/>
                    <w:overflowPunct/>
                    <w:topLinePunct w:val="0"/>
                    <w:autoSpaceDE/>
                    <w:autoSpaceDN/>
                    <w:bidi w:val="0"/>
                    <w:adjustRightInd w:val="0"/>
                    <w:snapToGrid w:val="0"/>
                    <w:ind w:leftChars="0" w:right="0" w:rightChars="0"/>
                    <w:jc w:val="left"/>
                    <w:textAlignment w:val="auto"/>
                    <w:outlineLvl w:val="9"/>
                    <w:rPr>
                      <w:rFonts w:hint="default" w:ascii="Times New Roman" w:hAnsi="Times New Roman" w:eastAsia="宋体" w:cs="Times New Roman"/>
                      <w:color w:val="auto"/>
                      <w:spacing w:val="0"/>
                      <w:w w:val="100"/>
                      <w:kern w:val="0"/>
                      <w:position w:val="0"/>
                      <w:sz w:val="21"/>
                      <w:szCs w:val="21"/>
                      <w:highlight w:val="none"/>
                      <w:lang w:val="en-US" w:eastAsia="zh-CN"/>
                    </w:rPr>
                  </w:pPr>
                  <w:r>
                    <w:rPr>
                      <w:rFonts w:hint="default" w:ascii="Times New Roman" w:hAnsi="Times New Roman" w:eastAsia="宋体" w:cs="Times New Roman"/>
                      <w:color w:val="auto"/>
                      <w:spacing w:val="0"/>
                      <w:w w:val="100"/>
                      <w:kern w:val="0"/>
                      <w:position w:val="0"/>
                      <w:sz w:val="21"/>
                      <w:szCs w:val="21"/>
                      <w:highlight w:val="none"/>
                      <w:lang w:val="en-US" w:eastAsia="zh-CN"/>
                    </w:rPr>
                    <w:t>2.合理规划污染地块用途，从严管控农药、化工等行业中的重度污染地块规划用途，确需开发利用的，鼓励用于拓展生态空间。</w:t>
                  </w:r>
                </w:p>
                <w:p>
                  <w:pPr>
                    <w:keepNext w:val="0"/>
                    <w:keepLines w:val="0"/>
                    <w:pageBreakBefore w:val="0"/>
                    <w:widowControl w:val="0"/>
                    <w:numPr>
                      <w:ilvl w:val="0"/>
                      <w:numId w:val="0"/>
                    </w:numPr>
                    <w:kinsoku/>
                    <w:wordWrap/>
                    <w:overflowPunct/>
                    <w:topLinePunct w:val="0"/>
                    <w:autoSpaceDE/>
                    <w:autoSpaceDN/>
                    <w:bidi w:val="0"/>
                    <w:adjustRightInd w:val="0"/>
                    <w:snapToGrid w:val="0"/>
                    <w:ind w:leftChars="0" w:right="0" w:rightChars="0"/>
                    <w:jc w:val="left"/>
                    <w:textAlignment w:val="auto"/>
                    <w:outlineLvl w:val="9"/>
                    <w:rPr>
                      <w:rFonts w:hint="default" w:ascii="Times New Roman" w:hAnsi="Times New Roman" w:eastAsia="宋体" w:cs="Times New Roman"/>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lang w:val="en-US" w:eastAsia="zh-CN"/>
                    </w:rPr>
                    <w:t>3.污染地块未经治理与修复，或者经治理与修复但未达到相关规划用地土壤环境质量要求的，有关环境保护主管部门不予批准选址涉及该污染地块的建设项目环境影响报告书或者报告表。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80" w:type="pct"/>
                  <w:vMerge w:val="continue"/>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28" w:type="pct"/>
                  <w:vAlign w:val="center"/>
                </w:tcPr>
                <w:p>
                  <w:pPr>
                    <w:keepNext w:val="0"/>
                    <w:keepLines w:val="0"/>
                    <w:pageBreakBefore w:val="0"/>
                    <w:widowControl w:val="0"/>
                    <w:kinsoku/>
                    <w:wordWrap/>
                    <w:overflowPunct/>
                    <w:topLinePunct w:val="0"/>
                    <w:autoSpaceDE/>
                    <w:autoSpaceDN/>
                    <w:bidi w:val="0"/>
                    <w:adjustRightInd w:val="0"/>
                    <w:snapToGrid w:val="0"/>
                    <w:ind w:right="0"/>
                    <w:jc w:val="left"/>
                    <w:textAlignment w:val="auto"/>
                    <w:outlineLvl w:val="9"/>
                    <w:rPr>
                      <w:rFonts w:hint="default" w:ascii="Times New Roman" w:hAnsi="Times New Roman" w:eastAsia="宋体" w:cs="Times New Roman"/>
                      <w:color w:val="auto"/>
                      <w:spacing w:val="0"/>
                      <w:w w:val="100"/>
                      <w:kern w:val="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val="en-US" w:eastAsia="zh-CN"/>
                    </w:rPr>
                    <w:t>本本项目为风力发电项目配套输变电工程，不涉及有毒有害物质，不涉及</w:t>
                  </w:r>
                  <w:r>
                    <w:rPr>
                      <w:rFonts w:hint="default" w:ascii="Times New Roman" w:hAnsi="Times New Roman" w:eastAsia="宋体" w:cs="Times New Roman"/>
                      <w:color w:val="auto"/>
                      <w:spacing w:val="0"/>
                      <w:w w:val="100"/>
                      <w:position w:val="0"/>
                      <w:sz w:val="21"/>
                      <w:szCs w:val="21"/>
                      <w:highlight w:val="none"/>
                      <w:lang w:val="zh-CN" w:eastAsia="zh-CN"/>
                    </w:rPr>
                    <w:t>重度污染地块</w:t>
                  </w:r>
                  <w:r>
                    <w:rPr>
                      <w:rFonts w:hint="default" w:ascii="Times New Roman" w:hAnsi="Times New Roman" w:eastAsia="宋体" w:cs="Times New Roman"/>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管控要求</w:t>
                  </w:r>
                </w:p>
              </w:tc>
              <w:tc>
                <w:tcPr>
                  <w:tcW w:w="480" w:type="pct"/>
                  <w:vMerge w:val="restar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环境风险防控</w:t>
                  </w:r>
                </w:p>
              </w:tc>
              <w:tc>
                <w:tcPr>
                  <w:tcW w:w="3728" w:type="pct"/>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ind w:right="0" w:rightChars="0"/>
                    <w:jc w:val="left"/>
                    <w:textAlignment w:val="auto"/>
                    <w:outlineLvl w:val="9"/>
                    <w:rPr>
                      <w:rFonts w:hint="default" w:ascii="Times New Roman" w:hAnsi="Times New Roman" w:eastAsia="宋体" w:cs="Times New Roman"/>
                      <w:color w:val="auto"/>
                      <w:spacing w:val="0"/>
                      <w:w w:val="100"/>
                      <w:kern w:val="0"/>
                      <w:position w:val="0"/>
                      <w:sz w:val="21"/>
                      <w:szCs w:val="21"/>
                      <w:highlight w:val="none"/>
                      <w:lang w:val="en-US" w:eastAsia="zh-CN"/>
                    </w:rPr>
                  </w:pPr>
                  <w:r>
                    <w:rPr>
                      <w:rFonts w:hint="default" w:ascii="Times New Roman" w:hAnsi="Times New Roman" w:eastAsia="宋体" w:cs="Times New Roman"/>
                      <w:color w:val="auto"/>
                      <w:spacing w:val="0"/>
                      <w:w w:val="100"/>
                      <w:kern w:val="0"/>
                      <w:position w:val="0"/>
                      <w:sz w:val="21"/>
                      <w:szCs w:val="21"/>
                      <w:highlight w:val="none"/>
                      <w:lang w:val="en-US" w:eastAsia="zh-CN"/>
                    </w:rPr>
                    <w:t>1.化学品生产企业以及工业集聚区、矿山开采区、尾矿库、危险废物处置场、垃圾填埋场等的运营、管理单位，应当采取防渗漏等措施，并建设地下水水质监测井进行监测，防止地下水污染。</w:t>
                  </w:r>
                </w:p>
                <w:p>
                  <w:pPr>
                    <w:keepNext w:val="0"/>
                    <w:keepLines w:val="0"/>
                    <w:pageBreakBefore w:val="0"/>
                    <w:widowControl w:val="0"/>
                    <w:numPr>
                      <w:ilvl w:val="0"/>
                      <w:numId w:val="0"/>
                    </w:numPr>
                    <w:kinsoku/>
                    <w:wordWrap/>
                    <w:overflowPunct/>
                    <w:topLinePunct w:val="0"/>
                    <w:autoSpaceDE/>
                    <w:autoSpaceDN/>
                    <w:bidi w:val="0"/>
                    <w:adjustRightInd w:val="0"/>
                    <w:snapToGrid w:val="0"/>
                    <w:ind w:leftChars="0" w:right="0" w:rightChars="0"/>
                    <w:jc w:val="left"/>
                    <w:textAlignment w:val="auto"/>
                    <w:outlineLvl w:val="9"/>
                    <w:rPr>
                      <w:rFonts w:hint="default" w:ascii="Times New Roman" w:hAnsi="Times New Roman" w:eastAsia="宋体" w:cs="Times New Roman"/>
                      <w:color w:val="auto"/>
                      <w:spacing w:val="0"/>
                      <w:w w:val="100"/>
                      <w:kern w:val="0"/>
                      <w:position w:val="0"/>
                      <w:sz w:val="21"/>
                      <w:szCs w:val="21"/>
                      <w:highlight w:val="none"/>
                      <w:lang w:val="en-US" w:eastAsia="zh-CN"/>
                    </w:rPr>
                  </w:pPr>
                  <w:r>
                    <w:rPr>
                      <w:rFonts w:hint="default" w:ascii="Times New Roman" w:hAnsi="Times New Roman" w:eastAsia="宋体" w:cs="Times New Roman"/>
                      <w:color w:val="auto"/>
                      <w:spacing w:val="0"/>
                      <w:w w:val="100"/>
                      <w:kern w:val="0"/>
                      <w:position w:val="0"/>
                      <w:sz w:val="21"/>
                      <w:szCs w:val="21"/>
                      <w:highlight w:val="none"/>
                      <w:lang w:val="en-US" w:eastAsia="zh-CN"/>
                    </w:rPr>
                    <w:t>2.指导地下水污染防治重点排污单位优先开展地下水污染渗漏排查，针对存在问题的设施，采取污染防渗改造措施。</w:t>
                  </w:r>
                </w:p>
                <w:p>
                  <w:pPr>
                    <w:keepNext w:val="0"/>
                    <w:keepLines w:val="0"/>
                    <w:pageBreakBefore w:val="0"/>
                    <w:widowControl w:val="0"/>
                    <w:numPr>
                      <w:ilvl w:val="0"/>
                      <w:numId w:val="0"/>
                    </w:numPr>
                    <w:kinsoku/>
                    <w:wordWrap/>
                    <w:overflowPunct/>
                    <w:topLinePunct w:val="0"/>
                    <w:autoSpaceDE/>
                    <w:autoSpaceDN/>
                    <w:bidi w:val="0"/>
                    <w:adjustRightInd w:val="0"/>
                    <w:snapToGrid w:val="0"/>
                    <w:ind w:leftChars="0" w:right="0" w:rightChars="0"/>
                    <w:jc w:val="left"/>
                    <w:textAlignment w:val="auto"/>
                    <w:outlineLvl w:val="9"/>
                    <w:rPr>
                      <w:rFonts w:hint="default" w:ascii="Times New Roman" w:hAnsi="Times New Roman" w:eastAsia="宋体" w:cs="Times New Roman"/>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lang w:val="en-US" w:eastAsia="zh-CN"/>
                    </w:rPr>
                    <w:t>3.重点单位在隐患排查、监测等活动中发现工矿用地土壤和地下水存在污染迹象的，应当排查污染源，查明污染原因，采取措施防止新增污染，并参照污染地块土壤环境管理有关规定及时开展土壤和地下水环境调查与风险评估，根据调查与风险评估结果采取风险管控或者治理与修复等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80" w:type="pct"/>
                  <w:vMerge w:val="continue"/>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28" w:type="pct"/>
                  <w:vAlign w:val="center"/>
                </w:tcPr>
                <w:p>
                  <w:pPr>
                    <w:keepNext w:val="0"/>
                    <w:keepLines w:val="0"/>
                    <w:pageBreakBefore w:val="0"/>
                    <w:widowControl w:val="0"/>
                    <w:kinsoku/>
                    <w:wordWrap/>
                    <w:overflowPunct/>
                    <w:topLinePunct w:val="0"/>
                    <w:autoSpaceDE/>
                    <w:autoSpaceDN/>
                    <w:bidi w:val="0"/>
                    <w:adjustRightInd w:val="0"/>
                    <w:snapToGrid w:val="0"/>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本项目为风力发电项目配套输变电工程，不涉及化学品生产，不属于污染类项目，不涉及重点排污，符合要求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8" w:hRule="atLeast"/>
                <w:jc w:val="center"/>
              </w:trPr>
              <w:tc>
                <w:tcPr>
                  <w:tcW w:w="79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80" w:type="pct"/>
                  <w:vMerge w:val="restart"/>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污染物排放管控</w:t>
                  </w:r>
                </w:p>
              </w:tc>
              <w:tc>
                <w:tcPr>
                  <w:tcW w:w="3728" w:type="pct"/>
                  <w:vAlign w:val="center"/>
                </w:tcPr>
                <w:p>
                  <w:pPr>
                    <w:keepNext w:val="0"/>
                    <w:keepLines w:val="0"/>
                    <w:pageBreakBefore w:val="0"/>
                    <w:widowControl w:val="0"/>
                    <w:kinsoku/>
                    <w:wordWrap/>
                    <w:overflowPunct/>
                    <w:topLinePunct w:val="0"/>
                    <w:autoSpaceDE/>
                    <w:autoSpaceDN/>
                    <w:bidi w:val="0"/>
                    <w:adjustRightInd w:val="0"/>
                    <w:snapToGrid w:val="0"/>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kern w:val="0"/>
                      <w:position w:val="0"/>
                      <w:sz w:val="21"/>
                      <w:szCs w:val="21"/>
                      <w:highlight w:val="none"/>
                      <w:lang w:val="en-US" w:eastAsia="zh-CN"/>
                    </w:rPr>
                    <w:t>新建、扩建“两高”项目应采用先进适用的工艺技术和装备，单位产品物耗、能耗、水耗等达到清洁生产先进水平，依法制定并严格落实防治地下水污染的措施。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9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autoSpaceDE/>
                    <w:autoSpaceDN/>
                    <w:bidi w:val="0"/>
                    <w:adjustRightInd w:val="0"/>
                    <w:snapToGrid w:val="0"/>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80" w:type="pct"/>
                  <w:vMerge w:val="continue"/>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28" w:type="pct"/>
                  <w:vAlign w:val="center"/>
                </w:tcPr>
                <w:p>
                  <w:pPr>
                    <w:keepNext w:val="0"/>
                    <w:keepLines w:val="0"/>
                    <w:pageBreakBefore w:val="0"/>
                    <w:widowControl w:val="0"/>
                    <w:kinsoku/>
                    <w:wordWrap/>
                    <w:overflowPunct/>
                    <w:topLinePunct w:val="0"/>
                    <w:autoSpaceDE/>
                    <w:autoSpaceDN/>
                    <w:bidi w:val="0"/>
                    <w:adjustRightInd w:val="0"/>
                    <w:snapToGrid w:val="0"/>
                    <w:ind w:right="0"/>
                    <w:jc w:val="left"/>
                    <w:textAlignment w:val="auto"/>
                    <w:outlineLvl w:val="9"/>
                    <w:rPr>
                      <w:rFonts w:hint="eastAsia" w:ascii="宋体" w:hAnsi="宋体" w:eastAsia="宋体" w:cs="宋体"/>
                      <w:color w:val="auto"/>
                      <w:spacing w:val="0"/>
                      <w:w w:val="100"/>
                      <w:kern w:val="0"/>
                      <w:position w:val="0"/>
                      <w:sz w:val="21"/>
                      <w:szCs w:val="21"/>
                      <w:highlight w:val="none"/>
                      <w:lang w:val="en-US"/>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本项目为风力发电项目配套输变电工程，不涉及“两高”项目，符合要求。</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ind w:firstLine="0" w:firstLineChars="0"/>
              <w:jc w:val="center"/>
              <w:textAlignment w:val="auto"/>
              <w:rPr>
                <w:rFonts w:hint="eastAsia" w:ascii="Times New Roman" w:hAnsi="Times New Roman" w:eastAsia="宋体" w:cs="Times New Roman"/>
                <w:b/>
                <w:bCs/>
                <w:color w:val="FF0000"/>
                <w:kern w:val="0"/>
                <w:sz w:val="21"/>
                <w:szCs w:val="21"/>
                <w:highlight w:val="none"/>
                <w:lang w:val="en-US" w:eastAsia="zh-CN" w:bidi="ar-SA"/>
              </w:rPr>
            </w:pPr>
            <w:r>
              <w:rPr>
                <w:rFonts w:hint="eastAsia"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表1-3  本项目与环境管控单元生态环境准入清单符合性分析</w:t>
            </w:r>
          </w:p>
          <w:tbl>
            <w:tblPr>
              <w:tblStyle w:val="2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650"/>
              <w:gridCol w:w="50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环境管控单元名称</w:t>
                  </w:r>
                </w:p>
              </w:tc>
              <w:tc>
                <w:tcPr>
                  <w:tcW w:w="4216" w:type="pct"/>
                  <w:gridSpan w:val="2"/>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rPr>
                    <w:t>四方台区大气环境布局敏感重点管控区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环境管控单元编码</w:t>
                  </w:r>
                </w:p>
              </w:tc>
              <w:tc>
                <w:tcPr>
                  <w:tcW w:w="4216" w:type="pct"/>
                  <w:gridSpan w:val="2"/>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ZH23050520005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3" w:type="pct"/>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管控单元类别</w:t>
                  </w:r>
                </w:p>
              </w:tc>
              <w:tc>
                <w:tcPr>
                  <w:tcW w:w="4216" w:type="pct"/>
                  <w:gridSpan w:val="2"/>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重点</w:t>
                  </w:r>
                  <w:r>
                    <w:rPr>
                      <w:rFonts w:hint="eastAsia" w:ascii="宋体" w:hAnsi="宋体" w:eastAsia="宋体" w:cs="宋体"/>
                      <w:color w:val="auto"/>
                      <w:spacing w:val="0"/>
                      <w:w w:val="100"/>
                      <w:position w:val="0"/>
                      <w:sz w:val="21"/>
                      <w:szCs w:val="21"/>
                      <w:highlight w:val="none"/>
                    </w:rPr>
                    <w:t>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8"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空间布局约束</w:t>
                  </w: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rPr>
                    <w:t>执行“</w:t>
                  </w:r>
                  <w:r>
                    <w:rPr>
                      <w:rFonts w:hint="default" w:ascii="Times New Roman" w:hAnsi="Times New Roman" w:eastAsia="宋体" w:cs="Times New Roman"/>
                      <w:color w:val="auto"/>
                      <w:spacing w:val="0"/>
                      <w:w w:val="100"/>
                      <w:position w:val="0"/>
                      <w:sz w:val="21"/>
                      <w:szCs w:val="21"/>
                      <w:highlight w:val="none"/>
                    </w:rPr>
                    <w:t>1.</w:t>
                  </w:r>
                  <w:r>
                    <w:rPr>
                      <w:rFonts w:hint="eastAsia" w:ascii="宋体" w:hAnsi="宋体" w:eastAsia="宋体" w:cs="宋体"/>
                      <w:color w:val="auto"/>
                      <w:spacing w:val="0"/>
                      <w:w w:val="100"/>
                      <w:position w:val="0"/>
                      <w:sz w:val="21"/>
                      <w:szCs w:val="21"/>
                      <w:highlight w:val="none"/>
                    </w:rPr>
                    <w:t>严控“两高”行业产能。严格执行钢铁、水泥、平板玻璃等行业产能置换实施办法</w:t>
                  </w:r>
                  <w:r>
                    <w:rPr>
                      <w:rFonts w:hint="default" w:ascii="Times New Roman" w:hAnsi="Times New Roman" w:eastAsia="宋体" w:cs="Times New Roman"/>
                      <w:color w:val="auto"/>
                      <w:spacing w:val="0"/>
                      <w:w w:val="100"/>
                      <w:position w:val="0"/>
                      <w:sz w:val="21"/>
                      <w:szCs w:val="21"/>
                      <w:highlight w:val="none"/>
                    </w:rPr>
                    <w:t>。2.</w:t>
                  </w:r>
                  <w:r>
                    <w:rPr>
                      <w:rFonts w:hint="eastAsia" w:ascii="宋体" w:hAnsi="宋体" w:eastAsia="宋体" w:cs="宋体"/>
                      <w:color w:val="auto"/>
                      <w:spacing w:val="0"/>
                      <w:w w:val="100"/>
                      <w:position w:val="0"/>
                      <w:sz w:val="21"/>
                      <w:szCs w:val="21"/>
                      <w:highlight w:val="none"/>
                    </w:rPr>
                    <w:t>利用水泥窑协同处置城市生活垃圾、危险废弃物、电石渣等固废伴生水泥项目，必须依托现有新型干法水泥熟料生产线进行不扩产能改造</w:t>
                  </w:r>
                  <w:r>
                    <w:rPr>
                      <w:rFonts w:hint="eastAsia" w:ascii="宋体" w:hAnsi="宋体" w:eastAsia="宋体" w:cs="宋体"/>
                      <w:color w:val="auto"/>
                      <w:spacing w:val="0"/>
                      <w:w w:val="100"/>
                      <w:position w:val="0"/>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本项目为风力发电项目配套输变电工程，不涉及“两高”行业</w:t>
                  </w:r>
                  <w:r>
                    <w:rPr>
                      <w:rFonts w:hint="eastAsia" w:ascii="宋体" w:hAnsi="宋体" w:eastAsia="宋体" w:cs="宋体"/>
                      <w:color w:val="auto"/>
                      <w:spacing w:val="0"/>
                      <w:w w:val="100"/>
                      <w:kern w:val="0"/>
                      <w:position w:val="0"/>
                      <w:sz w:val="21"/>
                      <w:szCs w:val="21"/>
                      <w:highlight w:val="none"/>
                      <w:lang w:val="en-US" w:eastAsia="zh-CN"/>
                    </w:rPr>
                    <w:t>，</w:t>
                  </w:r>
                  <w:r>
                    <w:rPr>
                      <w:rFonts w:hint="eastAsia" w:ascii="宋体" w:hAnsi="宋体" w:eastAsia="宋体" w:cs="宋体"/>
                      <w:color w:val="auto"/>
                      <w:spacing w:val="0"/>
                      <w:w w:val="100"/>
                      <w:position w:val="0"/>
                      <w:sz w:val="21"/>
                      <w:szCs w:val="21"/>
                      <w:highlight w:val="none"/>
                      <w:lang w:val="en-US" w:eastAsia="zh-CN"/>
                    </w:rPr>
                    <w:t>不涉及</w:t>
                  </w:r>
                  <w:r>
                    <w:rPr>
                      <w:rFonts w:hint="eastAsia" w:ascii="宋体" w:hAnsi="宋体" w:eastAsia="宋体" w:cs="宋体"/>
                      <w:color w:val="auto"/>
                      <w:spacing w:val="0"/>
                      <w:w w:val="100"/>
                      <w:position w:val="0"/>
                      <w:sz w:val="21"/>
                      <w:szCs w:val="21"/>
                      <w:highlight w:val="none"/>
                    </w:rPr>
                    <w:t>固废伴生水泥项目</w:t>
                  </w:r>
                  <w:r>
                    <w:rPr>
                      <w:rFonts w:hint="eastAsia" w:ascii="宋体" w:hAnsi="宋体" w:cs="宋体"/>
                      <w:color w:val="auto"/>
                      <w:spacing w:val="0"/>
                      <w:w w:val="100"/>
                      <w:position w:val="0"/>
                      <w:sz w:val="21"/>
                      <w:szCs w:val="21"/>
                      <w:highlight w:val="none"/>
                      <w:lang w:eastAsia="zh-CN"/>
                    </w:rPr>
                    <w:t>，</w:t>
                  </w:r>
                  <w:r>
                    <w:rPr>
                      <w:rFonts w:hint="eastAsia" w:ascii="宋体" w:hAnsi="宋体" w:eastAsia="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8"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污染物排放管控</w:t>
                  </w: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kern w:val="0"/>
                      <w:position w:val="0"/>
                      <w:sz w:val="21"/>
                      <w:szCs w:val="21"/>
                      <w:highlight w:val="none"/>
                      <w:lang w:val="en-US" w:eastAsia="zh-CN"/>
                    </w:rPr>
                    <w:t>执行“</w:t>
                  </w:r>
                  <w:r>
                    <w:rPr>
                      <w:rFonts w:hint="default" w:ascii="Times New Roman" w:hAnsi="Times New Roman" w:eastAsia="宋体" w:cs="Times New Roman"/>
                      <w:color w:val="auto"/>
                      <w:spacing w:val="0"/>
                      <w:w w:val="100"/>
                      <w:kern w:val="0"/>
                      <w:position w:val="0"/>
                      <w:sz w:val="21"/>
                      <w:szCs w:val="21"/>
                      <w:highlight w:val="none"/>
                      <w:lang w:val="en-US" w:eastAsia="zh-CN"/>
                    </w:rPr>
                    <w:t>1.对以煤、石焦油、渣油、重油等为燃料的锅炉和工业炉窑，加快使用清洁低碳能源以及工厂余热、电力热力等进行替代。2.到2025年，在用65</w:t>
                  </w:r>
                  <w:r>
                    <w:rPr>
                      <w:rFonts w:hint="eastAsia" w:ascii="宋体" w:hAnsi="宋体" w:eastAsia="宋体" w:cs="宋体"/>
                      <w:color w:val="auto"/>
                      <w:spacing w:val="0"/>
                      <w:w w:val="100"/>
                      <w:kern w:val="0"/>
                      <w:position w:val="0"/>
                      <w:sz w:val="21"/>
                      <w:szCs w:val="21"/>
                      <w:highlight w:val="none"/>
                      <w:lang w:val="en-US" w:eastAsia="zh-CN"/>
                    </w:rPr>
                    <w:t>蒸吨/小时以上的燃煤锅炉(含电力)实现超低排放，钢铁企业基本实现超低排放。”(含电力)实现超低排放，钢铁企业基本实现超低排放。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本项目为风力发电项目配套输变电工程，不涉及煤炭的使用，符合要求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环境风险防控</w:t>
                  </w:r>
                </w:p>
              </w:tc>
              <w:tc>
                <w:tcPr>
                  <w:tcW w:w="3737" w:type="pct"/>
                  <w:vAlign w:val="center"/>
                </w:tcPr>
                <w:p>
                  <w:pPr>
                    <w:keepNext w:val="0"/>
                    <w:keepLines w:val="0"/>
                    <w:pageBreakBefore w:val="0"/>
                    <w:widowControl w:val="0"/>
                    <w:numPr>
                      <w:ilvl w:val="0"/>
                      <w:numId w:val="0"/>
                    </w:numPr>
                    <w:kinsoku/>
                    <w:wordWrap/>
                    <w:overflowPunct/>
                    <w:topLinePunct w:val="0"/>
                    <w:bidi w:val="0"/>
                    <w:spacing w:line="240" w:lineRule="auto"/>
                    <w:ind w:right="0" w:rightChars="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kern w:val="0"/>
                      <w:position w:val="0"/>
                      <w:sz w:val="21"/>
                      <w:szCs w:val="21"/>
                      <w:highlight w:val="none"/>
                      <w:lang w:val="en-US" w:eastAsia="zh-CN"/>
                    </w:rPr>
                    <w:t>执行“禁止在居民区、学校、医疗和养老机构等周边新建有色金属冶炼、焦化等行业企。”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本项目为风力发电项目配套输变电工程，不属于</w:t>
                  </w:r>
                  <w:r>
                    <w:rPr>
                      <w:rFonts w:hint="eastAsia" w:ascii="宋体" w:hAnsi="宋体" w:eastAsia="宋体" w:cs="宋体"/>
                      <w:color w:val="auto"/>
                      <w:spacing w:val="0"/>
                      <w:w w:val="100"/>
                      <w:kern w:val="0"/>
                      <w:position w:val="0"/>
                      <w:sz w:val="21"/>
                      <w:szCs w:val="21"/>
                      <w:highlight w:val="none"/>
                      <w:lang w:val="en-US" w:eastAsia="zh-CN"/>
                    </w:rPr>
                    <w:t>有色金属冶炼、焦化等行业企，</w:t>
                  </w:r>
                  <w:r>
                    <w:rPr>
                      <w:rFonts w:hint="eastAsia" w:ascii="宋体" w:hAnsi="宋体" w:eastAsia="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8"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资源</w:t>
                  </w:r>
                  <w:r>
                    <w:rPr>
                      <w:rFonts w:hint="eastAsia" w:ascii="宋体" w:hAnsi="宋体" w:eastAsia="宋体" w:cs="宋体"/>
                      <w:color w:val="auto"/>
                      <w:spacing w:val="0"/>
                      <w:w w:val="100"/>
                      <w:position w:val="0"/>
                      <w:sz w:val="21"/>
                      <w:szCs w:val="21"/>
                      <w:highlight w:val="none"/>
                      <w:lang w:val="en-US" w:eastAsia="zh-CN"/>
                    </w:rPr>
                    <w:t>开发</w:t>
                  </w:r>
                  <w:r>
                    <w:rPr>
                      <w:rFonts w:hint="eastAsia" w:ascii="宋体" w:hAnsi="宋体" w:eastAsia="宋体" w:cs="宋体"/>
                      <w:color w:val="auto"/>
                      <w:spacing w:val="0"/>
                      <w:w w:val="100"/>
                      <w:position w:val="0"/>
                      <w:sz w:val="21"/>
                      <w:szCs w:val="21"/>
                      <w:highlight w:val="none"/>
                    </w:rPr>
                    <w:t>效率要求</w:t>
                  </w:r>
                </w:p>
              </w:tc>
              <w:tc>
                <w:tcPr>
                  <w:tcW w:w="3737" w:type="pct"/>
                  <w:vAlign w:val="center"/>
                </w:tcPr>
                <w:p>
                  <w:pPr>
                    <w:keepNext w:val="0"/>
                    <w:keepLines w:val="0"/>
                    <w:pageBreakBefore w:val="0"/>
                    <w:widowControl w:val="0"/>
                    <w:numPr>
                      <w:ilvl w:val="0"/>
                      <w:numId w:val="0"/>
                    </w:numPr>
                    <w:kinsoku/>
                    <w:wordWrap/>
                    <w:overflowPunct/>
                    <w:topLinePunct w:val="0"/>
                    <w:bidi w:val="0"/>
                    <w:spacing w:line="240" w:lineRule="auto"/>
                    <w:ind w:right="0" w:rightChars="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kern w:val="0"/>
                      <w:position w:val="0"/>
                      <w:sz w:val="21"/>
                      <w:szCs w:val="21"/>
                      <w:highlight w:val="none"/>
                      <w:lang w:val="en-US" w:eastAsia="zh-CN"/>
                    </w:rPr>
                    <w:t>高污染燃料禁燃区同时执行“</w:t>
                  </w:r>
                  <w:r>
                    <w:rPr>
                      <w:rFonts w:hint="default" w:ascii="Times New Roman" w:hAnsi="Times New Roman" w:eastAsia="宋体" w:cs="Times New Roman"/>
                      <w:color w:val="auto"/>
                      <w:spacing w:val="0"/>
                      <w:w w:val="100"/>
                      <w:kern w:val="0"/>
                      <w:position w:val="0"/>
                      <w:sz w:val="21"/>
                      <w:szCs w:val="21"/>
                      <w:highlight w:val="none"/>
                      <w:lang w:val="en-US" w:eastAsia="zh-CN"/>
                    </w:rPr>
                    <w:t>1.在禁燃区内，禁止销售、燃用高污染燃料；禁止新建、扩建</w:t>
                  </w:r>
                  <w:r>
                    <w:rPr>
                      <w:rFonts w:hint="eastAsia" w:cs="Times New Roman"/>
                      <w:color w:val="auto"/>
                      <w:spacing w:val="0"/>
                      <w:w w:val="100"/>
                      <w:kern w:val="0"/>
                      <w:position w:val="0"/>
                      <w:sz w:val="21"/>
                      <w:szCs w:val="21"/>
                      <w:highlight w:val="none"/>
                      <w:lang w:val="en-US" w:eastAsia="zh-CN"/>
                    </w:rPr>
                    <w:t>燃</w:t>
                  </w:r>
                  <w:r>
                    <w:rPr>
                      <w:rFonts w:hint="default" w:ascii="Times New Roman" w:hAnsi="Times New Roman" w:eastAsia="宋体" w:cs="Times New Roman"/>
                      <w:color w:val="auto"/>
                      <w:spacing w:val="0"/>
                      <w:w w:val="100"/>
                      <w:kern w:val="0"/>
                      <w:position w:val="0"/>
                      <w:sz w:val="21"/>
                      <w:szCs w:val="21"/>
                      <w:highlight w:val="none"/>
                      <w:lang w:val="en-US" w:eastAsia="zh-CN"/>
                    </w:rPr>
                    <w:t>用高污染燃料的设施，已建成的，应当在城市人民政府规定的期限内改用天然气、页岩气、液化石油气、</w:t>
                  </w:r>
                  <w:r>
                    <w:rPr>
                      <w:rFonts w:hint="eastAsia" w:cs="Times New Roman"/>
                      <w:color w:val="auto"/>
                      <w:spacing w:val="0"/>
                      <w:w w:val="100"/>
                      <w:kern w:val="0"/>
                      <w:position w:val="0"/>
                      <w:sz w:val="21"/>
                      <w:szCs w:val="21"/>
                      <w:highlight w:val="none"/>
                      <w:lang w:val="en-US" w:eastAsia="zh-CN"/>
                    </w:rPr>
                    <w:t>电力</w:t>
                  </w:r>
                  <w:r>
                    <w:rPr>
                      <w:rFonts w:hint="default" w:ascii="Times New Roman" w:hAnsi="Times New Roman" w:eastAsia="宋体" w:cs="Times New Roman"/>
                      <w:color w:val="auto"/>
                      <w:spacing w:val="0"/>
                      <w:w w:val="100"/>
                      <w:kern w:val="0"/>
                      <w:position w:val="0"/>
                      <w:sz w:val="21"/>
                      <w:szCs w:val="21"/>
                      <w:highlight w:val="none"/>
                      <w:lang w:val="en-US" w:eastAsia="zh-CN"/>
                    </w:rPr>
                    <w:t>或者其他清洁能源。2</w:t>
                  </w:r>
                  <w:r>
                    <w:rPr>
                      <w:rFonts w:hint="eastAsia" w:cs="Times New Roman"/>
                      <w:color w:val="auto"/>
                      <w:spacing w:val="0"/>
                      <w:w w:val="100"/>
                      <w:kern w:val="0"/>
                      <w:position w:val="0"/>
                      <w:sz w:val="21"/>
                      <w:szCs w:val="21"/>
                      <w:highlight w:val="none"/>
                      <w:lang w:val="en-US" w:eastAsia="zh-CN"/>
                    </w:rPr>
                    <w:t>.</w:t>
                  </w:r>
                  <w:r>
                    <w:rPr>
                      <w:rFonts w:hint="default" w:ascii="Times New Roman" w:hAnsi="Times New Roman" w:eastAsia="宋体" w:cs="Times New Roman"/>
                      <w:color w:val="auto"/>
                      <w:spacing w:val="0"/>
                      <w:w w:val="100"/>
                      <w:kern w:val="0"/>
                      <w:position w:val="0"/>
                      <w:sz w:val="21"/>
                      <w:szCs w:val="21"/>
                      <w:highlight w:val="none"/>
                      <w:lang w:val="en-US" w:eastAsia="zh-CN"/>
                    </w:rPr>
                    <w:t>城市建</w:t>
                  </w:r>
                  <w:r>
                    <w:rPr>
                      <w:rFonts w:hint="eastAsia" w:ascii="宋体" w:hAnsi="宋体" w:eastAsia="宋体" w:cs="宋体"/>
                      <w:color w:val="auto"/>
                      <w:spacing w:val="0"/>
                      <w:w w:val="100"/>
                      <w:kern w:val="0"/>
                      <w:position w:val="0"/>
                      <w:sz w:val="21"/>
                      <w:szCs w:val="21"/>
                      <w:highlight w:val="none"/>
                      <w:lang w:val="en-US" w:eastAsia="zh-CN"/>
                    </w:rPr>
                    <w:t>设应当统筹规划，在燃煤供热地区，推进热电联产和集中供热。在集中供热管网覆盖地区，禁止新建、扩建分散煤供热锅炉:已建成的不能达标排放的燃煤供热锅炉，应当在城市人民政府规定的期限内拆除。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本项目为风力发电项目配套输变电工程，不使用</w:t>
                  </w:r>
                  <w:r>
                    <w:rPr>
                      <w:rFonts w:hint="default" w:ascii="Times New Roman" w:hAnsi="Times New Roman" w:eastAsia="宋体" w:cs="Times New Roman"/>
                      <w:color w:val="auto"/>
                      <w:spacing w:val="0"/>
                      <w:w w:val="100"/>
                      <w:kern w:val="0"/>
                      <w:position w:val="0"/>
                      <w:sz w:val="21"/>
                      <w:szCs w:val="21"/>
                      <w:highlight w:val="none"/>
                      <w:lang w:val="en-US" w:eastAsia="zh-CN"/>
                    </w:rPr>
                    <w:t>高污染燃料</w:t>
                  </w:r>
                  <w:r>
                    <w:rPr>
                      <w:rFonts w:hint="eastAsia" w:ascii="宋体" w:hAnsi="宋体" w:eastAsia="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环境管控单元名称</w:t>
                  </w:r>
                </w:p>
              </w:tc>
              <w:tc>
                <w:tcPr>
                  <w:tcW w:w="4216" w:type="pct"/>
                  <w:gridSpan w:val="2"/>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kern w:val="0"/>
                      <w:position w:val="0"/>
                      <w:sz w:val="21"/>
                      <w:szCs w:val="21"/>
                      <w:highlight w:val="none"/>
                      <w:lang w:val="en-US" w:eastAsia="zh-CN"/>
                    </w:rPr>
                    <w:t>双鸭山市绿色食品及新材料产业园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环境管控单元编码</w:t>
                  </w:r>
                </w:p>
              </w:tc>
              <w:tc>
                <w:tcPr>
                  <w:tcW w:w="4216" w:type="pct"/>
                  <w:gridSpan w:val="2"/>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lang w:val="en-US" w:eastAsia="zh-CN"/>
                    </w:rPr>
                    <w:t>ZH23050520002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管控单元类别</w:t>
                  </w:r>
                </w:p>
              </w:tc>
              <w:tc>
                <w:tcPr>
                  <w:tcW w:w="4216" w:type="pct"/>
                  <w:gridSpan w:val="2"/>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重点</w:t>
                  </w:r>
                  <w:r>
                    <w:rPr>
                      <w:rFonts w:hint="eastAsia" w:ascii="宋体" w:hAnsi="宋体" w:eastAsia="宋体" w:cs="宋体"/>
                      <w:color w:val="auto"/>
                      <w:spacing w:val="0"/>
                      <w:w w:val="100"/>
                      <w:position w:val="0"/>
                      <w:sz w:val="21"/>
                      <w:szCs w:val="21"/>
                      <w:highlight w:val="none"/>
                    </w:rPr>
                    <w:t>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1"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空间布局约束</w:t>
                  </w:r>
                </w:p>
              </w:tc>
              <w:tc>
                <w:tcPr>
                  <w:tcW w:w="373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1.</w:t>
                  </w:r>
                  <w:r>
                    <w:rPr>
                      <w:rFonts w:hint="eastAsia" w:ascii="宋体" w:hAnsi="宋体" w:eastAsia="宋体" w:cs="宋体"/>
                      <w:color w:val="auto"/>
                      <w:spacing w:val="0"/>
                      <w:w w:val="100"/>
                      <w:kern w:val="0"/>
                      <w:position w:val="0"/>
                      <w:sz w:val="21"/>
                      <w:szCs w:val="21"/>
                      <w:highlight w:val="none"/>
                    </w:rPr>
                    <w:t>详见双鸭山市绿色食品及新材料产业园布局规划、产业规划和环境准入负面清单。</w:t>
                  </w:r>
                  <w:r>
                    <w:rPr>
                      <w:rFonts w:hint="default" w:ascii="Times New Roman" w:hAnsi="Times New Roman" w:eastAsia="宋体" w:cs="Times New Roman"/>
                      <w:color w:val="auto"/>
                      <w:spacing w:val="0"/>
                      <w:w w:val="100"/>
                      <w:kern w:val="0"/>
                      <w:position w:val="0"/>
                      <w:sz w:val="21"/>
                      <w:szCs w:val="21"/>
                      <w:highlight w:val="none"/>
                    </w:rPr>
                    <w:t>2.</w:t>
                  </w:r>
                  <w:r>
                    <w:rPr>
                      <w:rFonts w:hint="eastAsia" w:ascii="宋体" w:hAnsi="宋体" w:eastAsia="宋体" w:cs="宋体"/>
                      <w:color w:val="auto"/>
                      <w:spacing w:val="0"/>
                      <w:w w:val="100"/>
                      <w:kern w:val="0"/>
                      <w:position w:val="0"/>
                      <w:sz w:val="21"/>
                      <w:szCs w:val="21"/>
                      <w:highlight w:val="none"/>
                    </w:rPr>
                    <w:t>新、改、扩建项目的环境影响评价，应满足区域、规划环评要求。</w:t>
                  </w:r>
                  <w:r>
                    <w:rPr>
                      <w:rFonts w:hint="default" w:ascii="Times New Roman" w:hAnsi="Times New Roman" w:eastAsia="宋体" w:cs="Times New Roman"/>
                      <w:color w:val="auto"/>
                      <w:spacing w:val="0"/>
                      <w:w w:val="100"/>
                      <w:kern w:val="0"/>
                      <w:position w:val="0"/>
                      <w:sz w:val="21"/>
                      <w:szCs w:val="21"/>
                      <w:highlight w:val="none"/>
                    </w:rPr>
                    <w:t>3.</w:t>
                  </w:r>
                  <w:r>
                    <w:rPr>
                      <w:rFonts w:hint="eastAsia" w:ascii="宋体" w:hAnsi="宋体" w:eastAsia="宋体" w:cs="宋体"/>
                      <w:color w:val="auto"/>
                      <w:spacing w:val="0"/>
                      <w:w w:val="100"/>
                      <w:kern w:val="0"/>
                      <w:position w:val="0"/>
                      <w:sz w:val="21"/>
                      <w:szCs w:val="21"/>
                      <w:highlight w:val="none"/>
                    </w:rPr>
                    <w:t>水环境工业污染重点管控区同时执行“</w:t>
                  </w:r>
                  <w:r>
                    <w:rPr>
                      <w:rFonts w:hint="default" w:ascii="Times New Roman" w:hAnsi="Times New Roman" w:eastAsia="宋体" w:cs="Times New Roman"/>
                      <w:color w:val="auto"/>
                      <w:spacing w:val="0"/>
                      <w:w w:val="100"/>
                      <w:kern w:val="0"/>
                      <w:position w:val="0"/>
                      <w:sz w:val="21"/>
                      <w:szCs w:val="21"/>
                      <w:highlight w:val="none"/>
                    </w:rPr>
                    <w:t>1</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区域内严格控制高耗水、高污染行业发展。</w:t>
                  </w:r>
                  <w:r>
                    <w:rPr>
                      <w:rFonts w:hint="default" w:ascii="Times New Roman" w:hAnsi="Times New Roman" w:eastAsia="宋体" w:cs="Times New Roman"/>
                      <w:color w:val="auto"/>
                      <w:spacing w:val="0"/>
                      <w:w w:val="100"/>
                      <w:kern w:val="0"/>
                      <w:position w:val="0"/>
                      <w:sz w:val="21"/>
                      <w:szCs w:val="21"/>
                      <w:highlight w:val="none"/>
                    </w:rPr>
                    <w:t>2</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加快淘汰落后产能，大力推进产业结构调整和优化升级。</w:t>
                  </w:r>
                  <w:r>
                    <w:rPr>
                      <w:rFonts w:hint="default" w:ascii="Times New Roman" w:hAnsi="Times New Roman" w:eastAsia="宋体" w:cs="Times New Roman"/>
                      <w:color w:val="auto"/>
                      <w:spacing w:val="0"/>
                      <w:w w:val="100"/>
                      <w:kern w:val="0"/>
                      <w:position w:val="0"/>
                      <w:sz w:val="21"/>
                      <w:szCs w:val="21"/>
                      <w:highlight w:val="none"/>
                    </w:rPr>
                    <w:t>3</w:t>
                  </w:r>
                  <w:r>
                    <w:rPr>
                      <w:rFonts w:hint="eastAsia" w:ascii="宋体" w:hAnsi="宋体" w:cs="宋体"/>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根据水资源和水环境承载能力，以水定城、以水定地、以水定人、以水定产。”</w:t>
                  </w:r>
                  <w:r>
                    <w:rPr>
                      <w:rFonts w:hint="default" w:ascii="Times New Roman" w:hAnsi="Times New Roman" w:eastAsia="宋体" w:cs="Times New Roman"/>
                      <w:color w:val="auto"/>
                      <w:spacing w:val="0"/>
                      <w:w w:val="100"/>
                      <w:kern w:val="0"/>
                      <w:position w:val="0"/>
                      <w:sz w:val="21"/>
                      <w:szCs w:val="21"/>
                      <w:highlight w:val="none"/>
                    </w:rPr>
                    <w:t>4.</w:t>
                  </w:r>
                  <w:r>
                    <w:rPr>
                      <w:rFonts w:hint="eastAsia" w:ascii="宋体" w:hAnsi="宋体" w:eastAsia="宋体" w:cs="宋体"/>
                      <w:color w:val="auto"/>
                      <w:spacing w:val="0"/>
                      <w:w w:val="100"/>
                      <w:kern w:val="0"/>
                      <w:position w:val="0"/>
                      <w:sz w:val="21"/>
                      <w:szCs w:val="21"/>
                      <w:highlight w:val="none"/>
                    </w:rPr>
                    <w:t>大气环境布局敏感重点管控区同时执行“</w:t>
                  </w:r>
                  <w:r>
                    <w:rPr>
                      <w:rFonts w:hint="default" w:ascii="Times New Roman" w:hAnsi="Times New Roman" w:eastAsia="宋体" w:cs="Times New Roman"/>
                      <w:color w:val="auto"/>
                      <w:spacing w:val="0"/>
                      <w:w w:val="100"/>
                      <w:kern w:val="0"/>
                      <w:position w:val="0"/>
                      <w:sz w:val="21"/>
                      <w:szCs w:val="21"/>
                      <w:highlight w:val="none"/>
                    </w:rPr>
                    <w:t>1</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严控“两高”行业产能。严格执行钢铁、水泥、平板玻璃等行业产能置换实施办法。</w:t>
                  </w:r>
                  <w:r>
                    <w:rPr>
                      <w:rFonts w:hint="default" w:ascii="Times New Roman" w:hAnsi="Times New Roman" w:eastAsia="宋体" w:cs="Times New Roman"/>
                      <w:color w:val="auto"/>
                      <w:spacing w:val="0"/>
                      <w:w w:val="100"/>
                      <w:kern w:val="0"/>
                      <w:position w:val="0"/>
                      <w:sz w:val="21"/>
                      <w:szCs w:val="21"/>
                      <w:highlight w:val="none"/>
                    </w:rPr>
                    <w:t>2</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利用水泥窑协同处置城市生活垃圾、危险废弃物、电石渣等固废伴生水泥项目，必须依托现有新型干法水泥熟料生产线进行不扩产能改造。”</w:t>
                  </w:r>
                  <w:r>
                    <w:rPr>
                      <w:rFonts w:hint="default" w:ascii="Times New Roman" w:hAnsi="Times New Roman" w:eastAsia="宋体" w:cs="Times New Roman"/>
                      <w:color w:val="auto"/>
                      <w:spacing w:val="0"/>
                      <w:w w:val="100"/>
                      <w:kern w:val="0"/>
                      <w:position w:val="0"/>
                      <w:sz w:val="21"/>
                      <w:szCs w:val="21"/>
                      <w:highlight w:val="none"/>
                    </w:rPr>
                    <w:t>5.</w:t>
                  </w:r>
                  <w:r>
                    <w:rPr>
                      <w:rFonts w:hint="eastAsia" w:ascii="宋体" w:hAnsi="宋体" w:eastAsia="宋体" w:cs="宋体"/>
                      <w:color w:val="auto"/>
                      <w:spacing w:val="0"/>
                      <w:w w:val="100"/>
                      <w:kern w:val="0"/>
                      <w:position w:val="0"/>
                      <w:sz w:val="21"/>
                      <w:szCs w:val="21"/>
                      <w:highlight w:val="none"/>
                    </w:rPr>
                    <w:t>同时执行“</w:t>
                  </w:r>
                  <w:r>
                    <w:rPr>
                      <w:rFonts w:hint="default" w:ascii="Times New Roman" w:hAnsi="Times New Roman" w:eastAsia="宋体" w:cs="Times New Roman"/>
                      <w:color w:val="auto"/>
                      <w:spacing w:val="0"/>
                      <w:w w:val="100"/>
                      <w:kern w:val="0"/>
                      <w:position w:val="0"/>
                      <w:sz w:val="21"/>
                      <w:szCs w:val="21"/>
                      <w:highlight w:val="none"/>
                    </w:rPr>
                    <w:t>1</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入园建设项目开展环评工作时，应以产业园区规划环评为依据，重点分析项目环评与规划环评结论及审查意见的符合性；产业园区招商引资、入园建设项目环评审批等应将规划环评结论及审查意见作为重要依据。</w:t>
                  </w:r>
                  <w:r>
                    <w:rPr>
                      <w:rFonts w:hint="eastAsia" w:ascii="Times New Roman" w:hAnsi="Times New Roman" w:cs="Times New Roman"/>
                      <w:color w:val="auto"/>
                      <w:spacing w:val="0"/>
                      <w:w w:val="100"/>
                      <w:kern w:val="0"/>
                      <w:position w:val="0"/>
                      <w:sz w:val="21"/>
                      <w:szCs w:val="21"/>
                      <w:highlight w:val="none"/>
                      <w:lang w:val="en-US" w:eastAsia="zh-CN"/>
                    </w:rPr>
                    <w:t>2</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新建、扩建石化、化工、焦化、有色金属冶炼、平板玻璃项目应布设在依法合规设立并经规划环评的产业园区。煤化工产业项目选址及污染控制措施等须满足安全、环境准入要求，新建</w:t>
                  </w:r>
                  <w:r>
                    <w:rPr>
                      <w:rFonts w:hint="eastAsia" w:ascii="宋体" w:hAnsi="宋体" w:cs="宋体"/>
                      <w:color w:val="auto"/>
                      <w:spacing w:val="0"/>
                      <w:w w:val="100"/>
                      <w:kern w:val="0"/>
                      <w:position w:val="0"/>
                      <w:sz w:val="21"/>
                      <w:szCs w:val="21"/>
                      <w:highlight w:val="none"/>
                      <w:lang w:val="en-US" w:eastAsia="zh-CN"/>
                    </w:rPr>
                    <w:t>项目</w:t>
                  </w:r>
                  <w:r>
                    <w:rPr>
                      <w:rFonts w:hint="eastAsia" w:ascii="宋体" w:hAnsi="宋体" w:eastAsia="宋体" w:cs="宋体"/>
                      <w:color w:val="auto"/>
                      <w:spacing w:val="0"/>
                      <w:w w:val="100"/>
                      <w:kern w:val="0"/>
                      <w:position w:val="0"/>
                      <w:sz w:val="21"/>
                      <w:szCs w:val="21"/>
                      <w:highlight w:val="none"/>
                    </w:rPr>
                    <w:t>需布局在一般或较低安全风险等级的化工园区。</w:t>
                  </w:r>
                  <w:r>
                    <w:rPr>
                      <w:rFonts w:hint="eastAsia" w:ascii="Times New Roman" w:hAnsi="Times New Roman" w:cs="Times New Roman"/>
                      <w:color w:val="auto"/>
                      <w:spacing w:val="0"/>
                      <w:w w:val="100"/>
                      <w:kern w:val="0"/>
                      <w:position w:val="0"/>
                      <w:sz w:val="21"/>
                      <w:szCs w:val="21"/>
                      <w:highlight w:val="none"/>
                      <w:lang w:val="en-US" w:eastAsia="zh-CN"/>
                    </w:rPr>
                    <w:t>3</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重大制造业项目、依托能源和矿产资源的资源加工业项目原则上布局在重点开发区。</w:t>
                  </w:r>
                  <w:r>
                    <w:rPr>
                      <w:rFonts w:hint="eastAsia" w:ascii="Times New Roman" w:hAnsi="Times New Roman" w:cs="Times New Roman"/>
                      <w:color w:val="auto"/>
                      <w:spacing w:val="0"/>
                      <w:w w:val="100"/>
                      <w:kern w:val="0"/>
                      <w:position w:val="0"/>
                      <w:sz w:val="21"/>
                      <w:szCs w:val="21"/>
                      <w:highlight w:val="none"/>
                      <w:lang w:val="en-US" w:eastAsia="zh-CN"/>
                    </w:rPr>
                    <w:t>4</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未纳入国家有关领域产业规划的，一律不得新建改扩建炼油和新建乙烯、对二甲苯、煤制烯烃项目。</w:t>
                  </w:r>
                  <w:r>
                    <w:rPr>
                      <w:rFonts w:hint="eastAsia" w:ascii="Times New Roman" w:hAnsi="Times New Roman" w:cs="Times New Roman"/>
                      <w:color w:val="auto"/>
                      <w:spacing w:val="0"/>
                      <w:w w:val="100"/>
                      <w:kern w:val="0"/>
                      <w:position w:val="0"/>
                      <w:sz w:val="21"/>
                      <w:szCs w:val="21"/>
                      <w:highlight w:val="none"/>
                      <w:lang w:val="en-US" w:eastAsia="zh-CN"/>
                    </w:rPr>
                    <w:t>5</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禁止引进国家产业政策明令淘汰和限制的产品、技术、工艺、设备及行为。</w:t>
                  </w:r>
                  <w:r>
                    <w:rPr>
                      <w:rFonts w:hint="eastAsia" w:ascii="Times New Roman" w:hAnsi="Times New Roman" w:cs="Times New Roman"/>
                      <w:color w:val="auto"/>
                      <w:spacing w:val="0"/>
                      <w:w w:val="100"/>
                      <w:kern w:val="0"/>
                      <w:position w:val="0"/>
                      <w:sz w:val="21"/>
                      <w:szCs w:val="21"/>
                      <w:highlight w:val="none"/>
                      <w:lang w:val="en-US" w:eastAsia="zh-CN"/>
                    </w:rPr>
                    <w:t>6</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编制产业园区开发建设规划时应依法开展规划环评。</w:t>
                  </w:r>
                  <w:r>
                    <w:rPr>
                      <w:rFonts w:hint="eastAsia" w:ascii="Times New Roman" w:hAnsi="Times New Roman" w:cs="Times New Roman"/>
                      <w:color w:val="auto"/>
                      <w:spacing w:val="0"/>
                      <w:w w:val="100"/>
                      <w:kern w:val="0"/>
                      <w:position w:val="0"/>
                      <w:sz w:val="21"/>
                      <w:szCs w:val="21"/>
                      <w:highlight w:val="none"/>
                      <w:lang w:val="en-US" w:eastAsia="zh-CN"/>
                    </w:rPr>
                    <w:t>7</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规划审批机关在审批规划时，应将规划环评结论及审查意见作为决策的重要依据，在审批中未采纳环境影响报告书结论及审查意见的，应当作出说明并存档备查。</w:t>
                  </w:r>
                  <w:r>
                    <w:rPr>
                      <w:rFonts w:hint="eastAsia" w:ascii="Times New Roman" w:hAnsi="Times New Roman" w:cs="Times New Roman"/>
                      <w:color w:val="auto"/>
                      <w:spacing w:val="0"/>
                      <w:w w:val="100"/>
                      <w:kern w:val="0"/>
                      <w:position w:val="0"/>
                      <w:sz w:val="21"/>
                      <w:szCs w:val="21"/>
                      <w:highlight w:val="none"/>
                      <w:lang w:val="en-US" w:eastAsia="zh-CN"/>
                    </w:rPr>
                    <w:t>8</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产业园区招商引资、入园建设项目环评审批等应将规划环评结论及审查意见作为重要依据。</w:t>
                  </w:r>
                  <w:r>
                    <w:rPr>
                      <w:rFonts w:hint="eastAsia" w:ascii="Times New Roman" w:hAnsi="Times New Roman" w:cs="Times New Roman"/>
                      <w:color w:val="auto"/>
                      <w:spacing w:val="0"/>
                      <w:w w:val="100"/>
                      <w:kern w:val="0"/>
                      <w:position w:val="0"/>
                      <w:sz w:val="21"/>
                      <w:szCs w:val="21"/>
                      <w:highlight w:val="none"/>
                      <w:lang w:val="en-US" w:eastAsia="zh-CN"/>
                    </w:rPr>
                    <w:t>9</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产业园区开发建设规划应符合国家政策和相关法律法规要求，规划发生重大调整或修订的，应当依法重新或补充开展规划环评工作。”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4"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不位于</w:t>
                  </w:r>
                  <w:r>
                    <w:rPr>
                      <w:rFonts w:hint="eastAsia" w:ascii="宋体" w:hAnsi="宋体" w:eastAsia="宋体" w:cs="宋体"/>
                      <w:color w:val="auto"/>
                      <w:spacing w:val="0"/>
                      <w:w w:val="100"/>
                      <w:kern w:val="0"/>
                      <w:position w:val="0"/>
                      <w:sz w:val="21"/>
                      <w:szCs w:val="21"/>
                      <w:highlight w:val="none"/>
                    </w:rPr>
                    <w:t>产业园</w:t>
                  </w:r>
                  <w:r>
                    <w:rPr>
                      <w:rFonts w:hint="eastAsia" w:ascii="宋体" w:hAnsi="宋体" w:cs="宋体"/>
                      <w:color w:val="auto"/>
                      <w:spacing w:val="0"/>
                      <w:w w:val="100"/>
                      <w:kern w:val="0"/>
                      <w:position w:val="0"/>
                      <w:sz w:val="21"/>
                      <w:szCs w:val="21"/>
                      <w:highlight w:val="none"/>
                      <w:lang w:val="en-US" w:eastAsia="zh-CN"/>
                    </w:rPr>
                    <w:t>内，不涉及工业污染</w:t>
                  </w:r>
                  <w:r>
                    <w:rPr>
                      <w:rFonts w:hint="eastAsia" w:ascii="宋体" w:hAnsi="宋体" w:eastAsia="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2"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污染物排放管控</w:t>
                  </w:r>
                </w:p>
              </w:tc>
              <w:tc>
                <w:tcPr>
                  <w:tcW w:w="3737" w:type="pct"/>
                  <w:vAlign w:val="center"/>
                </w:tcPr>
                <w:p>
                  <w:pPr>
                    <w:keepNext w:val="0"/>
                    <w:keepLines w:val="0"/>
                    <w:widowControl/>
                    <w:suppressLineNumbers w:val="0"/>
                    <w:spacing w:line="240" w:lineRule="auto"/>
                    <w:jc w:val="left"/>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1.入驻企业需满足清洁生产要求，要求企业开展清洁生产审核。2.新建工业窑炉和生产供汽锅炉需使用电、天然气等清洁能源：燃煤电厂需满足超低排放要求，提高煤电高效清洁利用水平。3.落实项目环境影响报告及其批复文件制定的生态环境保护措施和排污许可证制度，强化挥发性有机物污染治理和废气无组织排放控制管理。4.生产废水</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含地面冲洗水</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、生活污水和受污染的初期雨水需满足园区污水处理厂进水指标</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有行业标准的需同时满足行业标准</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方可进入园区污水处理厂，园区污水处理厂出水满足《城镇污水处理厂污染物排放标准》(GB8978-1996)中一级标准A标准后作为工业水源实现全部回用，不外排；进水口和出水口均安装自动在线监控装置。5.大气污染物排放总量：热电联产工程S0</w:t>
                  </w:r>
                  <w:r>
                    <w:rPr>
                      <w:rFonts w:hint="default" w:ascii="Times New Roman" w:hAnsi="Times New Roman" w:eastAsia="宋体" w:cs="Times New Roman"/>
                      <w:color w:val="auto"/>
                      <w:spacing w:val="0"/>
                      <w:w w:val="100"/>
                      <w:kern w:val="0"/>
                      <w:position w:val="0"/>
                      <w:sz w:val="21"/>
                      <w:szCs w:val="21"/>
                      <w:highlight w:val="none"/>
                      <w:vertAlign w:val="subscript"/>
                    </w:rPr>
                    <w:t>2</w:t>
                  </w:r>
                  <w:r>
                    <w:rPr>
                      <w:rFonts w:hint="default" w:ascii="Times New Roman" w:hAnsi="Times New Roman" w:eastAsia="宋体" w:cs="Times New Roman"/>
                      <w:color w:val="auto"/>
                      <w:spacing w:val="0"/>
                      <w:w w:val="100"/>
                      <w:kern w:val="0"/>
                      <w:position w:val="0"/>
                      <w:sz w:val="21"/>
                      <w:szCs w:val="21"/>
                      <w:highlight w:val="none"/>
                    </w:rPr>
                    <w:t>、NO</w:t>
                  </w:r>
                  <w:r>
                    <w:rPr>
                      <w:rFonts w:hint="eastAsia" w:ascii="Times New Roman" w:hAnsi="Times New Roman" w:cs="Times New Roman"/>
                      <w:color w:val="auto"/>
                      <w:spacing w:val="0"/>
                      <w:w w:val="100"/>
                      <w:kern w:val="0"/>
                      <w:position w:val="0"/>
                      <w:sz w:val="21"/>
                      <w:szCs w:val="21"/>
                      <w:highlight w:val="none"/>
                      <w:vertAlign w:val="subscript"/>
                      <w:lang w:val="en-US" w:eastAsia="zh-CN"/>
                    </w:rPr>
                    <w:t>X</w:t>
                  </w:r>
                  <w:r>
                    <w:rPr>
                      <w:rFonts w:hint="default" w:ascii="Times New Roman" w:hAnsi="Times New Roman" w:eastAsia="宋体" w:cs="Times New Roman"/>
                      <w:color w:val="auto"/>
                      <w:spacing w:val="0"/>
                      <w:w w:val="100"/>
                      <w:kern w:val="0"/>
                      <w:position w:val="0"/>
                      <w:sz w:val="21"/>
                      <w:szCs w:val="21"/>
                      <w:highlight w:val="none"/>
                    </w:rPr>
                    <w:t>和烟尘</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近期建议值</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排放量分别为182.10t/a、620.14t/a、52.03t/a。其它入驻项目大气污染物总量指标不得超过热电联产工程总量指标的20%。6.水污染物排放总量</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近期</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区域内实现回用，不外排至地表水环境。7.水环境工业污染重点管控区同时执行</w:t>
                  </w:r>
                  <w:r>
                    <w:rPr>
                      <w:rFonts w:hint="eastAsia" w:ascii="宋体" w:hAnsi="宋体" w:eastAsia="宋体" w:cs="宋体"/>
                      <w:color w:val="auto"/>
                      <w:spacing w:val="0"/>
                      <w:w w:val="100"/>
                      <w:kern w:val="0"/>
                      <w:position w:val="0"/>
                      <w:sz w:val="21"/>
                      <w:szCs w:val="21"/>
                      <w:highlight w:val="none"/>
                    </w:rPr>
                    <w:t>“</w:t>
                  </w:r>
                  <w:r>
                    <w:rPr>
                      <w:rFonts w:hint="default" w:ascii="Times New Roman" w:hAnsi="Times New Roman" w:eastAsia="宋体" w:cs="Times New Roman"/>
                      <w:color w:val="auto"/>
                      <w:spacing w:val="0"/>
                      <w:w w:val="100"/>
                      <w:kern w:val="0"/>
                      <w:position w:val="0"/>
                      <w:sz w:val="21"/>
                      <w:szCs w:val="21"/>
                      <w:highlight w:val="none"/>
                    </w:rPr>
                    <w:t>1</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新建、改建和扩建项目应当优先采用资源利用率高以及污染物产生量少的清洁生产技术、工艺和设备。2</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集中治理工业集聚区内工业废水，区内工业废水必须经预处理达到集中处理要求后，方可进入污水集中处理设施。新建、升级工业集聚区应同步规划和建设污水、垃圾集中处理等污染治理设施。</w:t>
                  </w:r>
                  <w:r>
                    <w:rPr>
                      <w:rFonts w:hint="eastAsia" w:ascii="宋体" w:hAnsi="宋体" w:eastAsia="宋体" w:cs="宋体"/>
                      <w:color w:val="auto"/>
                      <w:spacing w:val="0"/>
                      <w:w w:val="100"/>
                      <w:kern w:val="0"/>
                      <w:position w:val="0"/>
                      <w:sz w:val="21"/>
                      <w:szCs w:val="21"/>
                      <w:highlight w:val="none"/>
                    </w:rPr>
                    <w:t>”</w:t>
                  </w:r>
                  <w:r>
                    <w:rPr>
                      <w:rFonts w:hint="default" w:ascii="Times New Roman" w:hAnsi="Times New Roman" w:eastAsia="宋体" w:cs="Times New Roman"/>
                      <w:color w:val="auto"/>
                      <w:spacing w:val="0"/>
                      <w:w w:val="100"/>
                      <w:kern w:val="0"/>
                      <w:position w:val="0"/>
                      <w:sz w:val="21"/>
                      <w:szCs w:val="21"/>
                      <w:highlight w:val="none"/>
                    </w:rPr>
                    <w:t>8.</w:t>
                  </w:r>
                  <w:r>
                    <w:rPr>
                      <w:rFonts w:hint="eastAsia" w:ascii="宋体" w:hAnsi="宋体" w:eastAsia="宋体" w:cs="宋体"/>
                      <w:color w:val="auto"/>
                      <w:spacing w:val="0"/>
                      <w:w w:val="100"/>
                      <w:kern w:val="0"/>
                      <w:position w:val="0"/>
                      <w:sz w:val="21"/>
                      <w:szCs w:val="21"/>
                      <w:highlight w:val="none"/>
                    </w:rPr>
                    <w:t>大气环境布局敏感重点管控区同时执行“</w:t>
                  </w:r>
                  <w:r>
                    <w:rPr>
                      <w:rFonts w:hint="default" w:ascii="Times New Roman" w:hAnsi="Times New Roman" w:eastAsia="宋体" w:cs="Times New Roman"/>
                      <w:color w:val="auto"/>
                      <w:spacing w:val="0"/>
                      <w:w w:val="100"/>
                      <w:kern w:val="0"/>
                      <w:position w:val="0"/>
                      <w:sz w:val="21"/>
                      <w:szCs w:val="21"/>
                      <w:highlight w:val="none"/>
                    </w:rPr>
                    <w:t>1)对以煤、石焦油、渣油、重油等为燃料的锅炉和工业炉窑，加快使用清洁低碳能源以及工厂余热、电力热力等进行替代。2</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到2025年，在用65蒸吨/小时以上的燃煤锅炉</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含电力</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实现超低排放，钢铁企业基本实现超低排放。</w:t>
                  </w:r>
                  <w:r>
                    <w:rPr>
                      <w:rFonts w:hint="eastAsia" w:ascii="宋体" w:hAnsi="宋体" w:eastAsia="宋体" w:cs="宋体"/>
                      <w:color w:val="auto"/>
                      <w:spacing w:val="0"/>
                      <w:w w:val="100"/>
                      <w:kern w:val="0"/>
                      <w:position w:val="0"/>
                      <w:sz w:val="21"/>
                      <w:szCs w:val="21"/>
                      <w:highlight w:val="none"/>
                    </w:rPr>
                    <w:t>”</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含电力</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实现超低排放，钢铁企业基本实现超低排放。”</w:t>
                  </w:r>
                  <w:r>
                    <w:rPr>
                      <w:rFonts w:hint="default" w:ascii="Times New Roman" w:hAnsi="Times New Roman" w:eastAsia="宋体" w:cs="Times New Roman"/>
                      <w:color w:val="auto"/>
                      <w:spacing w:val="0"/>
                      <w:w w:val="100"/>
                      <w:kern w:val="0"/>
                      <w:position w:val="0"/>
                      <w:sz w:val="21"/>
                      <w:szCs w:val="21"/>
                      <w:highlight w:val="none"/>
                    </w:rPr>
                    <w:t>9.同时执行：1</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应按规定建设污水集中处理设施，并安装自动在线监控装置。2</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新</w:t>
                  </w:r>
                  <w:r>
                    <w:rPr>
                      <w:rFonts w:hint="eastAsia" w:ascii="宋体" w:hAnsi="宋体" w:eastAsia="宋体" w:cs="宋体"/>
                      <w:color w:val="auto"/>
                      <w:spacing w:val="0"/>
                      <w:w w:val="100"/>
                      <w:kern w:val="0"/>
                      <w:position w:val="0"/>
                      <w:sz w:val="21"/>
                      <w:szCs w:val="21"/>
                      <w:highlight w:val="none"/>
                    </w:rPr>
                    <w:t>建、扩建“两高”项目应采用先进适用的工艺技术和装备，单位产品物耗、能耗、水耗等达到清洁生产先进水平，依法制定并严格落实防治土壤与地下水污染的措施。严把新上项目碳排放关，新建、改建、扩建煤电、石化、化工、钢铁、有色冶炼、建材等高耗能、高排放项目，要充分论证，确保能耗、物耗、水耗达到清洁生产先进水平。</w:t>
                  </w:r>
                  <w:r>
                    <w:rPr>
                      <w:rFonts w:hint="default" w:ascii="Times New Roman" w:hAnsi="Times New Roman" w:eastAsia="宋体" w:cs="Times New Roman"/>
                      <w:color w:val="auto"/>
                      <w:spacing w:val="0"/>
                      <w:w w:val="100"/>
                      <w:kern w:val="0"/>
                      <w:position w:val="0"/>
                      <w:sz w:val="21"/>
                      <w:szCs w:val="21"/>
                      <w:highlight w:val="none"/>
                    </w:rPr>
                    <w:t>3</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新、改、扩建涉重金属重点行业建设项目必须遵循重点重金属污染物排放“减量置换”或“等量替换”原则。</w:t>
                  </w:r>
                  <w:r>
                    <w:rPr>
                      <w:rFonts w:hint="default" w:ascii="Times New Roman" w:hAnsi="Times New Roman" w:eastAsia="宋体" w:cs="Times New Roman"/>
                      <w:color w:val="auto"/>
                      <w:spacing w:val="0"/>
                      <w:w w:val="100"/>
                      <w:kern w:val="0"/>
                      <w:position w:val="0"/>
                      <w:sz w:val="21"/>
                      <w:szCs w:val="21"/>
                      <w:highlight w:val="none"/>
                    </w:rPr>
                    <w:t>4</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对于含有毒有害水污染物的工业废水和生活污水混合处理的污水处理厂产生的污泥，不能采用土地利用方式。5</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加强消耗臭氧层物质和氢氟碳化物环境管理，加强泡沫、制冷、氟化工等行业治理，逐步淘汰氢氯氟烃使用。6</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新建煤制烯烃、新建煤制对二甲苯</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PX</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项目纳入《现代煤化工产业创新发展布局方案》后，由省级政府核推。新建年产超过100万吨的煤制甲醇项目，</w:t>
                  </w:r>
                  <w:r>
                    <w:rPr>
                      <w:rFonts w:hint="eastAsia" w:ascii="宋体" w:hAnsi="宋体" w:eastAsia="宋体" w:cs="宋体"/>
                      <w:color w:val="auto"/>
                      <w:spacing w:val="0"/>
                      <w:w w:val="100"/>
                      <w:kern w:val="0"/>
                      <w:position w:val="0"/>
                      <w:sz w:val="21"/>
                      <w:szCs w:val="21"/>
                      <w:highlight w:val="none"/>
                    </w:rPr>
                    <w:t>由省级政府核准。</w:t>
                  </w:r>
                  <w:r>
                    <w:rPr>
                      <w:rFonts w:hint="default" w:ascii="Times New Roman" w:hAnsi="Times New Roman" w:eastAsia="宋体" w:cs="Times New Roman"/>
                      <w:color w:val="auto"/>
                      <w:spacing w:val="0"/>
                      <w:w w:val="100"/>
                      <w:kern w:val="0"/>
                      <w:position w:val="0"/>
                      <w:sz w:val="21"/>
                      <w:szCs w:val="21"/>
                      <w:highlight w:val="none"/>
                    </w:rPr>
                    <w:t>7</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各地不得新建、扩建二氟甲烷、1,1,1,2-四氟乙烷、五氟乙烷、1,1,1-三氟乙烷、1.1.1.3.3-五氟丙烷用作制冷剂、发泡剂等受控用途的HFCs化工生产设施</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不含副立设施</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环境影响报告书</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Times New Roman" w:hAnsi="Times New Roman" w:cs="Times New Roman"/>
                      <w:color w:val="auto"/>
                      <w:spacing w:val="0"/>
                      <w:w w:val="100"/>
                      <w:kern w:val="0"/>
                      <w:position w:val="0"/>
                      <w:sz w:val="21"/>
                      <w:szCs w:val="21"/>
                      <w:highlight w:val="none"/>
                      <w:lang w:val="en-US" w:eastAsia="zh-CN"/>
                    </w:rPr>
                    <w:t>表</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已通过审批的除外。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不位于</w:t>
                  </w:r>
                  <w:r>
                    <w:rPr>
                      <w:rFonts w:hint="eastAsia" w:ascii="宋体" w:hAnsi="宋体" w:eastAsia="宋体" w:cs="宋体"/>
                      <w:color w:val="auto"/>
                      <w:spacing w:val="0"/>
                      <w:w w:val="100"/>
                      <w:kern w:val="0"/>
                      <w:position w:val="0"/>
                      <w:sz w:val="21"/>
                      <w:szCs w:val="21"/>
                      <w:highlight w:val="none"/>
                    </w:rPr>
                    <w:t>产业园</w:t>
                  </w:r>
                  <w:r>
                    <w:rPr>
                      <w:rFonts w:hint="eastAsia" w:ascii="宋体" w:hAnsi="宋体" w:cs="宋体"/>
                      <w:color w:val="auto"/>
                      <w:spacing w:val="0"/>
                      <w:w w:val="100"/>
                      <w:kern w:val="0"/>
                      <w:position w:val="0"/>
                      <w:sz w:val="21"/>
                      <w:szCs w:val="21"/>
                      <w:highlight w:val="none"/>
                      <w:lang w:val="en-US" w:eastAsia="zh-CN"/>
                    </w:rPr>
                    <w:t>内，不涉及产排污</w:t>
                  </w:r>
                  <w:r>
                    <w:rPr>
                      <w:rFonts w:hint="eastAsia" w:ascii="宋体" w:hAnsi="宋体" w:eastAsia="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环境风险管控</w:t>
                  </w: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lang w:val="en-US" w:eastAsia="zh-CN"/>
                    </w:rPr>
                  </w:pPr>
                  <w:r>
                    <w:rPr>
                      <w:rFonts w:hint="default" w:ascii="Times New Roman" w:hAnsi="Times New Roman" w:eastAsia="宋体" w:cs="Times New Roman"/>
                      <w:color w:val="auto"/>
                      <w:spacing w:val="0"/>
                      <w:w w:val="100"/>
                      <w:kern w:val="0"/>
                      <w:position w:val="0"/>
                      <w:sz w:val="21"/>
                      <w:szCs w:val="21"/>
                      <w:highlight w:val="none"/>
                      <w:lang w:val="en-US" w:eastAsia="zh-CN"/>
                    </w:rPr>
                    <w:t>1.强化应急物资储备和救援队伍建设。2.要求企业在选址、总图布置、建筑安全、危险化学品贮存安全、自动控制设计安全、电气和电讯安全、消防和火灾报警系统、人员培训等方面完善各项环境风险防范措施和制度，突出全防全控，确保将风险防范融入</w:t>
                  </w:r>
                  <w:r>
                    <w:rPr>
                      <w:rFonts w:hint="eastAsia" w:cs="Times New Roman"/>
                      <w:color w:val="auto"/>
                      <w:spacing w:val="0"/>
                      <w:w w:val="100"/>
                      <w:kern w:val="0"/>
                      <w:position w:val="0"/>
                      <w:sz w:val="21"/>
                      <w:szCs w:val="21"/>
                      <w:highlight w:val="none"/>
                      <w:lang w:val="en-US" w:eastAsia="zh-CN"/>
                    </w:rPr>
                    <w:t>日</w:t>
                  </w:r>
                  <w:r>
                    <w:rPr>
                      <w:rFonts w:hint="default" w:ascii="Times New Roman" w:hAnsi="Times New Roman" w:eastAsia="宋体" w:cs="Times New Roman"/>
                      <w:color w:val="auto"/>
                      <w:spacing w:val="0"/>
                      <w:w w:val="100"/>
                      <w:kern w:val="0"/>
                      <w:position w:val="0"/>
                      <w:sz w:val="21"/>
                      <w:szCs w:val="21"/>
                      <w:highlight w:val="none"/>
                      <w:lang w:val="en-US" w:eastAsia="zh-CN"/>
                    </w:rPr>
                    <w:t>常环境管理制度体系：园区管理部门应加强执法监督，建立危险源数据库并动态更新，实现对重点企业和主要环境风险类型的动态监控。3.园区管理部门应当组织建设有毒有害气体环境风险预警体系，建设园区环境风险防范设施，强化区域环境风险应急防范能力。4.加强环境应急预案管理。园区和园区内企业应当结合经营性质、规模、组织体系，建立健全环境应急预案体系，并强化企业、园区以及上级政府环境应急预案之间的衔接：加强环境应急预案演练、评估与修订：编制园区重污染天气应急预案，与双鸭山市重污染天气应急预案做好衔接，当预测到区域将出现重污染天气时，根据预警发布，按级别启动应急响应措施。5.</w:t>
                  </w:r>
                  <w:r>
                    <w:rPr>
                      <w:rFonts w:hint="eastAsia" w:ascii="宋体" w:hAnsi="宋体" w:eastAsia="宋体" w:cs="宋体"/>
                      <w:color w:val="auto"/>
                      <w:spacing w:val="0"/>
                      <w:w w:val="100"/>
                      <w:kern w:val="0"/>
                      <w:position w:val="0"/>
                      <w:sz w:val="21"/>
                      <w:szCs w:val="21"/>
                      <w:highlight w:val="none"/>
                      <w:lang w:val="en-US" w:eastAsia="zh-CN"/>
                    </w:rPr>
                    <w:t>水环境工业污染重点管控区同时执行“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r>
                    <w:rPr>
                      <w:rFonts w:hint="default" w:ascii="Times New Roman" w:hAnsi="Times New Roman" w:eastAsia="宋体" w:cs="Times New Roman"/>
                      <w:color w:val="auto"/>
                      <w:spacing w:val="0"/>
                      <w:w w:val="100"/>
                      <w:kern w:val="0"/>
                      <w:position w:val="0"/>
                      <w:sz w:val="21"/>
                      <w:szCs w:val="21"/>
                      <w:highlight w:val="none"/>
                      <w:lang w:val="en-US" w:eastAsia="zh-CN"/>
                    </w:rPr>
                    <w:t>6.</w:t>
                  </w:r>
                  <w:r>
                    <w:rPr>
                      <w:rFonts w:hint="eastAsia" w:ascii="宋体" w:hAnsi="宋体" w:eastAsia="宋体" w:cs="宋体"/>
                      <w:color w:val="auto"/>
                      <w:spacing w:val="0"/>
                      <w:w w:val="100"/>
                      <w:kern w:val="0"/>
                      <w:position w:val="0"/>
                      <w:sz w:val="21"/>
                      <w:szCs w:val="21"/>
                      <w:highlight w:val="none"/>
                      <w:lang w:val="en-US" w:eastAsia="zh-CN"/>
                    </w:rPr>
                    <w:t>大气环境布局敏感重点管控区同时执行“禁止在居民区、学校、医疗和养老机构等周边新建有色金属冶炼、焦化等行业企业。”</w:t>
                  </w:r>
                  <w:r>
                    <w:rPr>
                      <w:rFonts w:hint="default" w:ascii="Times New Roman" w:hAnsi="Times New Roman" w:eastAsia="宋体" w:cs="Times New Roman"/>
                      <w:color w:val="auto"/>
                      <w:spacing w:val="0"/>
                      <w:w w:val="100"/>
                      <w:kern w:val="0"/>
                      <w:position w:val="0"/>
                      <w:sz w:val="21"/>
                      <w:szCs w:val="21"/>
                      <w:highlight w:val="none"/>
                      <w:lang w:val="en-US" w:eastAsia="zh-CN"/>
                    </w:rPr>
                    <w:t>7.同时执行“加强环境应急预案管理和风险预警。园区及园区</w:t>
                  </w:r>
                  <w:r>
                    <w:rPr>
                      <w:rFonts w:hint="eastAsia" w:ascii="宋体" w:hAnsi="宋体" w:eastAsia="宋体" w:cs="宋体"/>
                      <w:color w:val="auto"/>
                      <w:spacing w:val="0"/>
                      <w:w w:val="100"/>
                      <w:kern w:val="0"/>
                      <w:position w:val="0"/>
                      <w:sz w:val="21"/>
                      <w:szCs w:val="21"/>
                      <w:highlight w:val="none"/>
                      <w:lang w:val="en-US" w:eastAsia="zh-CN"/>
                    </w:rPr>
                    <w:t>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不位于</w:t>
                  </w:r>
                  <w:r>
                    <w:rPr>
                      <w:rFonts w:hint="eastAsia" w:ascii="宋体" w:hAnsi="宋体" w:eastAsia="宋体" w:cs="宋体"/>
                      <w:color w:val="auto"/>
                      <w:spacing w:val="0"/>
                      <w:w w:val="100"/>
                      <w:kern w:val="0"/>
                      <w:position w:val="0"/>
                      <w:sz w:val="21"/>
                      <w:szCs w:val="21"/>
                      <w:highlight w:val="none"/>
                    </w:rPr>
                    <w:t>产业园</w:t>
                  </w:r>
                  <w:r>
                    <w:rPr>
                      <w:rFonts w:hint="eastAsia" w:ascii="宋体" w:hAnsi="宋体" w:cs="宋体"/>
                      <w:color w:val="auto"/>
                      <w:spacing w:val="0"/>
                      <w:w w:val="100"/>
                      <w:kern w:val="0"/>
                      <w:position w:val="0"/>
                      <w:sz w:val="21"/>
                      <w:szCs w:val="21"/>
                      <w:highlight w:val="none"/>
                      <w:lang w:val="en-US" w:eastAsia="zh-CN"/>
                    </w:rPr>
                    <w:t>内，</w:t>
                  </w:r>
                  <w:r>
                    <w:rPr>
                      <w:rFonts w:hint="eastAsia" w:ascii="宋体" w:hAnsi="宋体" w:eastAsia="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资源开发效率要求</w:t>
                  </w: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1.入驻企业需满足清洁生产要求；要求企业开展清洁生产审核，不断提高企业清洁生产水平。2.单位产品</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产值</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物耗、能耗、水耗要达到国内先进水平3.落实最严格的水资源管理制度，实行水资源消耗总量和强度双控：加强节水管理，提高中水回用率，延长产业链，优化布局。4.工业用水优先使用园区污水处理厂中水。5.除产</w:t>
                  </w:r>
                  <w:r>
                    <w:rPr>
                      <w:rFonts w:hint="eastAsia" w:ascii="宋体" w:hAnsi="宋体" w:eastAsia="宋体" w:cs="宋体"/>
                      <w:color w:val="auto"/>
                      <w:spacing w:val="0"/>
                      <w:w w:val="100"/>
                      <w:kern w:val="0"/>
                      <w:position w:val="0"/>
                      <w:sz w:val="21"/>
                      <w:szCs w:val="21"/>
                      <w:highlight w:val="none"/>
                    </w:rPr>
                    <w:t>业园热电厂外禁止销售、燃用高污染燃料：禁止新建、改建、扩建任何燃用高污染燃料的项目和设备：已建成使用高污染燃料的各类设备应当拆除或者改用管道天然气、页岩气、液化石油气、电或者其他清洁能源：现有燃用高污染燃料设备在拆除或改造之前，应确保排放的大气污染物达到国家规定的大气污染物排放标准。</w:t>
                  </w:r>
                  <w:r>
                    <w:rPr>
                      <w:rFonts w:hint="default" w:ascii="Times New Roman" w:hAnsi="Times New Roman" w:eastAsia="宋体" w:cs="Times New Roman"/>
                      <w:color w:val="auto"/>
                      <w:spacing w:val="0"/>
                      <w:w w:val="100"/>
                      <w:kern w:val="0"/>
                      <w:position w:val="0"/>
                      <w:sz w:val="21"/>
                      <w:szCs w:val="21"/>
                      <w:highlight w:val="none"/>
                    </w:rPr>
                    <w:t>6.用水量上限：新鲜水(按照园区污水处理厂中水用于园区外企业工业用水考虑):近期为4万m</w:t>
                  </w:r>
                  <w:r>
                    <w:rPr>
                      <w:rFonts w:hint="default" w:ascii="Times New Roman" w:hAnsi="Times New Roman" w:eastAsia="宋体" w:cs="Times New Roman"/>
                      <w:color w:val="auto"/>
                      <w:spacing w:val="0"/>
                      <w:w w:val="100"/>
                      <w:kern w:val="0"/>
                      <w:position w:val="0"/>
                      <w:sz w:val="21"/>
                      <w:szCs w:val="21"/>
                      <w:highlight w:val="none"/>
                      <w:vertAlign w:val="superscript"/>
                    </w:rPr>
                    <w:t>3</w:t>
                  </w:r>
                  <w:r>
                    <w:rPr>
                      <w:rFonts w:hint="default" w:ascii="Times New Roman" w:hAnsi="Times New Roman" w:eastAsia="宋体" w:cs="Times New Roman"/>
                      <w:color w:val="auto"/>
                      <w:spacing w:val="0"/>
                      <w:w w:val="100"/>
                      <w:kern w:val="0"/>
                      <w:position w:val="0"/>
                      <w:sz w:val="21"/>
                      <w:szCs w:val="21"/>
                      <w:highlight w:val="none"/>
                    </w:rPr>
                    <w:t>/d,远期为5.3万m</w:t>
                  </w:r>
                  <w:r>
                    <w:rPr>
                      <w:rFonts w:hint="default" w:ascii="Times New Roman" w:hAnsi="Times New Roman" w:eastAsia="宋体" w:cs="Times New Roman"/>
                      <w:color w:val="auto"/>
                      <w:spacing w:val="0"/>
                      <w:w w:val="100"/>
                      <w:kern w:val="0"/>
                      <w:position w:val="0"/>
                      <w:sz w:val="21"/>
                      <w:szCs w:val="21"/>
                      <w:highlight w:val="none"/>
                      <w:vertAlign w:val="superscript"/>
                    </w:rPr>
                    <w:t>3</w:t>
                  </w:r>
                  <w:r>
                    <w:rPr>
                      <w:rFonts w:hint="default" w:ascii="Times New Roman" w:hAnsi="Times New Roman" w:eastAsia="宋体" w:cs="Times New Roman"/>
                      <w:color w:val="auto"/>
                      <w:spacing w:val="0"/>
                      <w:w w:val="100"/>
                      <w:kern w:val="0"/>
                      <w:position w:val="0"/>
                      <w:sz w:val="21"/>
                      <w:szCs w:val="21"/>
                      <w:highlight w:val="none"/>
                    </w:rPr>
                    <w:t>/d。7.建设用地土地资源总量上限：168.90hm</w:t>
                  </w:r>
                  <w:r>
                    <w:rPr>
                      <w:rFonts w:hint="default" w:ascii="Times New Roman" w:hAnsi="Times New Roman" w:eastAsia="宋体" w:cs="Times New Roman"/>
                      <w:color w:val="auto"/>
                      <w:spacing w:val="0"/>
                      <w:w w:val="100"/>
                      <w:kern w:val="0"/>
                      <w:position w:val="0"/>
                      <w:sz w:val="21"/>
                      <w:szCs w:val="21"/>
                      <w:highlight w:val="none"/>
                      <w:vertAlign w:val="superscript"/>
                    </w:rPr>
                    <w:t>2</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工业用地总量上限：775.09hm</w:t>
                  </w:r>
                  <w:r>
                    <w:rPr>
                      <w:rFonts w:hint="default" w:ascii="Times New Roman" w:hAnsi="Times New Roman" w:eastAsia="宋体" w:cs="Times New Roman"/>
                      <w:color w:val="auto"/>
                      <w:spacing w:val="0"/>
                      <w:w w:val="100"/>
                      <w:kern w:val="0"/>
                      <w:position w:val="0"/>
                      <w:sz w:val="21"/>
                      <w:szCs w:val="21"/>
                      <w:highlight w:val="none"/>
                      <w:vertAlign w:val="superscript"/>
                    </w:rPr>
                    <w:t>2</w:t>
                  </w:r>
                  <w:r>
                    <w:rPr>
                      <w:rFonts w:hint="default" w:ascii="Times New Roman" w:hAnsi="Times New Roman" w:eastAsia="宋体" w:cs="Times New Roman"/>
                      <w:color w:val="auto"/>
                      <w:spacing w:val="0"/>
                      <w:w w:val="100"/>
                      <w:kern w:val="0"/>
                      <w:position w:val="0"/>
                      <w:sz w:val="21"/>
                      <w:szCs w:val="21"/>
                      <w:highlight w:val="none"/>
                    </w:rPr>
                    <w:t>。8.能耗上限为0.5吨标煤/万元。9.高污染燃料禁燃区同时执行</w:t>
                  </w:r>
                  <w:r>
                    <w:rPr>
                      <w:rFonts w:hint="eastAsia" w:ascii="宋体" w:hAnsi="宋体" w:eastAsia="宋体" w:cs="宋体"/>
                      <w:color w:val="auto"/>
                      <w:spacing w:val="0"/>
                      <w:w w:val="100"/>
                      <w:kern w:val="0"/>
                      <w:position w:val="0"/>
                      <w:sz w:val="21"/>
                      <w:szCs w:val="21"/>
                      <w:highlight w:val="none"/>
                    </w:rPr>
                    <w:t>“</w:t>
                  </w:r>
                  <w:r>
                    <w:rPr>
                      <w:rFonts w:hint="default" w:ascii="Times New Roman" w:hAnsi="Times New Roman" w:eastAsia="微软雅黑" w:cs="Times New Roman"/>
                      <w:color w:val="auto"/>
                      <w:spacing w:val="0"/>
                      <w:w w:val="100"/>
                      <w:kern w:val="0"/>
                      <w:position w:val="0"/>
                      <w:sz w:val="21"/>
                      <w:szCs w:val="21"/>
                      <w:highlight w:val="none"/>
                    </w:rPr>
                    <w:t>1</w:t>
                  </w:r>
                  <w:r>
                    <w:rPr>
                      <w:rFonts w:hint="eastAsia" w:asciiTheme="minorEastAsia" w:hAnsiTheme="minorEastAsia" w:eastAsiaTheme="minorEastAsia" w:cstheme="minorEastAsia"/>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在禁燃区内，禁止销售、燃用高污染燃料：禁止新建、扩建燃用高污染燃料的设施，已建成的，应当在城市人民政府规定的期限内改用天然气、页岩气、液化石油气、电或者其他清洁能源。</w:t>
                  </w:r>
                  <w:r>
                    <w:rPr>
                      <w:rFonts w:hint="eastAsia" w:ascii="Times New Roman" w:hAnsi="Times New Roman" w:eastAsia="微软雅黑" w:cs="Times New Roman"/>
                      <w:color w:val="auto"/>
                      <w:spacing w:val="0"/>
                      <w:w w:val="100"/>
                      <w:kern w:val="0"/>
                      <w:position w:val="0"/>
                      <w:sz w:val="21"/>
                      <w:szCs w:val="21"/>
                      <w:highlight w:val="none"/>
                      <w:lang w:val="en-US" w:eastAsia="zh-CN"/>
                    </w:rPr>
                    <w:t>2</w:t>
                  </w:r>
                  <w:r>
                    <w:rPr>
                      <w:rFonts w:hint="eastAsia" w:asciiTheme="minorEastAsia" w:hAnsiTheme="minorEastAsia" w:eastAsiaTheme="minorEastAsia" w:cstheme="minorEastAsia"/>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城市建设应当统筹规划，在燃煤供热地区，推进热电联产和集中供热。在集中供热管网覆盖地区，禁止新建、扩建分散燃煤供热锅炉：已建成的不能达标排放的燃煤供热锅炉，应当在城市人民政府规定的期限内拆除。”</w:t>
                  </w:r>
                  <w:r>
                    <w:rPr>
                      <w:rFonts w:hint="default" w:ascii="Times New Roman" w:hAnsi="Times New Roman" w:eastAsia="宋体" w:cs="Times New Roman"/>
                      <w:color w:val="auto"/>
                      <w:spacing w:val="0"/>
                      <w:w w:val="100"/>
                      <w:kern w:val="0"/>
                      <w:position w:val="0"/>
                      <w:sz w:val="21"/>
                      <w:szCs w:val="21"/>
                      <w:highlight w:val="none"/>
                    </w:rPr>
                    <w:t>10.</w:t>
                  </w:r>
                  <w:r>
                    <w:rPr>
                      <w:rFonts w:hint="eastAsia" w:ascii="宋体" w:hAnsi="宋体" w:eastAsia="宋体" w:cs="宋体"/>
                      <w:color w:val="auto"/>
                      <w:spacing w:val="0"/>
                      <w:w w:val="100"/>
                      <w:kern w:val="0"/>
                      <w:position w:val="0"/>
                      <w:sz w:val="21"/>
                      <w:szCs w:val="21"/>
                      <w:highlight w:val="none"/>
                    </w:rPr>
                    <w:t>同时执行“</w:t>
                  </w:r>
                  <w:r>
                    <w:rPr>
                      <w:rFonts w:hint="default" w:ascii="Times New Roman" w:hAnsi="Times New Roman" w:eastAsia="微软雅黑" w:cs="Times New Roman"/>
                      <w:color w:val="auto"/>
                      <w:spacing w:val="0"/>
                      <w:w w:val="100"/>
                      <w:kern w:val="0"/>
                      <w:position w:val="0"/>
                      <w:sz w:val="21"/>
                      <w:szCs w:val="21"/>
                      <w:highlight w:val="none"/>
                    </w:rPr>
                    <w:t>1</w:t>
                  </w:r>
                  <w:r>
                    <w:rPr>
                      <w:rFonts w:hint="eastAsia" w:asciiTheme="minorEastAsia" w:hAnsiTheme="minorEastAsia" w:eastAsiaTheme="minorEastAsia" w:cstheme="minorEastAsia"/>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落实最严格的水资源管理制度，实行水资源消耗总量和强度双控。</w:t>
                  </w:r>
                  <w:r>
                    <w:rPr>
                      <w:rFonts w:hint="eastAsia" w:ascii="宋体" w:hAnsi="宋体" w:cs="宋体"/>
                      <w:color w:val="auto"/>
                      <w:spacing w:val="0"/>
                      <w:w w:val="100"/>
                      <w:kern w:val="0"/>
                      <w:position w:val="0"/>
                      <w:sz w:val="21"/>
                      <w:szCs w:val="21"/>
                      <w:highlight w:val="none"/>
                      <w:lang w:val="en-US" w:eastAsia="zh-CN"/>
                    </w:rPr>
                    <w:t>2</w:t>
                  </w:r>
                  <w:r>
                    <w:rPr>
                      <w:rFonts w:hint="eastAsia" w:asciiTheme="minorEastAsia" w:hAnsiTheme="minorEastAsia" w:eastAsiaTheme="minorEastAsia" w:cstheme="minorEastAsia"/>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全面推行清洁生产，依法在“双超双有高耗能”行业实施强制性清洁生产审核。”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不位于</w:t>
                  </w:r>
                  <w:r>
                    <w:rPr>
                      <w:rFonts w:hint="eastAsia" w:ascii="宋体" w:hAnsi="宋体" w:eastAsia="宋体" w:cs="宋体"/>
                      <w:color w:val="auto"/>
                      <w:spacing w:val="0"/>
                      <w:w w:val="100"/>
                      <w:kern w:val="0"/>
                      <w:position w:val="0"/>
                      <w:sz w:val="21"/>
                      <w:szCs w:val="21"/>
                      <w:highlight w:val="none"/>
                    </w:rPr>
                    <w:t>产业园</w:t>
                  </w:r>
                  <w:r>
                    <w:rPr>
                      <w:rFonts w:hint="eastAsia" w:ascii="宋体" w:hAnsi="宋体" w:cs="宋体"/>
                      <w:color w:val="auto"/>
                      <w:spacing w:val="0"/>
                      <w:w w:val="100"/>
                      <w:kern w:val="0"/>
                      <w:position w:val="0"/>
                      <w:sz w:val="21"/>
                      <w:szCs w:val="21"/>
                      <w:highlight w:val="none"/>
                      <w:lang w:val="en-US" w:eastAsia="zh-CN"/>
                    </w:rPr>
                    <w:t>内，</w:t>
                  </w:r>
                  <w:r>
                    <w:rPr>
                      <w:rFonts w:hint="eastAsia" w:ascii="宋体" w:hAnsi="宋体" w:eastAsia="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环境管控单元名称</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kern w:val="0"/>
                      <w:position w:val="0"/>
                      <w:sz w:val="21"/>
                      <w:szCs w:val="21"/>
                      <w:highlight w:val="none"/>
                      <w:lang w:val="en-US" w:eastAsia="zh-CN"/>
                    </w:rPr>
                    <w:t>双鸭山经济技术开发区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环境管控单元编码</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highlight w:val="none"/>
                      <w:lang w:val="en-US" w:eastAsia="zh-CN" w:bidi="ar-SA"/>
                    </w:rPr>
                    <w:t>ZH23050520001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管控单元类别</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lang w:val="en-US" w:eastAsia="zh-CN"/>
                    </w:rPr>
                    <w:t>重点</w:t>
                  </w:r>
                  <w:r>
                    <w:rPr>
                      <w:rFonts w:hint="eastAsia" w:ascii="宋体" w:hAnsi="宋体" w:eastAsia="宋体" w:cs="宋体"/>
                      <w:color w:val="auto"/>
                      <w:spacing w:val="0"/>
                      <w:w w:val="100"/>
                      <w:position w:val="0"/>
                      <w:sz w:val="21"/>
                      <w:szCs w:val="21"/>
                      <w:highlight w:val="none"/>
                    </w:rPr>
                    <w:t>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5"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空间布局约束</w:t>
                  </w:r>
                </w:p>
              </w:tc>
              <w:tc>
                <w:tcPr>
                  <w:tcW w:w="3737" w:type="pct"/>
                  <w:vAlign w:val="center"/>
                </w:tcPr>
                <w:p>
                  <w:pPr>
                    <w:keepNext w:val="0"/>
                    <w:keepLines w:val="0"/>
                    <w:widowControl/>
                    <w:numPr>
                      <w:ilvl w:val="0"/>
                      <w:numId w:val="0"/>
                    </w:numPr>
                    <w:suppressLineNumbers w:val="0"/>
                    <w:spacing w:line="240" w:lineRule="auto"/>
                    <w:jc w:val="left"/>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1.负责统筹区域内生态环境基础设施建设，不得引入不符合规划环评结论及审查意见的入园建设项目。2.新、改、扩建钢铁、石化、化工、焦化、建材、有色等项目的环境影响评价，应满足区域、规划环评要求。3.新建、扩建石化、化工、焦化、有色金属冶炼、平板玻璃项目应布设在依法合规设立并经规划环评的产业园区。4.重大制造业项目、依托能源和矿产资源的资源加工业项目原则上布局在重点开发区域。5.新建化工项目须进入合规设立的化工园区。6.园区规划及规划环评变更后执行新的园区规划和规划环评管控要求。7.同</w:t>
                  </w:r>
                  <w:r>
                    <w:rPr>
                      <w:rFonts w:hint="eastAsia" w:ascii="宋体" w:hAnsi="宋体" w:eastAsia="宋体" w:cs="宋体"/>
                      <w:color w:val="auto"/>
                      <w:spacing w:val="0"/>
                      <w:w w:val="100"/>
                      <w:kern w:val="0"/>
                      <w:position w:val="0"/>
                      <w:sz w:val="21"/>
                      <w:szCs w:val="21"/>
                      <w:highlight w:val="none"/>
                    </w:rPr>
                    <w:t>时执行“</w:t>
                  </w:r>
                  <w:r>
                    <w:rPr>
                      <w:rFonts w:hint="default" w:ascii="Times New Roman" w:hAnsi="Times New Roman" w:eastAsia="微软雅黑" w:cs="Times New Roman"/>
                      <w:color w:val="auto"/>
                      <w:spacing w:val="0"/>
                      <w:w w:val="100"/>
                      <w:kern w:val="0"/>
                      <w:position w:val="0"/>
                      <w:sz w:val="21"/>
                      <w:szCs w:val="21"/>
                      <w:highlight w:val="none"/>
                    </w:rPr>
                    <w:t>1</w:t>
                  </w:r>
                  <w:r>
                    <w:rPr>
                      <w:rFonts w:hint="eastAsia" w:asciiTheme="minorEastAsia" w:hAnsiTheme="minorEastAsia" w:eastAsiaTheme="minorEastAsia" w:cstheme="minorEastAsia"/>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入园建设项目开展环评工作时，应以产业园区规划环评为依据，重点分析项目环评与规划环评结论及审查意见的符合性；产业园区招商引资、入园建设项目环评审批等应将规划环评结论及审查意见作为重要依据。</w:t>
                  </w:r>
                  <w:r>
                    <w:rPr>
                      <w:rFonts w:hint="default" w:ascii="Times New Roman" w:hAnsi="Times New Roman" w:cs="Times New Roman"/>
                      <w:color w:val="auto"/>
                      <w:spacing w:val="0"/>
                      <w:w w:val="100"/>
                      <w:kern w:val="0"/>
                      <w:position w:val="0"/>
                      <w:sz w:val="21"/>
                      <w:szCs w:val="21"/>
                      <w:highlight w:val="none"/>
                      <w:lang w:val="en-US" w:eastAsia="zh-CN"/>
                    </w:rPr>
                    <w:t>2</w:t>
                  </w:r>
                  <w:r>
                    <w:rPr>
                      <w:rFonts w:hint="eastAsia" w:asciiTheme="minorEastAsia" w:hAnsiTheme="minorEastAsia" w:eastAsiaTheme="minorEastAsia" w:cstheme="minorEastAsia"/>
                      <w:color w:val="auto"/>
                      <w:spacing w:val="0"/>
                      <w:w w:val="100"/>
                      <w:kern w:val="0"/>
                      <w:position w:val="0"/>
                      <w:sz w:val="21"/>
                      <w:szCs w:val="21"/>
                      <w:highlight w:val="none"/>
                      <w:lang w:eastAsia="zh-CN"/>
                    </w:rPr>
                    <w:t>）</w:t>
                  </w:r>
                  <w:r>
                    <w:rPr>
                      <w:rFonts w:hint="eastAsia" w:ascii="宋体" w:hAnsi="宋体" w:eastAsia="宋体" w:cs="宋体"/>
                      <w:color w:val="auto"/>
                      <w:spacing w:val="0"/>
                      <w:w w:val="100"/>
                      <w:kern w:val="0"/>
                      <w:position w:val="0"/>
                      <w:sz w:val="21"/>
                      <w:szCs w:val="21"/>
                      <w:highlight w:val="none"/>
                    </w:rPr>
                    <w:t>新建、扩建石化、化工、焦化、有色金属冶炼、平板玻璃项目应布设在依法合规设立并经规划环评的产业园区。煤化工产业项目选址及污染控制措施等须满足安全、环境准入要求，新建项目需布局在一般或较低安全风险等级的化工园区。</w:t>
                  </w:r>
                  <w:r>
                    <w:rPr>
                      <w:rFonts w:hint="default" w:ascii="Times New Roman" w:hAnsi="Times New Roman" w:eastAsia="宋体" w:cs="Times New Roman"/>
                      <w:color w:val="auto"/>
                      <w:spacing w:val="0"/>
                      <w:w w:val="100"/>
                      <w:kern w:val="0"/>
                      <w:position w:val="0"/>
                      <w:sz w:val="21"/>
                      <w:szCs w:val="21"/>
                      <w:highlight w:val="none"/>
                    </w:rPr>
                    <w:t>3</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重大制造业项目、依托能源和矿产资源的资源加工业项目原则上布局在重点开发区。4</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未纳入国家有关领域产业规划的，一律不得新建改扩建炼油和新建乙烯、对二甲苯、煤制烯烃项目。5</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禁止引进国家产业政策明令淘汰和限制的产品、技术、工艺、设备及行为。6</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编制产业园区开发建设规划时应依法开展规划环评。7</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规划审批机关在审批规划时，应将规划环评结论及审查意见作为决策的重要依据，在审批中未采纳环境影响报告书结论及审查意见的，应当作出说明并存档备查。8</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产业园区招商引资、入园建设项目环评审批等应将规划环评结论及审查意见作为重要依据。9</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产业园</w:t>
                  </w:r>
                  <w:r>
                    <w:rPr>
                      <w:rFonts w:hint="eastAsia" w:ascii="宋体" w:hAnsi="宋体" w:eastAsia="宋体" w:cs="宋体"/>
                      <w:color w:val="auto"/>
                      <w:spacing w:val="0"/>
                      <w:w w:val="100"/>
                      <w:kern w:val="0"/>
                      <w:position w:val="0"/>
                      <w:sz w:val="21"/>
                      <w:szCs w:val="21"/>
                      <w:highlight w:val="none"/>
                    </w:rPr>
                    <w:t>区开发建设规划应符合国家政策和相关法律法规要求，规划发生重大调整或修订的，应当依法重新或补充开展规划环评工作。”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不位于</w:t>
                  </w:r>
                  <w:r>
                    <w:rPr>
                      <w:rFonts w:hint="eastAsia" w:ascii="宋体" w:hAnsi="宋体" w:eastAsia="宋体" w:cs="宋体"/>
                      <w:color w:val="auto"/>
                      <w:spacing w:val="0"/>
                      <w:w w:val="100"/>
                      <w:kern w:val="0"/>
                      <w:position w:val="0"/>
                      <w:sz w:val="21"/>
                      <w:szCs w:val="21"/>
                      <w:highlight w:val="none"/>
                      <w:lang w:val="en-US" w:eastAsia="zh-CN"/>
                    </w:rPr>
                    <w:t>经济技术开发区</w:t>
                  </w:r>
                  <w:r>
                    <w:rPr>
                      <w:rFonts w:hint="eastAsia" w:ascii="宋体" w:hAnsi="宋体" w:cs="宋体"/>
                      <w:color w:val="auto"/>
                      <w:spacing w:val="0"/>
                      <w:w w:val="100"/>
                      <w:kern w:val="0"/>
                      <w:position w:val="0"/>
                      <w:sz w:val="21"/>
                      <w:szCs w:val="21"/>
                      <w:highlight w:val="none"/>
                      <w:lang w:val="en-US" w:eastAsia="zh-CN"/>
                    </w:rPr>
                    <w:t>内，不属于</w:t>
                  </w:r>
                  <w:r>
                    <w:rPr>
                      <w:rFonts w:hint="default" w:ascii="Times New Roman" w:hAnsi="Times New Roman" w:eastAsia="宋体" w:cs="Times New Roman"/>
                      <w:color w:val="auto"/>
                      <w:spacing w:val="0"/>
                      <w:w w:val="100"/>
                      <w:kern w:val="0"/>
                      <w:position w:val="0"/>
                      <w:sz w:val="21"/>
                      <w:szCs w:val="21"/>
                      <w:highlight w:val="none"/>
                    </w:rPr>
                    <w:t>新、改、扩建钢铁、石化、化工、焦化、建材、有色等项目</w:t>
                  </w:r>
                  <w:r>
                    <w:rPr>
                      <w:rFonts w:hint="eastAsia" w:ascii="Times New Roman" w:hAnsi="Times New Roman" w:cs="Times New Roman"/>
                      <w:color w:val="auto"/>
                      <w:spacing w:val="0"/>
                      <w:w w:val="100"/>
                      <w:kern w:val="0"/>
                      <w:position w:val="0"/>
                      <w:sz w:val="21"/>
                      <w:szCs w:val="21"/>
                      <w:highlight w:val="none"/>
                      <w:lang w:eastAsia="zh-CN"/>
                    </w:rPr>
                    <w:t>，</w:t>
                  </w:r>
                  <w:r>
                    <w:rPr>
                      <w:rFonts w:hint="eastAsia" w:ascii="宋体" w:hAnsi="宋体" w:eastAsia="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7"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污染物排放管控</w:t>
                  </w:r>
                </w:p>
              </w:tc>
              <w:tc>
                <w:tcPr>
                  <w:tcW w:w="3737" w:type="pct"/>
                  <w:vAlign w:val="center"/>
                </w:tcPr>
                <w:p>
                  <w:pPr>
                    <w:keepNext w:val="0"/>
                    <w:keepLines w:val="0"/>
                    <w:pageBreakBefore w:val="0"/>
                    <w:widowControl w:val="0"/>
                    <w:numPr>
                      <w:ilvl w:val="0"/>
                      <w:numId w:val="0"/>
                    </w:numPr>
                    <w:kinsoku/>
                    <w:wordWrap/>
                    <w:overflowPunct/>
                    <w:topLinePunct w:val="0"/>
                    <w:bidi w:val="0"/>
                    <w:spacing w:line="240" w:lineRule="auto"/>
                    <w:ind w:right="0" w:rightChars="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1.应按规定建设污水集中处理设施，并安装自动在线监控装置。2.</w:t>
                  </w:r>
                  <w:r>
                    <w:rPr>
                      <w:rFonts w:hint="eastAsia" w:ascii="宋体" w:hAnsi="宋体" w:eastAsia="宋体" w:cs="宋体"/>
                      <w:color w:val="auto"/>
                      <w:spacing w:val="0"/>
                      <w:w w:val="100"/>
                      <w:kern w:val="0"/>
                      <w:position w:val="0"/>
                      <w:sz w:val="21"/>
                      <w:szCs w:val="21"/>
                      <w:highlight w:val="none"/>
                    </w:rPr>
                    <w:t>新建、扩建“两高”项目应采用先进适用的工艺技术和装备，单位产品物耗、能耗、水耗等达到清洁生产先进水平，依法制定并严格落实防治土壤与地下水污染的措施。严把新上项目碳排放关，新建、</w:t>
                  </w:r>
                  <w:r>
                    <w:rPr>
                      <w:rFonts w:hint="eastAsia" w:ascii="宋体" w:hAnsi="宋体" w:cs="宋体"/>
                      <w:color w:val="auto"/>
                      <w:spacing w:val="0"/>
                      <w:w w:val="100"/>
                      <w:kern w:val="0"/>
                      <w:position w:val="0"/>
                      <w:sz w:val="21"/>
                      <w:szCs w:val="21"/>
                      <w:highlight w:val="none"/>
                      <w:lang w:val="en-US" w:eastAsia="zh-CN"/>
                    </w:rPr>
                    <w:t>改建</w:t>
                  </w:r>
                  <w:r>
                    <w:rPr>
                      <w:rFonts w:hint="eastAsia" w:ascii="宋体" w:hAnsi="宋体" w:eastAsia="宋体" w:cs="宋体"/>
                      <w:color w:val="auto"/>
                      <w:spacing w:val="0"/>
                      <w:w w:val="100"/>
                      <w:kern w:val="0"/>
                      <w:position w:val="0"/>
                      <w:sz w:val="21"/>
                      <w:szCs w:val="21"/>
                      <w:highlight w:val="none"/>
                    </w:rPr>
                    <w:t>、扩建煤电、石化、化工、钢铁、有色冶炼、建材等高耗能、高排放项目，要充分论证，确保能耗、物耗、水耗达到清洁生产先进水平。</w:t>
                  </w:r>
                  <w:r>
                    <w:rPr>
                      <w:rFonts w:hint="default" w:ascii="Times New Roman" w:hAnsi="Times New Roman" w:eastAsia="宋体" w:cs="Times New Roman"/>
                      <w:color w:val="auto"/>
                      <w:spacing w:val="0"/>
                      <w:w w:val="100"/>
                      <w:kern w:val="0"/>
                      <w:position w:val="0"/>
                      <w:sz w:val="21"/>
                      <w:szCs w:val="21"/>
                      <w:highlight w:val="none"/>
                    </w:rPr>
                    <w:t>3.</w:t>
                  </w:r>
                  <w:r>
                    <w:rPr>
                      <w:rFonts w:hint="eastAsia" w:ascii="宋体" w:hAnsi="宋体" w:eastAsia="宋体" w:cs="宋体"/>
                      <w:color w:val="auto"/>
                      <w:spacing w:val="0"/>
                      <w:w w:val="100"/>
                      <w:kern w:val="0"/>
                      <w:position w:val="0"/>
                      <w:sz w:val="21"/>
                      <w:szCs w:val="21"/>
                      <w:highlight w:val="none"/>
                    </w:rPr>
                    <w:t>新、改、扩建涉重金属重点行业建设项目必须遵循重点重金属污染物排放“减量置换”或“等量替换”原则。</w:t>
                  </w:r>
                  <w:r>
                    <w:rPr>
                      <w:rFonts w:hint="default" w:ascii="Times New Roman" w:hAnsi="Times New Roman" w:eastAsia="宋体" w:cs="Times New Roman"/>
                      <w:color w:val="auto"/>
                      <w:spacing w:val="0"/>
                      <w:w w:val="100"/>
                      <w:kern w:val="0"/>
                      <w:position w:val="0"/>
                      <w:sz w:val="21"/>
                      <w:szCs w:val="21"/>
                      <w:highlight w:val="none"/>
                    </w:rPr>
                    <w:t>4.对于含有毒有害水污染物的工业废水和生活污水混合处理的污水处理厂产生的污泥，不能采用土地利用方式。5.加强消耗臭氧层物质和氢氟碳化物环境管理，加强泡沫、制冷、氟化工等行业治理，逐步淘汰氢氯氟烃使用。6.新建煤制烯烃、新建煤制对二甲苯</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PX</w:t>
                  </w:r>
                  <w:r>
                    <w:rPr>
                      <w:rFonts w:hint="eastAsia" w:ascii="Times New Roman" w:hAnsi="Times New Roman"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项目纳入《现代煤化工产业创新发展布局方案》后，由省级政府核准。新建年产超过100万吨的煤制甲醇项目，由省级政府核准。7.各地不得新建、扩建二氟甲烷、1,1,1,2-四氟乙烷、五氟乙烷、1,1,1-三氟乙烷、1.1.1.3.3-五氟丙烷用作制冷剂、发泡剂等受控用途的HFCs化工生产设施(不含副立设施),环境影响报告书(表)已通过审批的除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default" w:ascii="宋体" w:hAnsi="宋体" w:eastAsia="宋体" w:cs="宋体"/>
                      <w:color w:val="auto"/>
                      <w:spacing w:val="0"/>
                      <w:w w:val="100"/>
                      <w:kern w:val="0"/>
                      <w:position w:val="0"/>
                      <w:sz w:val="21"/>
                      <w:szCs w:val="21"/>
                      <w:highlight w:val="none"/>
                      <w:lang w:val="en-US"/>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不涉及污水排放，不属于“两高”项目，不涉及重金属行业，不产生有毒有害物质，符合要求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环境风险防控</w:t>
                  </w:r>
                </w:p>
              </w:tc>
              <w:tc>
                <w:tcPr>
                  <w:tcW w:w="3737" w:type="pct"/>
                  <w:vAlign w:val="center"/>
                </w:tcPr>
                <w:p>
                  <w:pPr>
                    <w:keepNext w:val="0"/>
                    <w:keepLines w:val="0"/>
                    <w:pageBreakBefore w:val="0"/>
                    <w:widowControl w:val="0"/>
                    <w:numPr>
                      <w:ilvl w:val="0"/>
                      <w:numId w:val="0"/>
                    </w:numPr>
                    <w:kinsoku/>
                    <w:wordWrap/>
                    <w:overflowPunct/>
                    <w:topLinePunct w:val="0"/>
                    <w:bidi w:val="0"/>
                    <w:spacing w:line="240" w:lineRule="auto"/>
                    <w:ind w:right="0" w:rightChars="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kern w:val="0"/>
                      <w:position w:val="0"/>
                      <w:sz w:val="21"/>
                      <w:szCs w:val="21"/>
                      <w:highlight w:val="none"/>
                    </w:rPr>
                    <w:t>执行“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不位于</w:t>
                  </w:r>
                  <w:r>
                    <w:rPr>
                      <w:rFonts w:hint="eastAsia" w:ascii="宋体" w:hAnsi="宋体" w:eastAsia="宋体" w:cs="宋体"/>
                      <w:color w:val="auto"/>
                      <w:spacing w:val="0"/>
                      <w:w w:val="100"/>
                      <w:kern w:val="0"/>
                      <w:position w:val="0"/>
                      <w:sz w:val="21"/>
                      <w:szCs w:val="21"/>
                      <w:highlight w:val="none"/>
                      <w:lang w:val="en-US" w:eastAsia="zh-CN"/>
                    </w:rPr>
                    <w:t>经济技术开发区</w:t>
                  </w:r>
                  <w:r>
                    <w:rPr>
                      <w:rFonts w:hint="eastAsia" w:ascii="宋体" w:hAnsi="宋体" w:cs="宋体"/>
                      <w:color w:val="auto"/>
                      <w:spacing w:val="0"/>
                      <w:w w:val="100"/>
                      <w:kern w:val="0"/>
                      <w:position w:val="0"/>
                      <w:sz w:val="21"/>
                      <w:szCs w:val="21"/>
                      <w:highlight w:val="none"/>
                      <w:lang w:val="en-US" w:eastAsia="zh-CN"/>
                    </w:rPr>
                    <w:t>内，</w:t>
                  </w:r>
                  <w:r>
                    <w:rPr>
                      <w:rFonts w:hint="eastAsia" w:ascii="宋体" w:hAnsi="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资源开发效率要求</w:t>
                  </w:r>
                </w:p>
              </w:tc>
              <w:tc>
                <w:tcPr>
                  <w:tcW w:w="3737" w:type="pct"/>
                  <w:vAlign w:val="center"/>
                </w:tcPr>
                <w:p>
                  <w:pPr>
                    <w:keepNext w:val="0"/>
                    <w:keepLines w:val="0"/>
                    <w:pageBreakBefore w:val="0"/>
                    <w:widowControl w:val="0"/>
                    <w:numPr>
                      <w:ilvl w:val="0"/>
                      <w:numId w:val="0"/>
                    </w:numPr>
                    <w:kinsoku/>
                    <w:wordWrap/>
                    <w:overflowPunct/>
                    <w:topLinePunct w:val="0"/>
                    <w:bidi w:val="0"/>
                    <w:spacing w:line="240" w:lineRule="auto"/>
                    <w:ind w:right="0" w:rightChars="0"/>
                    <w:jc w:val="left"/>
                    <w:textAlignment w:val="auto"/>
                    <w:outlineLvl w:val="9"/>
                    <w:rPr>
                      <w:rFonts w:hint="eastAsia" w:ascii="宋体" w:hAnsi="宋体" w:eastAsia="宋体" w:cs="宋体"/>
                      <w:color w:val="auto"/>
                      <w:spacing w:val="0"/>
                      <w:w w:val="100"/>
                      <w:kern w:val="0"/>
                      <w:position w:val="0"/>
                      <w:sz w:val="21"/>
                      <w:szCs w:val="21"/>
                      <w:highlight w:val="none"/>
                      <w:lang w:val="en-US"/>
                    </w:rPr>
                  </w:pPr>
                  <w:r>
                    <w:rPr>
                      <w:rFonts w:hint="default" w:ascii="Times New Roman" w:hAnsi="Times New Roman" w:eastAsia="宋体" w:cs="Times New Roman"/>
                      <w:color w:val="auto"/>
                      <w:spacing w:val="0"/>
                      <w:w w:val="100"/>
                      <w:kern w:val="0"/>
                      <w:position w:val="0"/>
                      <w:sz w:val="21"/>
                      <w:szCs w:val="21"/>
                      <w:highlight w:val="none"/>
                      <w:lang w:val="en-US"/>
                    </w:rPr>
                    <w:t>1.高污染燃料禁燃区同时执行：1)在禁燃区内，禁止销售、燃用高污染燃料：禁止新建、扩建燃用高污染燃料的设施，已建成的，应当在城市人民政府规定的期限内改用天然气、页岩气、液化石油气、</w:t>
                  </w:r>
                  <w:r>
                    <w:rPr>
                      <w:rFonts w:hint="eastAsia" w:cs="Times New Roman"/>
                      <w:color w:val="auto"/>
                      <w:spacing w:val="0"/>
                      <w:w w:val="100"/>
                      <w:kern w:val="0"/>
                      <w:position w:val="0"/>
                      <w:sz w:val="21"/>
                      <w:szCs w:val="21"/>
                      <w:highlight w:val="none"/>
                      <w:lang w:val="en-US" w:eastAsia="zh-CN"/>
                    </w:rPr>
                    <w:t>电力</w:t>
                  </w:r>
                  <w:r>
                    <w:rPr>
                      <w:rFonts w:hint="default" w:ascii="Times New Roman" w:hAnsi="Times New Roman" w:eastAsia="宋体" w:cs="Times New Roman"/>
                      <w:color w:val="auto"/>
                      <w:spacing w:val="0"/>
                      <w:w w:val="100"/>
                      <w:kern w:val="0"/>
                      <w:position w:val="0"/>
                      <w:sz w:val="21"/>
                      <w:szCs w:val="21"/>
                      <w:highlight w:val="none"/>
                      <w:lang w:val="en-US"/>
                    </w:rPr>
                    <w:t>或者其他清洁能源。2</w:t>
                  </w:r>
                  <w:r>
                    <w:rPr>
                      <w:rFonts w:hint="eastAsia" w:ascii="Times New Roman" w:hAnsi="Times New Roman" w:cs="Times New Roman"/>
                      <w:color w:val="auto"/>
                      <w:spacing w:val="0"/>
                      <w:w w:val="100"/>
                      <w:kern w:val="0"/>
                      <w:position w:val="0"/>
                      <w:sz w:val="21"/>
                      <w:szCs w:val="21"/>
                      <w:highlight w:val="none"/>
                      <w:lang w:val="en-US" w:eastAsia="zh-CN"/>
                    </w:rPr>
                    <w:t>）</w:t>
                  </w:r>
                  <w:r>
                    <w:rPr>
                      <w:rFonts w:hint="default" w:ascii="Times New Roman" w:hAnsi="Times New Roman" w:eastAsia="宋体" w:cs="Times New Roman"/>
                      <w:color w:val="auto"/>
                      <w:spacing w:val="0"/>
                      <w:w w:val="100"/>
                      <w:kern w:val="0"/>
                      <w:position w:val="0"/>
                      <w:sz w:val="21"/>
                      <w:szCs w:val="21"/>
                      <w:highlight w:val="none"/>
                      <w:lang w:val="en-US"/>
                    </w:rPr>
                    <w:t>城市建设应当统筹规划，在燃煤供热地区，推进热电联产和集中供热。在集中供热管网覆盖地区，禁止新建、扩建分散燃煤供热锅炉：</w:t>
                  </w:r>
                  <w:r>
                    <w:rPr>
                      <w:rFonts w:hint="eastAsia" w:cs="Times New Roman"/>
                      <w:color w:val="auto"/>
                      <w:spacing w:val="0"/>
                      <w:w w:val="100"/>
                      <w:kern w:val="0"/>
                      <w:position w:val="0"/>
                      <w:sz w:val="21"/>
                      <w:szCs w:val="21"/>
                      <w:highlight w:val="none"/>
                      <w:lang w:val="en-US" w:eastAsia="zh-CN"/>
                    </w:rPr>
                    <w:t>已</w:t>
                  </w:r>
                  <w:r>
                    <w:rPr>
                      <w:rFonts w:hint="default" w:ascii="Times New Roman" w:hAnsi="Times New Roman" w:eastAsia="宋体" w:cs="Times New Roman"/>
                      <w:color w:val="auto"/>
                      <w:spacing w:val="0"/>
                      <w:w w:val="100"/>
                      <w:kern w:val="0"/>
                      <w:position w:val="0"/>
                      <w:sz w:val="21"/>
                      <w:szCs w:val="21"/>
                      <w:highlight w:val="none"/>
                      <w:lang w:val="en-US"/>
                    </w:rPr>
                    <w:t>建成的不能达标排放的燃煤供热锅炉，应当在城市人民政府规定的期限内拆除。2.同时执行</w:t>
                  </w:r>
                  <w:r>
                    <w:rPr>
                      <w:rFonts w:hint="eastAsia" w:ascii="宋体" w:hAnsi="宋体" w:eastAsia="宋体" w:cs="宋体"/>
                      <w:color w:val="auto"/>
                      <w:spacing w:val="0"/>
                      <w:w w:val="100"/>
                      <w:kern w:val="0"/>
                      <w:position w:val="0"/>
                      <w:sz w:val="21"/>
                      <w:szCs w:val="21"/>
                      <w:highlight w:val="none"/>
                      <w:lang w:val="en-US"/>
                    </w:rPr>
                    <w:t>“</w:t>
                  </w:r>
                  <w:r>
                    <w:rPr>
                      <w:rFonts w:hint="default" w:ascii="Times New Roman" w:hAnsi="Times New Roman" w:eastAsia="宋体" w:cs="Times New Roman"/>
                      <w:color w:val="auto"/>
                      <w:spacing w:val="0"/>
                      <w:w w:val="100"/>
                      <w:kern w:val="0"/>
                      <w:position w:val="0"/>
                      <w:sz w:val="21"/>
                      <w:szCs w:val="21"/>
                      <w:highlight w:val="none"/>
                      <w:lang w:val="en-US"/>
                    </w:rPr>
                    <w:t>1</w:t>
                  </w:r>
                  <w:r>
                    <w:rPr>
                      <w:rFonts w:hint="eastAsia" w:ascii="Times New Roman" w:hAnsi="Times New Roman" w:cs="Times New Roman"/>
                      <w:color w:val="auto"/>
                      <w:spacing w:val="0"/>
                      <w:w w:val="100"/>
                      <w:kern w:val="0"/>
                      <w:position w:val="0"/>
                      <w:sz w:val="21"/>
                      <w:szCs w:val="21"/>
                      <w:highlight w:val="none"/>
                      <w:lang w:val="en-US" w:eastAsia="zh-CN"/>
                    </w:rPr>
                    <w:t>）</w:t>
                  </w:r>
                  <w:r>
                    <w:rPr>
                      <w:rFonts w:hint="default" w:ascii="Times New Roman" w:hAnsi="Times New Roman" w:eastAsia="宋体" w:cs="Times New Roman"/>
                      <w:color w:val="auto"/>
                      <w:spacing w:val="0"/>
                      <w:w w:val="100"/>
                      <w:kern w:val="0"/>
                      <w:position w:val="0"/>
                      <w:sz w:val="21"/>
                      <w:szCs w:val="21"/>
                      <w:highlight w:val="none"/>
                      <w:lang w:val="en-US"/>
                    </w:rPr>
                    <w:t>落实最严格的水资源管理制度，实行水资源消耗总量和强度双控。2</w:t>
                  </w:r>
                  <w:r>
                    <w:rPr>
                      <w:rFonts w:hint="eastAsia" w:ascii="Times New Roman" w:hAnsi="Times New Roman" w:cs="Times New Roman"/>
                      <w:color w:val="auto"/>
                      <w:spacing w:val="0"/>
                      <w:w w:val="100"/>
                      <w:kern w:val="0"/>
                      <w:position w:val="0"/>
                      <w:sz w:val="21"/>
                      <w:szCs w:val="21"/>
                      <w:highlight w:val="none"/>
                      <w:lang w:val="en-US" w:eastAsia="zh-CN"/>
                    </w:rPr>
                    <w:t>）</w:t>
                  </w:r>
                  <w:r>
                    <w:rPr>
                      <w:rFonts w:hint="eastAsia" w:ascii="宋体" w:hAnsi="宋体" w:eastAsia="宋体" w:cs="宋体"/>
                      <w:color w:val="auto"/>
                      <w:spacing w:val="0"/>
                      <w:w w:val="100"/>
                      <w:kern w:val="0"/>
                      <w:position w:val="0"/>
                      <w:sz w:val="21"/>
                      <w:szCs w:val="21"/>
                      <w:highlight w:val="none"/>
                      <w:lang w:val="en-US"/>
                    </w:rPr>
                    <w:t>全面推行清洁生产，依法在“双超双有高耗能”行业实施强制性清洁生产审核。”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不使用</w:t>
                  </w:r>
                  <w:r>
                    <w:rPr>
                      <w:rFonts w:hint="default" w:ascii="Times New Roman" w:hAnsi="Times New Roman" w:eastAsia="宋体" w:cs="Times New Roman"/>
                      <w:color w:val="auto"/>
                      <w:spacing w:val="0"/>
                      <w:w w:val="100"/>
                      <w:kern w:val="0"/>
                      <w:position w:val="0"/>
                      <w:sz w:val="21"/>
                      <w:szCs w:val="21"/>
                      <w:highlight w:val="none"/>
                      <w:lang w:val="en-US"/>
                    </w:rPr>
                    <w:t>高污染燃料</w:t>
                  </w:r>
                  <w:r>
                    <w:rPr>
                      <w:rFonts w:hint="eastAsia" w:ascii="宋体" w:hAnsi="宋体" w:cs="宋体"/>
                      <w:color w:val="auto"/>
                      <w:spacing w:val="0"/>
                      <w:w w:val="100"/>
                      <w:kern w:val="0"/>
                      <w:position w:val="0"/>
                      <w:sz w:val="21"/>
                      <w:szCs w:val="21"/>
                      <w:highlight w:val="none"/>
                      <w:lang w:val="en-US" w:eastAsia="zh-CN"/>
                    </w:rPr>
                    <w:t>，</w:t>
                  </w:r>
                  <w:r>
                    <w:rPr>
                      <w:rFonts w:hint="eastAsia" w:ascii="宋体" w:hAnsi="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环境管控单元名称</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kern w:val="0"/>
                      <w:position w:val="0"/>
                      <w:sz w:val="21"/>
                      <w:szCs w:val="21"/>
                      <w:highlight w:val="none"/>
                      <w:lang w:val="en-US" w:eastAsia="zh-CN"/>
                    </w:rPr>
                    <w:t>集贤县永久基本农田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环境管控单元编码</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highlight w:val="none"/>
                      <w:lang w:val="en-US" w:eastAsia="zh-CN" w:bidi="ar-SA"/>
                    </w:rPr>
                    <w:t>ZH23052130001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管控单元类别</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lang w:val="en-US" w:eastAsia="zh-CN"/>
                    </w:rPr>
                    <w:t>一般</w:t>
                  </w:r>
                  <w:r>
                    <w:rPr>
                      <w:rFonts w:hint="eastAsia" w:ascii="宋体" w:hAnsi="宋体" w:eastAsia="宋体" w:cs="宋体"/>
                      <w:color w:val="auto"/>
                      <w:spacing w:val="0"/>
                      <w:w w:val="100"/>
                      <w:position w:val="0"/>
                      <w:sz w:val="21"/>
                      <w:szCs w:val="21"/>
                      <w:highlight w:val="none"/>
                    </w:rPr>
                    <w:t>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资源开发效率要求</w:t>
                  </w: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1.严格永久基本农田占用和补划，永久基本农田经依法划定后，任何单位和个人不得擅自占用或者改变其用途。2.在永久基本农田集中区域，不得新建可能造成土壤污染的建设项目：已经建成的，应当限期关闭拆除。3.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4.禁止任何单位和个人破坏永久基本农田耕作层。5.禁止以设施农用地为名违规占用永久基本农田建设休闲旅游、仓储厂房等设施。6.禁止向农用地排放重金属或者其他有毒有害物质含量超标的污水、污泥，以及可能造成土壤污染的清淤底泥、尾矿、矿渣等。7.国家能源、交通、水利、军事设施等重点项目确实难以避让永久基本农田的，涉及农用地转用或者土地征收的，必须经过国务院批准。8</w:t>
                  </w:r>
                  <w:r>
                    <w:rPr>
                      <w:rFonts w:hint="eastAsia" w:ascii="宋体" w:hAnsi="宋体" w:eastAsia="宋体" w:cs="宋体"/>
                      <w:color w:val="auto"/>
                      <w:spacing w:val="0"/>
                      <w:w w:val="100"/>
                      <w:kern w:val="0"/>
                      <w:position w:val="0"/>
                      <w:sz w:val="21"/>
                      <w:szCs w:val="21"/>
                      <w:highlight w:val="none"/>
                    </w:rPr>
                    <w:t>.一般建设项目不得占用永久基本农田：重大建设项目选址确实难以避让永久基本农田的，要按照“数量不减、质量不降、布局稳定”的要求，在储备区内选择数量相等、质量相当的地块进行补划。</w:t>
                  </w:r>
                  <w:r>
                    <w:rPr>
                      <w:rFonts w:hint="default" w:ascii="Times New Roman" w:hAnsi="Times New Roman" w:eastAsia="宋体" w:cs="Times New Roman"/>
                      <w:color w:val="auto"/>
                      <w:spacing w:val="0"/>
                      <w:w w:val="100"/>
                      <w:kern w:val="0"/>
                      <w:position w:val="0"/>
                      <w:sz w:val="21"/>
                      <w:szCs w:val="21"/>
                      <w:highlight w:val="none"/>
                    </w:rPr>
                    <w:t>9.</w:t>
                  </w:r>
                  <w:r>
                    <w:rPr>
                      <w:rFonts w:hint="eastAsia" w:ascii="宋体" w:hAnsi="宋体" w:eastAsia="宋体" w:cs="宋体"/>
                      <w:color w:val="auto"/>
                      <w:spacing w:val="0"/>
                      <w:w w:val="100"/>
                      <w:kern w:val="0"/>
                      <w:position w:val="0"/>
                      <w:sz w:val="21"/>
                      <w:szCs w:val="21"/>
                      <w:highlight w:val="none"/>
                    </w:rPr>
                    <w:t>非农业建设依法占用永久基本农田的，建设单位应当将所占用耕地耕作层的土壤用于新开垦的耕地、劣质地或其他耕地的土壤改良。位于优先保护单元和重点管控单元内永久基本农田也同时执行此要求。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对永久基本农田，按照占一补一的原则，负责开垦与所占永久基本农田的数量与质量相当的耕地。施工结束后，也会对其进行原貌恢复，对周边环境影响可接受</w:t>
                  </w:r>
                  <w:r>
                    <w:rPr>
                      <w:rFonts w:hint="eastAsia" w:ascii="宋体" w:hAnsi="宋体" w:cs="宋体"/>
                      <w:color w:val="auto"/>
                      <w:spacing w:val="0"/>
                      <w:w w:val="100"/>
                      <w:kern w:val="0"/>
                      <w:position w:val="0"/>
                      <w:sz w:val="21"/>
                      <w:szCs w:val="21"/>
                      <w:highlight w:val="none"/>
                      <w:lang w:val="en-US" w:eastAsia="zh-CN"/>
                    </w:rPr>
                    <w:t>，</w:t>
                  </w:r>
                  <w:r>
                    <w:rPr>
                      <w:rFonts w:hint="eastAsia" w:ascii="宋体" w:hAnsi="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环境管控单元名称</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kern w:val="0"/>
                      <w:position w:val="0"/>
                      <w:sz w:val="21"/>
                      <w:szCs w:val="21"/>
                      <w:highlight w:val="none"/>
                      <w:lang w:val="en-US" w:eastAsia="zh-CN"/>
                    </w:rPr>
                    <w:t>四方台区永久基本农田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环境管控单元编码</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highlight w:val="none"/>
                      <w:lang w:val="en-US" w:eastAsia="zh-CN" w:bidi="ar-SA"/>
                    </w:rPr>
                    <w:t>ZH23050530001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管控单元类别</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lang w:val="en-US" w:eastAsia="zh-CN"/>
                    </w:rPr>
                    <w:t>一般</w:t>
                  </w:r>
                  <w:r>
                    <w:rPr>
                      <w:rFonts w:hint="eastAsia" w:ascii="宋体" w:hAnsi="宋体" w:eastAsia="宋体" w:cs="宋体"/>
                      <w:color w:val="auto"/>
                      <w:spacing w:val="0"/>
                      <w:w w:val="100"/>
                      <w:position w:val="0"/>
                      <w:sz w:val="21"/>
                      <w:szCs w:val="21"/>
                      <w:highlight w:val="none"/>
                    </w:rPr>
                    <w:t>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8"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资源开发效率要求</w:t>
                  </w: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1.严格永久基本农田占用和补划，永久基本农田经依法划定后，任何单位和个人不得擅自占用或者改变其用途。2.在永久基本农田集中区域，不得新建可能造成土壤污染的建设项目：已经建成的，应当限期关闭拆除。3.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4.禁止任何单位和个人破坏永久基本农田耕作层。5.禁止以设施农用地为名违规占用永久基本农田建设休闲旅游、仓储厂房等设施。6.禁止向农用地排放重金属或者其他有毒有害物质含量超标的污水、污泥，以及可能造成土壤污染的清淤底泥、尾矿、矿渣等。7.国家能源、交通、水利、军事设施等重点项目确实难以避让永久基本农田的，涉及农用地转用或者土地征收的，必须经过国务院批准。8.</w:t>
                  </w:r>
                  <w:r>
                    <w:rPr>
                      <w:rFonts w:hint="eastAsia" w:ascii="宋体" w:hAnsi="宋体" w:eastAsia="宋体" w:cs="宋体"/>
                      <w:color w:val="auto"/>
                      <w:spacing w:val="0"/>
                      <w:w w:val="100"/>
                      <w:kern w:val="0"/>
                      <w:position w:val="0"/>
                      <w:sz w:val="21"/>
                      <w:szCs w:val="21"/>
                      <w:highlight w:val="none"/>
                    </w:rPr>
                    <w:t>一般建设项目不得占用永久基本农田：重大建设项目选址确实难以避让永久基本农田的，要按照“数量不减、质量不降、布局稳定”的要求，</w:t>
                  </w:r>
                  <w:r>
                    <w:rPr>
                      <w:rFonts w:hint="default" w:ascii="Times New Roman" w:hAnsi="Times New Roman" w:eastAsia="宋体" w:cs="Times New Roman"/>
                      <w:color w:val="auto"/>
                      <w:spacing w:val="0"/>
                      <w:w w:val="100"/>
                      <w:kern w:val="0"/>
                      <w:position w:val="0"/>
                      <w:sz w:val="21"/>
                      <w:szCs w:val="21"/>
                      <w:highlight w:val="none"/>
                    </w:rPr>
                    <w:t>在储备区内选择数量相等、质量相当的地块进行补划。9</w:t>
                  </w:r>
                  <w:r>
                    <w:rPr>
                      <w:rFonts w:hint="eastAsia" w:ascii="宋体" w:hAnsi="宋体" w:eastAsia="宋体" w:cs="宋体"/>
                      <w:color w:val="auto"/>
                      <w:spacing w:val="0"/>
                      <w:w w:val="100"/>
                      <w:kern w:val="0"/>
                      <w:position w:val="0"/>
                      <w:sz w:val="21"/>
                      <w:szCs w:val="21"/>
                      <w:highlight w:val="none"/>
                    </w:rPr>
                    <w:t>.非农业建设依法占用永久基本农田的，建设单位应当将所占用耕地耕作层的土壤用于新开垦的耕地、劣质地或其他耕地的土壤改良。位于优先保护单元和重点管控单元内永久基本农田也同时执行此要求。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w:t>
                  </w:r>
                  <w:r>
                    <w:rPr>
                      <w:rFonts w:hint="eastAsia" w:ascii="宋体" w:hAnsi="宋体" w:cs="宋体"/>
                      <w:color w:val="auto"/>
                      <w:spacing w:val="0"/>
                      <w:w w:val="100"/>
                      <w:position w:val="0"/>
                      <w:sz w:val="21"/>
                      <w:szCs w:val="21"/>
                      <w:highlight w:val="none"/>
                      <w:lang w:val="en-US" w:eastAsia="zh-CN"/>
                    </w:rPr>
                    <w:t>对永久基本农田，按照占一补一的原则，负责开垦与所占永久基本农田的数量与质量相当的耕地。施工结束后，也会对其进行原貌恢复，对周边环境影响可接受</w:t>
                  </w:r>
                  <w:r>
                    <w:rPr>
                      <w:rFonts w:hint="eastAsia" w:ascii="宋体" w:hAnsi="宋体" w:cs="宋体"/>
                      <w:color w:val="auto"/>
                      <w:spacing w:val="0"/>
                      <w:w w:val="100"/>
                      <w:kern w:val="0"/>
                      <w:position w:val="0"/>
                      <w:sz w:val="21"/>
                      <w:szCs w:val="21"/>
                      <w:highlight w:val="none"/>
                      <w:lang w:val="en-US" w:eastAsia="zh-CN"/>
                    </w:rPr>
                    <w:t>，</w:t>
                  </w:r>
                  <w:r>
                    <w:rPr>
                      <w:rFonts w:hint="eastAsia" w:ascii="宋体" w:hAnsi="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环境管控单元名称</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kern w:val="0"/>
                      <w:position w:val="0"/>
                      <w:sz w:val="21"/>
                      <w:szCs w:val="21"/>
                      <w:highlight w:val="none"/>
                      <w:lang w:val="en-US" w:eastAsia="zh-CN" w:bidi="ar-SA"/>
                    </w:rPr>
                    <w:t>集贤县其他区域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环境管控单元编码</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highlight w:val="none"/>
                      <w:lang w:val="en-US" w:eastAsia="zh-CN" w:bidi="ar-SA"/>
                    </w:rPr>
                    <w:t>ZH23052130002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管控单元类别</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lang w:val="en-US" w:eastAsia="zh-CN"/>
                    </w:rPr>
                    <w:t>一般</w:t>
                  </w:r>
                  <w:r>
                    <w:rPr>
                      <w:rFonts w:hint="eastAsia" w:ascii="宋体" w:hAnsi="宋体" w:eastAsia="宋体" w:cs="宋体"/>
                      <w:color w:val="auto"/>
                      <w:spacing w:val="0"/>
                      <w:w w:val="100"/>
                      <w:position w:val="0"/>
                      <w:sz w:val="21"/>
                      <w:szCs w:val="21"/>
                      <w:highlight w:val="none"/>
                    </w:rPr>
                    <w:t>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5"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default"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kern w:val="2"/>
                      <w:position w:val="0"/>
                      <w:sz w:val="21"/>
                      <w:szCs w:val="21"/>
                      <w:highlight w:val="none"/>
                      <w:lang w:val="en-US" w:eastAsia="zh-CN" w:bidi="ar-SA"/>
                    </w:rPr>
                    <w:t>空间布局约束</w:t>
                  </w:r>
                </w:p>
              </w:tc>
              <w:tc>
                <w:tcPr>
                  <w:tcW w:w="3737"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left"/>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highlight w:val="none"/>
                      <w:lang w:val="en-US" w:eastAsia="zh-CN" w:bidi="ar-SA"/>
                    </w:rPr>
                    <w:t>1.引导工业项目向开发区集中，促进产业集聚、资源集约、绿色发展。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left"/>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本项目为风力发电项目配套输变电工程，不属于环保、能耗、安全等不达标或生产、使用淘汰类产品的企业和产能。符合准入要求</w:t>
                  </w:r>
                  <w:r>
                    <w:rPr>
                      <w:rFonts w:hint="eastAsia" w:ascii="宋体" w:hAnsi="宋体" w:cs="宋体"/>
                      <w:color w:val="auto"/>
                      <w:spacing w:val="0"/>
                      <w:w w:val="100"/>
                      <w:position w:val="0"/>
                      <w:sz w:val="21"/>
                      <w:szCs w:val="21"/>
                      <w:highlight w:val="none"/>
                      <w:lang w:val="en-US" w:eastAsia="zh-CN"/>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环境管控单元名称</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kern w:val="0"/>
                      <w:position w:val="0"/>
                      <w:sz w:val="21"/>
                      <w:szCs w:val="21"/>
                      <w:highlight w:val="none"/>
                      <w:lang w:val="en-US" w:eastAsia="zh-CN"/>
                    </w:rPr>
                    <w:t>四方台区其他区域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环境管控单元编码</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highlight w:val="none"/>
                      <w:lang w:val="en-US" w:eastAsia="zh-CN" w:bidi="ar-SA"/>
                    </w:rPr>
                    <w:t>ZH23050530002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管控单元类别</w:t>
                  </w:r>
                </w:p>
              </w:tc>
              <w:tc>
                <w:tcPr>
                  <w:tcW w:w="4216" w:type="pct"/>
                  <w:gridSpan w:val="2"/>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0"/>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lang w:val="en-US" w:eastAsia="zh-CN"/>
                    </w:rPr>
                    <w:t>一般</w:t>
                  </w:r>
                  <w:r>
                    <w:rPr>
                      <w:rFonts w:hint="eastAsia" w:ascii="宋体" w:hAnsi="宋体" w:eastAsia="宋体" w:cs="宋体"/>
                      <w:color w:val="auto"/>
                      <w:spacing w:val="0"/>
                      <w:w w:val="100"/>
                      <w:position w:val="0"/>
                      <w:sz w:val="21"/>
                      <w:szCs w:val="21"/>
                      <w:highlight w:val="none"/>
                    </w:rPr>
                    <w:t>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1"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管控要求</w:t>
                  </w:r>
                </w:p>
              </w:tc>
              <w:tc>
                <w:tcPr>
                  <w:tcW w:w="479" w:type="pct"/>
                  <w:vMerge w:val="restart"/>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空间布局约束</w:t>
                  </w:r>
                </w:p>
              </w:tc>
              <w:tc>
                <w:tcPr>
                  <w:tcW w:w="3737" w:type="pct"/>
                  <w:vAlign w:val="center"/>
                </w:tcPr>
                <w:p>
                  <w:pPr>
                    <w:keepNext w:val="0"/>
                    <w:keepLines w:val="0"/>
                    <w:pageBreakBefore w:val="0"/>
                    <w:widowControl w:val="0"/>
                    <w:numPr>
                      <w:ilvl w:val="0"/>
                      <w:numId w:val="0"/>
                    </w:numPr>
                    <w:kinsoku/>
                    <w:wordWrap/>
                    <w:overflowPunct/>
                    <w:topLinePunct w:val="0"/>
                    <w:bidi w:val="0"/>
                    <w:spacing w:line="240" w:lineRule="auto"/>
                    <w:ind w:right="0" w:rightChars="0"/>
                    <w:jc w:val="both"/>
                    <w:textAlignment w:val="auto"/>
                    <w:outlineLvl w:val="9"/>
                    <w:rPr>
                      <w:rFonts w:hint="eastAsia" w:ascii="宋体" w:hAnsi="宋体" w:eastAsia="宋体" w:cs="宋体"/>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1.引导工业项目向开发区集中，促进产业集聚、资源集约、绿色发展。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jc w:val="center"/>
              </w:trPr>
              <w:tc>
                <w:tcPr>
                  <w:tcW w:w="783" w:type="pct"/>
                  <w:shd w:val="clear" w:color="auto" w:fill="auto"/>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符合性</w:t>
                  </w:r>
                </w:p>
                <w:p>
                  <w:pPr>
                    <w:keepNext w:val="0"/>
                    <w:keepLines w:val="0"/>
                    <w:pageBreakBefore w:val="0"/>
                    <w:widowControl w:val="0"/>
                    <w:kinsoku/>
                    <w:wordWrap/>
                    <w:overflowPunct/>
                    <w:topLinePunct w:val="0"/>
                    <w:bidi w:val="0"/>
                    <w:spacing w:line="240" w:lineRule="auto"/>
                    <w:ind w:right="0" w:rightChars="0"/>
                    <w:jc w:val="center"/>
                    <w:textAlignment w:val="auto"/>
                    <w:outlineLvl w:val="9"/>
                    <w:rPr>
                      <w:rFonts w:hint="eastAsia" w:ascii="宋体" w:hAnsi="宋体" w:eastAsia="宋体" w:cs="宋体"/>
                      <w:color w:val="auto"/>
                      <w:spacing w:val="0"/>
                      <w:w w:val="100"/>
                      <w:kern w:val="2"/>
                      <w:position w:val="0"/>
                      <w:sz w:val="21"/>
                      <w:szCs w:val="21"/>
                      <w:highlight w:val="none"/>
                      <w:lang w:val="en-US" w:eastAsia="zh-CN" w:bidi="ar-SA"/>
                    </w:rPr>
                  </w:pPr>
                  <w:r>
                    <w:rPr>
                      <w:rFonts w:hint="eastAsia" w:ascii="宋体" w:hAnsi="宋体" w:eastAsia="宋体" w:cs="宋体"/>
                      <w:color w:val="auto"/>
                      <w:spacing w:val="0"/>
                      <w:w w:val="100"/>
                      <w:position w:val="0"/>
                      <w:sz w:val="21"/>
                      <w:szCs w:val="21"/>
                      <w:highlight w:val="none"/>
                    </w:rPr>
                    <w:t>分析</w:t>
                  </w:r>
                </w:p>
              </w:tc>
              <w:tc>
                <w:tcPr>
                  <w:tcW w:w="479" w:type="pct"/>
                  <w:vMerge w:val="continue"/>
                  <w:vAlign w:val="center"/>
                </w:tcPr>
                <w:p>
                  <w:pPr>
                    <w:keepNext w:val="0"/>
                    <w:keepLines w:val="0"/>
                    <w:pageBreakBefore w:val="0"/>
                    <w:widowControl w:val="0"/>
                    <w:kinsoku/>
                    <w:wordWrap/>
                    <w:overflowPunct/>
                    <w:topLinePunct w:val="0"/>
                    <w:bidi w:val="0"/>
                    <w:spacing w:line="240" w:lineRule="auto"/>
                    <w:ind w:right="0"/>
                    <w:jc w:val="center"/>
                    <w:textAlignment w:val="auto"/>
                    <w:outlineLvl w:val="9"/>
                    <w:rPr>
                      <w:rFonts w:hint="eastAsia" w:ascii="宋体" w:hAnsi="宋体" w:eastAsia="宋体" w:cs="宋体"/>
                      <w:color w:val="auto"/>
                      <w:spacing w:val="0"/>
                      <w:w w:val="100"/>
                      <w:position w:val="0"/>
                      <w:sz w:val="21"/>
                      <w:szCs w:val="21"/>
                      <w:highlight w:val="none"/>
                      <w:lang w:val="en-US" w:eastAsia="zh-CN"/>
                    </w:rPr>
                  </w:pPr>
                </w:p>
              </w:tc>
              <w:tc>
                <w:tcPr>
                  <w:tcW w:w="3737" w:type="pct"/>
                  <w:vAlign w:val="center"/>
                </w:tcPr>
                <w:p>
                  <w:pPr>
                    <w:keepNext w:val="0"/>
                    <w:keepLines w:val="0"/>
                    <w:pageBreakBefore w:val="0"/>
                    <w:widowControl w:val="0"/>
                    <w:kinsoku/>
                    <w:wordWrap/>
                    <w:overflowPunct/>
                    <w:topLinePunct w:val="0"/>
                    <w:bidi w:val="0"/>
                    <w:spacing w:line="240" w:lineRule="auto"/>
                    <w:ind w:right="0"/>
                    <w:jc w:val="both"/>
                    <w:textAlignment w:val="auto"/>
                    <w:outlineLvl w:val="9"/>
                    <w:rPr>
                      <w:rFonts w:hint="eastAsia" w:ascii="宋体" w:hAnsi="宋体" w:eastAsia="宋体" w:cs="宋体"/>
                      <w:color w:val="auto"/>
                      <w:spacing w:val="0"/>
                      <w:w w:val="100"/>
                      <w:kern w:val="0"/>
                      <w:position w:val="0"/>
                      <w:sz w:val="21"/>
                      <w:szCs w:val="21"/>
                      <w:highlight w:val="none"/>
                    </w:rPr>
                  </w:pPr>
                  <w:r>
                    <w:rPr>
                      <w:rFonts w:hint="eastAsia" w:ascii="宋体" w:hAnsi="宋体" w:eastAsia="宋体" w:cs="宋体"/>
                      <w:color w:val="auto"/>
                      <w:spacing w:val="0"/>
                      <w:w w:val="100"/>
                      <w:position w:val="0"/>
                      <w:sz w:val="21"/>
                      <w:szCs w:val="21"/>
                      <w:highlight w:val="none"/>
                      <w:lang w:val="en-US" w:eastAsia="zh-CN"/>
                    </w:rPr>
                    <w:t>本项目为风力发电项目配套输变电工程，不属于环保、能耗、安全等不达标或生产、使用淘汰类产品的企业和产能。符合准入要求</w:t>
                  </w:r>
                  <w:r>
                    <w:rPr>
                      <w:rFonts w:hint="eastAsia" w:ascii="宋体" w:hAnsi="宋体" w:cs="宋体"/>
                      <w:color w:val="auto"/>
                      <w:spacing w:val="0"/>
                      <w:w w:val="100"/>
                      <w:position w:val="0"/>
                      <w:sz w:val="21"/>
                      <w:szCs w:val="21"/>
                      <w:highlight w:val="none"/>
                      <w:lang w:val="en-US" w:eastAsia="zh-CN"/>
                    </w:rPr>
                    <w:t>符合要求</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根据《龙煤双鸭山集贤200MW风力发电项目接网工程生态环境分区管控分析报告》，项目位置涉及涉及双鸭山市集贤县</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双鸭山市四方台区；与生态保护红线无交集；与自然保护地无交集；与饮用水水源保护区无交集；与国家级水产种质资源保护区无交集；与环境管控单元优先保护单元无交集；与重点管控单元交集面积为小于0.01平方公里，占项目占地面积的11.07%</w:t>
            </w:r>
            <w:r>
              <w:rPr>
                <w:rFonts w:hint="eastAsia" w:cs="Times New Roman"/>
                <w:color w:val="000000" w:themeColor="text1"/>
                <w:kern w:val="2"/>
                <w:sz w:val="24"/>
                <w:szCs w:val="24"/>
                <w:highlight w:val="none"/>
                <w:lang w:val="en-US" w:eastAsia="zh-CN" w:bidi="ar-SA"/>
                <w14:textFill>
                  <w14:solidFill>
                    <w14:schemeClr w14:val="tx1"/>
                  </w14:solidFill>
                </w14:textFill>
              </w:rPr>
              <w:t>；与</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一般管控单元交集面积为0.05平方公里，占项目占地面积的88.93%；与地下水环境优先保护区无交集</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与地下水环境重点管控区交集面积为0.05平方公里，占项目占地面积的100.00%，与地下水环境一般管控区无交集。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FF0000"/>
                <w:kern w:val="0"/>
                <w:sz w:val="24"/>
                <w:szCs w:val="24"/>
                <w:lang w:val="en-US" w:eastAsia="zh-CN"/>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综上所述，本项目选址不涉及</w:t>
            </w:r>
            <w:r>
              <w:rPr>
                <w:rFonts w:hint="eastAsia" w:cs="Times New Roman"/>
                <w:color w:val="000000" w:themeColor="text1"/>
                <w:kern w:val="2"/>
                <w:sz w:val="24"/>
                <w:szCs w:val="24"/>
                <w:highlight w:val="none"/>
                <w:lang w:val="en-US" w:eastAsia="zh-CN" w:bidi="ar-SA"/>
                <w14:textFill>
                  <w14:solidFill>
                    <w14:schemeClr w14:val="tx1"/>
                  </w14:solidFill>
                </w14:textFill>
              </w:rPr>
              <w:t>双鸭山市</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划定的生态保护红线，同时符合环境质量底线、资源利用上线以及生态环境准入负面清单管理要求，因此本项目符合</w:t>
            </w:r>
            <w:r>
              <w:rPr>
                <w:rFonts w:hint="eastAsia" w:cs="Times New Roman"/>
                <w:color w:val="000000" w:themeColor="text1"/>
                <w:kern w:val="0"/>
                <w:sz w:val="24"/>
                <w:szCs w:val="24"/>
                <w:lang w:val="en-US" w:eastAsia="zh-CN"/>
                <w14:textFill>
                  <w14:solidFill>
                    <w14:schemeClr w14:val="tx1"/>
                  </w14:solidFill>
                </w14:textFill>
              </w:rPr>
              <w:t>《黑龙江省人民政府关于实施“三线一单”生态环境分区管控的意见》（黑政发〔2020〕14号）和《双鸭山市人民政府关于实施“三线一单”生态环境分区管控的意见》（双政规〔2021〕2号）</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要求。</w:t>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ascii="Times New Roman" w:hAnsi="Times New Roman" w:eastAsia="宋体" w:cs="Times New Roman"/>
                <w:kern w:val="0"/>
                <w:sz w:val="24"/>
                <w:szCs w:val="24"/>
                <w:lang w:val="en-US" w:eastAsia="zh-CN"/>
              </w:rPr>
            </w:pPr>
            <w:r>
              <w:drawing>
                <wp:inline distT="0" distB="0" distL="114300" distR="114300">
                  <wp:extent cx="4224655" cy="2673985"/>
                  <wp:effectExtent l="0" t="0" r="4445" b="1206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1"/>
                          <a:stretch>
                            <a:fillRect/>
                          </a:stretch>
                        </pic:blipFill>
                        <pic:spPr>
                          <a:xfrm>
                            <a:off x="0" y="0"/>
                            <a:ext cx="4224655" cy="26739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b/>
                <w:bCs/>
                <w:color w:val="000000"/>
                <w:sz w:val="21"/>
                <w:szCs w:val="21"/>
                <w:highlight w:val="none"/>
              </w:rPr>
              <w:t>图</w:t>
            </w:r>
            <w:r>
              <w:rPr>
                <w:rFonts w:hint="default" w:ascii="Times New Roman" w:hAnsi="Times New Roman" w:eastAsia="宋体" w:cs="Times New Roman"/>
                <w:b/>
                <w:bCs/>
                <w:color w:val="000000"/>
                <w:sz w:val="21"/>
                <w:szCs w:val="21"/>
                <w:highlight w:val="none"/>
                <w:lang w:val="en-US" w:eastAsia="zh-CN"/>
              </w:rPr>
              <w:t>1-</w:t>
            </w:r>
            <w:r>
              <w:rPr>
                <w:rFonts w:hint="eastAsia" w:cs="Times New Roman"/>
                <w:b/>
                <w:bCs/>
                <w:color w:val="000000"/>
                <w:sz w:val="21"/>
                <w:szCs w:val="21"/>
                <w:highlight w:val="none"/>
                <w:lang w:val="en-US" w:eastAsia="zh-CN"/>
              </w:rPr>
              <w:t>3</w:t>
            </w:r>
            <w:r>
              <w:rPr>
                <w:rFonts w:hint="default" w:ascii="Times New Roman" w:hAnsi="Times New Roman" w:eastAsia="宋体" w:cs="Times New Roman"/>
                <w:b/>
                <w:bCs/>
                <w:color w:val="000000"/>
                <w:sz w:val="21"/>
                <w:szCs w:val="21"/>
                <w:highlight w:val="none"/>
                <w:lang w:val="en-US" w:eastAsia="zh-CN"/>
              </w:rPr>
              <w:t xml:space="preserve"> </w:t>
            </w:r>
            <w:r>
              <w:rPr>
                <w:rFonts w:hint="eastAsia" w:cs="Times New Roman"/>
                <w:b/>
                <w:bCs/>
                <w:color w:val="000000"/>
                <w:sz w:val="21"/>
                <w:szCs w:val="21"/>
                <w:highlight w:val="none"/>
                <w:lang w:val="en-US" w:eastAsia="zh-CN"/>
              </w:rPr>
              <w:t xml:space="preserve"> </w:t>
            </w:r>
            <w:r>
              <w:rPr>
                <w:rFonts w:hint="eastAsia" w:ascii="Times New Roman" w:hAnsi="Times New Roman" w:cs="Times New Roman"/>
                <w:b/>
                <w:bCs/>
                <w:color w:val="000000"/>
                <w:sz w:val="21"/>
                <w:szCs w:val="21"/>
                <w:highlight w:val="none"/>
                <w:lang w:val="en-US" w:eastAsia="zh-CN"/>
              </w:rPr>
              <w:t>双鸭山</w:t>
            </w:r>
            <w:r>
              <w:rPr>
                <w:rFonts w:hint="default" w:ascii="Times New Roman" w:hAnsi="Times New Roman" w:eastAsia="宋体" w:cs="Times New Roman"/>
                <w:b/>
                <w:bCs/>
                <w:color w:val="000000"/>
                <w:sz w:val="21"/>
                <w:szCs w:val="21"/>
                <w:highlight w:val="none"/>
                <w:lang w:eastAsia="zh-CN"/>
              </w:rPr>
              <w:t>市</w:t>
            </w:r>
            <w:r>
              <w:rPr>
                <w:rFonts w:hint="default" w:ascii="Times New Roman" w:hAnsi="Times New Roman" w:eastAsia="宋体" w:cs="Times New Roman"/>
                <w:b/>
                <w:bCs/>
                <w:color w:val="000000"/>
                <w:sz w:val="21"/>
                <w:szCs w:val="21"/>
                <w:highlight w:val="none"/>
              </w:rPr>
              <w:t>环境管控单元图</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13、</w:t>
            </w:r>
            <w:r>
              <w:rPr>
                <w:rFonts w:hint="default" w:ascii="Times New Roman" w:hAnsi="Times New Roman" w:eastAsia="宋体" w:cs="Times New Roman"/>
                <w:kern w:val="0"/>
                <w:sz w:val="24"/>
                <w:szCs w:val="24"/>
                <w:lang w:val="en-US" w:eastAsia="zh-CN"/>
              </w:rPr>
              <w:t>与根据《黑龙江省人民政府办公厅关于建设占用耕地耕作层土壤剥离利用工作的指导意见（试行）》（黑政办规〔2021〕18号）符合性分析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根据《黑龙江省人民政府办公厅关于建设占用耕地耕作层土壤剥离利用工作的指导意见（试行）》（黑政办规〔2021〕18号）要求，建设项目临时占用耕地的，占用前应将耕地耕作层土壤进行剥离。耕作层土壤剥离利用实施主体应将剥离的土壤运送到使用地点，或耕作层土壤剥离利用方案中指定的存储地点。土壤存储地点的选取应遵循就近存储、易于存储、专人管理的原则，尽量利用废弃土地、闲置建设用地和未利用地，避让永久基本农田和生态保护红线、水源地等敏感区域。土壤存储要采取必要的工程防护和土壤养护措施，防止出现水土流失、土壤质量退化和安全隐患。实施主体对存储土壤承担管护责任。剥离土壤优先用于土地整治、高标准农田建设、土地复垦、生态修复等项目，以及新开垦耕地、劣质地或者受污染耕地的风险管控和修复、苗床苗圃用土、其他耕地土壤改良等农业生产生活，富余土壤可以用于绿化。</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highlight w:val="none"/>
                <w:lang w:val="en-US" w:eastAsia="zh-CN"/>
              </w:rPr>
              <w:t>本项目施工前对占用的土地进行表土剥离。在土壤剥离及运输过程中，采取了水土保持和扬尘防治措施，防止了土壤和环境污染。本着就近存储的原则，表土剥离后存储于项目区内临时堆土区内。表土储存时在堆土表面播撒草籽，并对堆土区进行苫盖，堆土区设置土袋拦挡，并采取堆土区四周设置截水沟等措施，堆土区由专人进行管理。</w:t>
            </w:r>
            <w:r>
              <w:rPr>
                <w:rFonts w:hint="default" w:ascii="Times New Roman" w:hAnsi="Times New Roman" w:eastAsia="宋体" w:cs="Times New Roman"/>
                <w:kern w:val="0"/>
                <w:sz w:val="24"/>
                <w:szCs w:val="24"/>
                <w:lang w:val="en-US" w:eastAsia="zh-CN"/>
              </w:rPr>
              <w:t>在项目施工结束后，剥离的表土用于临时占地生态恢复。因此项目建设符合《黑龙江省人民政府办公厅关于建设占用耕地耕作层土壤剥离利用工作的指导意见（试行）》（黑政办规〔2021〕18号）要求。</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kern w:val="0"/>
                <w:sz w:val="24"/>
                <w:szCs w:val="24"/>
                <w:lang w:val="en-US" w:eastAsia="zh-CN"/>
              </w:rPr>
            </w:pPr>
          </w:p>
          <w:p>
            <w:pPr>
              <w:pStyle w:val="2"/>
              <w:rPr>
                <w:rFonts w:hint="eastAsia" w:ascii="Times New Roman" w:hAnsi="Times New Roman" w:eastAsia="宋体" w:cs="Times New Roman"/>
                <w:kern w:val="0"/>
                <w:sz w:val="24"/>
                <w:szCs w:val="24"/>
                <w:lang w:val="en-US" w:eastAsia="zh-CN"/>
              </w:rPr>
            </w:pPr>
          </w:p>
          <w:p>
            <w:pPr>
              <w:rPr>
                <w:rFonts w:hint="eastAsia" w:ascii="Times New Roman" w:hAnsi="Times New Roman" w:eastAsia="宋体" w:cs="Times New Roman"/>
                <w:kern w:val="0"/>
                <w:sz w:val="24"/>
                <w:szCs w:val="24"/>
                <w:lang w:val="en-US" w:eastAsia="zh-CN"/>
              </w:rPr>
            </w:pPr>
          </w:p>
          <w:p>
            <w:pPr>
              <w:pStyle w:val="2"/>
              <w:rPr>
                <w:rFonts w:hint="eastAsia"/>
                <w:lang w:val="en-US" w:eastAsia="zh-CN"/>
              </w:rPr>
            </w:pPr>
          </w:p>
        </w:tc>
      </w:tr>
    </w:tbl>
    <w:p>
      <w:pPr>
        <w:spacing w:line="360" w:lineRule="auto"/>
        <w:outlineLvl w:val="0"/>
        <w:rPr>
          <w:rFonts w:eastAsia="黑体"/>
          <w:sz w:val="30"/>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17"/>
        <w:jc w:val="center"/>
        <w:outlineLvl w:val="0"/>
        <w:rPr>
          <w:rFonts w:ascii="黑体" w:hAnsi="黑体" w:eastAsia="黑体"/>
          <w:snapToGrid w:val="0"/>
          <w:sz w:val="30"/>
          <w:szCs w:val="30"/>
        </w:rPr>
      </w:pPr>
      <w:bookmarkStart w:id="43" w:name="_Toc30676"/>
      <w:r>
        <w:rPr>
          <w:rFonts w:hint="eastAsia" w:ascii="黑体" w:hAnsi="黑体" w:eastAsia="黑体"/>
          <w:snapToGrid w:val="0"/>
          <w:sz w:val="30"/>
          <w:szCs w:val="30"/>
        </w:rPr>
        <w:t>二、建设内容</w:t>
      </w:r>
      <w:bookmarkEnd w:id="43"/>
    </w:p>
    <w:tbl>
      <w:tblPr>
        <w:tblStyle w:val="20"/>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83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710" w:type="dxa"/>
            <w:noWrap w:val="0"/>
            <w:vAlign w:val="center"/>
          </w:tcPr>
          <w:p>
            <w:pPr>
              <w:adjustRightInd w:val="0"/>
              <w:snapToGrid w:val="0"/>
              <w:jc w:val="center"/>
              <w:rPr>
                <w:rFonts w:ascii="宋体" w:hAnsi="宋体" w:cs="宋体"/>
                <w:kern w:val="0"/>
                <w:sz w:val="24"/>
                <w:szCs w:val="24"/>
              </w:rPr>
            </w:pPr>
            <w:r>
              <w:rPr>
                <w:rFonts w:hint="eastAsia" w:ascii="宋体" w:hAnsi="宋体" w:cs="宋体"/>
                <w:kern w:val="0"/>
                <w:sz w:val="24"/>
                <w:szCs w:val="24"/>
              </w:rPr>
              <w:t>地理位置</w:t>
            </w:r>
          </w:p>
        </w:tc>
        <w:tc>
          <w:tcPr>
            <w:tcW w:w="83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bCs/>
                <w:color w:val="000000"/>
                <w:sz w:val="24"/>
                <w:szCs w:val="24"/>
                <w:lang w:val="en-US" w:eastAsia="zh-CN"/>
              </w:rPr>
              <w:t>一、</w:t>
            </w:r>
            <w:r>
              <w:rPr>
                <w:rFonts w:hint="default" w:ascii="Times New Roman" w:hAnsi="Times New Roman" w:eastAsia="宋体" w:cs="Times New Roman"/>
                <w:b/>
                <w:bCs/>
                <w:color w:val="000000"/>
                <w:sz w:val="24"/>
                <w:szCs w:val="24"/>
              </w:rPr>
              <w:t>地理位置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本项目位</w:t>
            </w:r>
            <w:r>
              <w:rPr>
                <w:rFonts w:hint="default" w:ascii="Times New Roman" w:hAnsi="Times New Roman" w:eastAsia="宋体" w:cs="Times New Roman"/>
                <w:color w:val="000000"/>
                <w:sz w:val="24"/>
                <w:szCs w:val="24"/>
                <w:highlight w:val="none"/>
                <w:u w:val="none"/>
                <w:lang w:val="en-US" w:eastAsia="zh-CN"/>
              </w:rPr>
              <w:t>于黑龙江省</w:t>
            </w:r>
            <w:r>
              <w:rPr>
                <w:rFonts w:hint="eastAsia" w:ascii="Times New Roman" w:hAnsi="Times New Roman" w:eastAsia="宋体" w:cs="Times New Roman"/>
                <w:color w:val="000000"/>
                <w:sz w:val="24"/>
                <w:szCs w:val="24"/>
                <w:highlight w:val="none"/>
                <w:u w:val="none"/>
                <w:lang w:val="en-US" w:eastAsia="zh-CN"/>
              </w:rPr>
              <w:t>双鸭山市集贤</w:t>
            </w:r>
            <w:r>
              <w:rPr>
                <w:rFonts w:hint="default" w:ascii="Times New Roman" w:hAnsi="Times New Roman" w:eastAsia="宋体" w:cs="Times New Roman"/>
                <w:color w:val="000000"/>
                <w:sz w:val="24"/>
                <w:szCs w:val="24"/>
                <w:highlight w:val="none"/>
                <w:u w:val="none"/>
                <w:lang w:val="en-US" w:eastAsia="zh-CN"/>
              </w:rPr>
              <w:t>县</w:t>
            </w:r>
            <w:r>
              <w:rPr>
                <w:rFonts w:hint="eastAsia" w:cs="Times New Roman"/>
                <w:color w:val="000000"/>
                <w:sz w:val="24"/>
                <w:szCs w:val="24"/>
                <w:highlight w:val="none"/>
                <w:u w:val="none"/>
                <w:lang w:val="en-US" w:eastAsia="zh-CN"/>
              </w:rPr>
              <w:t>和</w:t>
            </w:r>
            <w:r>
              <w:rPr>
                <w:rFonts w:hint="eastAsia" w:ascii="Times New Roman" w:hAnsi="Times New Roman" w:eastAsia="宋体" w:cs="Times New Roman"/>
                <w:color w:val="000000"/>
                <w:sz w:val="24"/>
                <w:szCs w:val="24"/>
                <w:highlight w:val="none"/>
                <w:u w:val="none"/>
                <w:lang w:val="en-US" w:eastAsia="zh-CN"/>
              </w:rPr>
              <w:t>双鸭山</w:t>
            </w:r>
            <w:r>
              <w:rPr>
                <w:rFonts w:hint="eastAsia" w:cs="Times New Roman"/>
                <w:color w:val="000000"/>
                <w:sz w:val="24"/>
                <w:szCs w:val="24"/>
                <w:highlight w:val="none"/>
                <w:u w:val="none"/>
                <w:lang w:val="en-US" w:eastAsia="zh-CN"/>
              </w:rPr>
              <w:t>市</w:t>
            </w:r>
            <w:r>
              <w:rPr>
                <w:rFonts w:hint="eastAsia" w:ascii="Times New Roman" w:hAnsi="Times New Roman" w:cs="Times New Roman"/>
                <w:color w:val="000000"/>
                <w:sz w:val="24"/>
                <w:szCs w:val="24"/>
                <w:highlight w:val="none"/>
                <w:u w:val="none"/>
                <w:lang w:val="en-US" w:eastAsia="zh-CN"/>
              </w:rPr>
              <w:t>四方台区</w:t>
            </w:r>
            <w:r>
              <w:rPr>
                <w:rFonts w:hint="default" w:ascii="Times New Roman" w:hAnsi="Times New Roman" w:eastAsia="宋体" w:cs="Times New Roman"/>
                <w:color w:val="000000"/>
                <w:sz w:val="24"/>
                <w:szCs w:val="24"/>
                <w:highlight w:val="none"/>
                <w:u w:val="none"/>
                <w:lang w:val="en-US" w:eastAsia="zh-CN"/>
              </w:rPr>
              <w:t>境内，线路由龙煤风电场升压站采用架空线路向南出线，至升压站南侧左转向东前行至升压站东南侧，右转向东南前行至兴业村东侧，右转向东南前行，经合发村西侧、跨过安邦河至永发村西南侧，右转向南前行至高丰村东侧，左转向东南前行，跨过哈同高速公路后，连续右转、左转绕过永久村至永久村南侧，右转向南前行至G211国道北侧，左转向东前行至金沙岗站北侧，连续左转、右转，依次跨过66千伏线路、普通铁路至太保变北侧，右转向南前行，跨过G211国道至福前铁路北侧，右转向西南方向前进至太保变东侧本期新建电缆终端杆，后转为电缆方式沿太保变围墙绕行至太保变南侧本期新建电缆终端杆，采用架空方式向北至太保变220千伏进线间隔止。新建单回架空线路长度26.2千米，新建单回电缆线路长度0.3千米</w:t>
            </w:r>
            <w:r>
              <w:rPr>
                <w:rFonts w:hint="eastAsia" w:ascii="Times New Roman" w:hAnsi="Times New Roman" w:eastAsia="宋体" w:cs="Times New Roman"/>
                <w:color w:val="000000"/>
                <w:sz w:val="24"/>
                <w:szCs w:val="24"/>
                <w:highlight w:val="none"/>
                <w:u w:val="none"/>
                <w:lang w:val="en-US" w:eastAsia="zh-CN"/>
              </w:rPr>
              <w:t>。</w:t>
            </w:r>
            <w:r>
              <w:rPr>
                <w:rFonts w:hint="default" w:ascii="Times New Roman" w:hAnsi="Times New Roman" w:eastAsia="宋体" w:cs="Times New Roman"/>
                <w:color w:val="000000"/>
                <w:sz w:val="24"/>
                <w:szCs w:val="24"/>
                <w:highlight w:val="none"/>
                <w:u w:val="none"/>
                <w:lang w:val="en-US" w:eastAsia="zh-CN"/>
              </w:rPr>
              <w:t>输电线路起点</w:t>
            </w:r>
            <w:r>
              <w:rPr>
                <w:rFonts w:hint="eastAsia" w:cs="Times New Roman"/>
                <w:color w:val="000000"/>
                <w:sz w:val="24"/>
                <w:szCs w:val="24"/>
                <w:highlight w:val="none"/>
                <w:u w:val="none"/>
                <w:lang w:val="en-US" w:eastAsia="zh-CN"/>
              </w:rPr>
              <w:t>：</w:t>
            </w:r>
            <w:r>
              <w:rPr>
                <w:rFonts w:hint="eastAsia" w:ascii="Times New Roman" w:hAnsi="Times New Roman" w:eastAsia="宋体" w:cs="Times New Roman"/>
                <w:color w:val="000000"/>
                <w:sz w:val="24"/>
                <w:szCs w:val="24"/>
                <w:highlight w:val="none"/>
                <w:u w:val="none"/>
                <w:lang w:val="en-US" w:eastAsia="zh-CN"/>
              </w:rPr>
              <w:t>131</w:t>
            </w:r>
            <w:r>
              <w:rPr>
                <w:rFonts w:hint="default" w:ascii="Times New Roman" w:hAnsi="Times New Roman" w:eastAsia="宋体" w:cs="Times New Roman"/>
                <w:color w:val="000000"/>
                <w:sz w:val="24"/>
                <w:szCs w:val="24"/>
                <w:highlight w:val="none"/>
                <w:u w:val="none"/>
                <w:lang w:val="en-US" w:eastAsia="zh-CN"/>
              </w:rPr>
              <w:t>°</w:t>
            </w:r>
            <w:r>
              <w:rPr>
                <w:rFonts w:hint="eastAsia" w:ascii="Times New Roman" w:hAnsi="Times New Roman" w:eastAsia="宋体" w:cs="Times New Roman"/>
                <w:color w:val="000000"/>
                <w:sz w:val="24"/>
                <w:szCs w:val="24"/>
                <w:highlight w:val="none"/>
                <w:u w:val="none"/>
                <w:lang w:val="en-US" w:eastAsia="zh-CN"/>
              </w:rPr>
              <w:t>01</w:t>
            </w:r>
            <w:r>
              <w:rPr>
                <w:rFonts w:hint="default" w:ascii="Times New Roman" w:hAnsi="Times New Roman" w:eastAsia="宋体" w:cs="Times New Roman"/>
                <w:color w:val="000000"/>
                <w:sz w:val="24"/>
                <w:szCs w:val="24"/>
                <w:highlight w:val="none"/>
                <w:u w:val="none"/>
                <w:lang w:val="en-US" w:eastAsia="zh-CN"/>
              </w:rPr>
              <w:t>′</w:t>
            </w:r>
            <w:r>
              <w:rPr>
                <w:rFonts w:hint="eastAsia" w:ascii="Times New Roman" w:hAnsi="Times New Roman" w:eastAsia="宋体" w:cs="Times New Roman"/>
                <w:color w:val="000000"/>
                <w:sz w:val="24"/>
                <w:szCs w:val="24"/>
                <w:highlight w:val="none"/>
                <w:u w:val="none"/>
                <w:lang w:val="en-US" w:eastAsia="zh-CN"/>
              </w:rPr>
              <w:t>46.340</w:t>
            </w:r>
            <w:r>
              <w:rPr>
                <w:rFonts w:hint="default" w:ascii="Times New Roman" w:hAnsi="Times New Roman" w:eastAsia="宋体" w:cs="Times New Roman"/>
                <w:color w:val="000000"/>
                <w:sz w:val="24"/>
                <w:szCs w:val="24"/>
                <w:highlight w:val="none"/>
                <w:u w:val="none"/>
                <w:lang w:val="en-US" w:eastAsia="zh-CN"/>
              </w:rPr>
              <w:t>″</w:t>
            </w:r>
            <w:r>
              <w:rPr>
                <w:rFonts w:hint="default" w:ascii="Times New Roman" w:hAnsi="Times New Roman" w:eastAsia="宋体" w:cs="Times New Roman"/>
                <w:color w:val="000000"/>
                <w:sz w:val="24"/>
                <w:szCs w:val="24"/>
                <w:highlight w:val="none"/>
                <w:u w:val="none"/>
                <w:lang w:eastAsia="zh-CN"/>
              </w:rPr>
              <w:t>，</w:t>
            </w:r>
            <w:r>
              <w:rPr>
                <w:rFonts w:hint="default" w:ascii="Times New Roman" w:hAnsi="Times New Roman" w:eastAsia="宋体" w:cs="Times New Roman"/>
                <w:color w:val="000000"/>
                <w:sz w:val="24"/>
                <w:szCs w:val="24"/>
                <w:highlight w:val="none"/>
                <w:u w:val="none"/>
                <w:lang w:val="en-US" w:eastAsia="zh-CN"/>
              </w:rPr>
              <w:t>46°</w:t>
            </w:r>
            <w:r>
              <w:rPr>
                <w:rFonts w:hint="eastAsia" w:ascii="Times New Roman" w:hAnsi="Times New Roman" w:eastAsia="宋体" w:cs="Times New Roman"/>
                <w:color w:val="000000"/>
                <w:sz w:val="24"/>
                <w:szCs w:val="24"/>
                <w:highlight w:val="none"/>
                <w:u w:val="none"/>
                <w:lang w:val="en-US" w:eastAsia="zh-CN"/>
              </w:rPr>
              <w:t>5</w:t>
            </w:r>
            <w:r>
              <w:rPr>
                <w:rFonts w:hint="default" w:ascii="Times New Roman" w:hAnsi="Times New Roman" w:eastAsia="宋体" w:cs="Times New Roman"/>
                <w:color w:val="000000"/>
                <w:sz w:val="24"/>
                <w:szCs w:val="24"/>
                <w:highlight w:val="none"/>
                <w:u w:val="none"/>
                <w:lang w:val="en-US" w:eastAsia="zh-CN"/>
              </w:rPr>
              <w:t>2′</w:t>
            </w:r>
            <w:r>
              <w:rPr>
                <w:rFonts w:hint="eastAsia" w:ascii="Times New Roman" w:hAnsi="Times New Roman" w:eastAsia="宋体" w:cs="Times New Roman"/>
                <w:color w:val="000000"/>
                <w:sz w:val="24"/>
                <w:szCs w:val="24"/>
                <w:highlight w:val="none"/>
                <w:u w:val="none"/>
                <w:lang w:val="en-US" w:eastAsia="zh-CN"/>
              </w:rPr>
              <w:t>44.600</w:t>
            </w:r>
            <w:r>
              <w:rPr>
                <w:rFonts w:hint="default" w:ascii="Times New Roman" w:hAnsi="Times New Roman" w:eastAsia="宋体" w:cs="Times New Roman"/>
                <w:color w:val="000000"/>
                <w:sz w:val="24"/>
                <w:szCs w:val="24"/>
                <w:highlight w:val="none"/>
                <w:u w:val="none"/>
                <w:lang w:val="en-US" w:eastAsia="zh-CN"/>
              </w:rPr>
              <w:t>″，输电线路终点：1</w:t>
            </w:r>
            <w:r>
              <w:rPr>
                <w:rFonts w:hint="eastAsia" w:ascii="Times New Roman" w:hAnsi="Times New Roman" w:eastAsia="宋体" w:cs="Times New Roman"/>
                <w:color w:val="000000"/>
                <w:sz w:val="24"/>
                <w:szCs w:val="24"/>
                <w:highlight w:val="none"/>
                <w:u w:val="none"/>
                <w:lang w:val="en-US" w:eastAsia="zh-CN"/>
              </w:rPr>
              <w:t>31</w:t>
            </w:r>
            <w:r>
              <w:rPr>
                <w:rFonts w:hint="default" w:ascii="Times New Roman" w:hAnsi="Times New Roman" w:eastAsia="宋体" w:cs="Times New Roman"/>
                <w:color w:val="000000"/>
                <w:sz w:val="24"/>
                <w:szCs w:val="24"/>
                <w:highlight w:val="none"/>
                <w:u w:val="none"/>
                <w:lang w:val="en-US" w:eastAsia="zh-CN"/>
              </w:rPr>
              <w:t>°</w:t>
            </w:r>
            <w:r>
              <w:rPr>
                <w:rFonts w:hint="eastAsia" w:ascii="Times New Roman" w:hAnsi="Times New Roman" w:eastAsia="宋体" w:cs="Times New Roman"/>
                <w:color w:val="000000"/>
                <w:sz w:val="24"/>
                <w:szCs w:val="24"/>
                <w:highlight w:val="none"/>
                <w:u w:val="none"/>
                <w:lang w:val="en-US" w:eastAsia="zh-CN"/>
              </w:rPr>
              <w:t>13</w:t>
            </w:r>
            <w:r>
              <w:rPr>
                <w:rFonts w:hint="default" w:ascii="Times New Roman" w:hAnsi="Times New Roman" w:eastAsia="宋体" w:cs="Times New Roman"/>
                <w:color w:val="000000"/>
                <w:sz w:val="24"/>
                <w:szCs w:val="24"/>
                <w:highlight w:val="none"/>
                <w:u w:val="none"/>
                <w:lang w:val="en-US" w:eastAsia="zh-CN"/>
              </w:rPr>
              <w:t>′</w:t>
            </w:r>
            <w:r>
              <w:rPr>
                <w:rFonts w:hint="eastAsia" w:ascii="Times New Roman" w:hAnsi="Times New Roman" w:eastAsia="宋体" w:cs="Times New Roman"/>
                <w:color w:val="000000"/>
                <w:sz w:val="24"/>
                <w:szCs w:val="24"/>
                <w:highlight w:val="none"/>
                <w:u w:val="none"/>
                <w:lang w:val="en-US" w:eastAsia="zh-CN"/>
              </w:rPr>
              <w:t>26.291</w:t>
            </w:r>
            <w:r>
              <w:rPr>
                <w:rFonts w:hint="default" w:ascii="Times New Roman" w:hAnsi="Times New Roman" w:eastAsia="宋体" w:cs="Times New Roman"/>
                <w:color w:val="000000"/>
                <w:sz w:val="24"/>
                <w:szCs w:val="24"/>
                <w:highlight w:val="none"/>
                <w:u w:val="none"/>
                <w:lang w:val="en-US" w:eastAsia="zh-CN"/>
              </w:rPr>
              <w:t>″</w:t>
            </w:r>
            <w:r>
              <w:rPr>
                <w:rFonts w:hint="default" w:ascii="Times New Roman" w:hAnsi="Times New Roman" w:eastAsia="宋体" w:cs="Times New Roman"/>
                <w:color w:val="000000"/>
                <w:sz w:val="24"/>
                <w:szCs w:val="24"/>
                <w:highlight w:val="none"/>
                <w:u w:val="none"/>
              </w:rPr>
              <w:t>，</w:t>
            </w:r>
            <w:r>
              <w:rPr>
                <w:rFonts w:hint="default" w:ascii="Times New Roman" w:hAnsi="Times New Roman" w:eastAsia="宋体" w:cs="Times New Roman"/>
                <w:color w:val="000000"/>
                <w:sz w:val="24"/>
                <w:szCs w:val="24"/>
                <w:highlight w:val="none"/>
                <w:u w:val="none"/>
                <w:lang w:val="en-US" w:eastAsia="zh-CN"/>
              </w:rPr>
              <w:t>46°</w:t>
            </w:r>
            <w:r>
              <w:rPr>
                <w:rFonts w:hint="eastAsia" w:ascii="Times New Roman" w:hAnsi="Times New Roman" w:eastAsia="宋体" w:cs="Times New Roman"/>
                <w:color w:val="000000"/>
                <w:sz w:val="24"/>
                <w:szCs w:val="24"/>
                <w:highlight w:val="none"/>
                <w:u w:val="none"/>
                <w:lang w:val="en-US" w:eastAsia="zh-CN"/>
              </w:rPr>
              <w:t>44</w:t>
            </w:r>
            <w:r>
              <w:rPr>
                <w:rFonts w:hint="default" w:ascii="Times New Roman" w:hAnsi="Times New Roman" w:eastAsia="宋体" w:cs="Times New Roman"/>
                <w:color w:val="000000"/>
                <w:sz w:val="24"/>
                <w:szCs w:val="24"/>
                <w:highlight w:val="none"/>
                <w:u w:val="none"/>
                <w:lang w:val="en-US" w:eastAsia="zh-CN"/>
              </w:rPr>
              <w:t>′</w:t>
            </w:r>
            <w:r>
              <w:rPr>
                <w:rFonts w:hint="eastAsia" w:ascii="Times New Roman" w:hAnsi="Times New Roman" w:eastAsia="宋体" w:cs="Times New Roman"/>
                <w:color w:val="000000"/>
                <w:sz w:val="24"/>
                <w:szCs w:val="24"/>
                <w:highlight w:val="none"/>
                <w:u w:val="none"/>
                <w:lang w:val="en-US" w:eastAsia="zh-CN"/>
              </w:rPr>
              <w:t>28.312</w:t>
            </w:r>
            <w:r>
              <w:rPr>
                <w:rFonts w:hint="default" w:ascii="Times New Roman" w:hAnsi="Times New Roman" w:eastAsia="宋体" w:cs="Times New Roman"/>
                <w:color w:val="000000"/>
                <w:sz w:val="24"/>
                <w:szCs w:val="24"/>
                <w:highlight w:val="none"/>
                <w:u w:val="none"/>
                <w:lang w:val="en-US" w:eastAsia="zh-CN"/>
              </w:rPr>
              <w:t>″</w:t>
            </w:r>
            <w:r>
              <w:rPr>
                <w:rFonts w:hint="default" w:ascii="Times New Roman" w:hAnsi="Times New Roman" w:eastAsia="宋体" w:cs="Times New Roman"/>
                <w:color w:val="000000"/>
                <w:sz w:val="24"/>
                <w:szCs w:val="24"/>
                <w:highlight w:val="none"/>
                <w:lang w:val="en-US" w:eastAsia="zh-CN"/>
              </w:rPr>
              <w:t>。占地</w:t>
            </w:r>
            <w:r>
              <w:rPr>
                <w:rFonts w:hint="eastAsia" w:cs="Times New Roman"/>
                <w:color w:val="000000"/>
                <w:sz w:val="24"/>
                <w:szCs w:val="24"/>
                <w:highlight w:val="none"/>
                <w:lang w:val="en-US" w:eastAsia="zh-CN"/>
              </w:rPr>
              <w:t>类型为耕地</w:t>
            </w:r>
            <w:r>
              <w:rPr>
                <w:rFonts w:hint="default" w:ascii="Times New Roman" w:hAnsi="Times New Roman" w:eastAsia="宋体" w:cs="Times New Roman"/>
                <w:color w:val="0000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本项目在黑龙江的位置见图2-</w:t>
            </w:r>
            <w:r>
              <w:rPr>
                <w:rFonts w:hint="eastAsia"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lang w:val="en-US" w:eastAsia="zh-CN"/>
              </w:rPr>
              <w:t>。本项目在</w:t>
            </w:r>
            <w:r>
              <w:rPr>
                <w:rFonts w:hint="eastAsia" w:ascii="Times New Roman" w:hAnsi="Times New Roman" w:eastAsia="宋体" w:cs="Times New Roman"/>
                <w:color w:val="000000"/>
                <w:sz w:val="24"/>
                <w:szCs w:val="24"/>
                <w:lang w:val="en-US" w:eastAsia="zh-CN"/>
              </w:rPr>
              <w:t>双鸭山</w:t>
            </w:r>
            <w:r>
              <w:rPr>
                <w:rFonts w:hint="default" w:ascii="Times New Roman" w:hAnsi="Times New Roman" w:eastAsia="宋体" w:cs="Times New Roman"/>
                <w:color w:val="000000"/>
                <w:sz w:val="24"/>
                <w:szCs w:val="24"/>
                <w:lang w:val="en-US" w:eastAsia="zh-CN"/>
              </w:rPr>
              <w:t>市的位置见图2-</w:t>
            </w:r>
            <w:r>
              <w:rPr>
                <w:rFonts w:hint="eastAsia"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val="en-US" w:eastAsia="zh-CN"/>
              </w:rPr>
              <w:t>。</w:t>
            </w:r>
          </w:p>
          <w:p>
            <w:pPr>
              <w:pStyle w:val="41"/>
              <w:jc w:val="center"/>
            </w:pPr>
            <w:r>
              <w:drawing>
                <wp:inline distT="0" distB="0" distL="114300" distR="114300">
                  <wp:extent cx="4265295" cy="3885565"/>
                  <wp:effectExtent l="0" t="0" r="1905" b="63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2"/>
                          <a:stretch>
                            <a:fillRect/>
                          </a:stretch>
                        </pic:blipFill>
                        <pic:spPr>
                          <a:xfrm>
                            <a:off x="0" y="0"/>
                            <a:ext cx="4265295" cy="3885565"/>
                          </a:xfrm>
                          <a:prstGeom prst="rect">
                            <a:avLst/>
                          </a:prstGeom>
                          <a:noFill/>
                          <a:ln>
                            <a:noFill/>
                          </a:ln>
                        </pic:spPr>
                      </pic:pic>
                    </a:graphicData>
                  </a:graphic>
                </wp:inline>
              </w:drawing>
            </w:r>
          </w:p>
          <w:p>
            <w:pPr>
              <w:jc w:val="center"/>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图2-1  本项目在黑龙江的地理位置图</w:t>
            </w:r>
          </w:p>
          <w:p>
            <w:pPr>
              <w:pStyle w:val="41"/>
              <w:jc w:val="center"/>
            </w:pPr>
            <w:r>
              <w:drawing>
                <wp:inline distT="0" distB="0" distL="114300" distR="114300">
                  <wp:extent cx="5062220" cy="4202430"/>
                  <wp:effectExtent l="0" t="0" r="5080" b="762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3"/>
                          <a:stretch>
                            <a:fillRect/>
                          </a:stretch>
                        </pic:blipFill>
                        <pic:spPr>
                          <a:xfrm>
                            <a:off x="0" y="0"/>
                            <a:ext cx="5062220" cy="4202430"/>
                          </a:xfrm>
                          <a:prstGeom prst="rect">
                            <a:avLst/>
                          </a:prstGeom>
                          <a:noFill/>
                          <a:ln>
                            <a:noFill/>
                          </a:ln>
                        </pic:spPr>
                      </pic:pic>
                    </a:graphicData>
                  </a:graphic>
                </wp:inline>
              </w:drawing>
            </w:r>
          </w:p>
          <w:p>
            <w:pPr>
              <w:jc w:val="center"/>
            </w:pPr>
            <w:r>
              <w:rPr>
                <w:rFonts w:hint="default" w:ascii="Times New Roman" w:hAnsi="Times New Roman" w:eastAsia="宋体" w:cs="Times New Roman"/>
                <w:b/>
                <w:color w:val="000000"/>
                <w:sz w:val="21"/>
                <w:szCs w:val="21"/>
                <w:lang w:val="en-US" w:eastAsia="zh-CN"/>
              </w:rPr>
              <w:t>图</w:t>
            </w:r>
            <w:r>
              <w:rPr>
                <w:rFonts w:hint="eastAsia" w:ascii="Times New Roman" w:hAnsi="Times New Roman" w:eastAsia="宋体" w:cs="Times New Roman"/>
                <w:b/>
                <w:color w:val="000000"/>
                <w:sz w:val="21"/>
                <w:szCs w:val="21"/>
                <w:lang w:val="en-US" w:eastAsia="zh-CN"/>
              </w:rPr>
              <w:t>2-2</w:t>
            </w:r>
            <w:r>
              <w:rPr>
                <w:rFonts w:hint="default" w:ascii="Times New Roman" w:hAnsi="Times New Roman" w:eastAsia="宋体" w:cs="Times New Roman"/>
                <w:b/>
                <w:color w:val="000000"/>
                <w:sz w:val="21"/>
                <w:szCs w:val="21"/>
                <w:lang w:val="en-US" w:eastAsia="zh-CN"/>
              </w:rPr>
              <w:t xml:space="preserve">  本项目地理位置图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710" w:type="dxa"/>
            <w:noWrap w:val="0"/>
            <w:vAlign w:val="center"/>
          </w:tcPr>
          <w:p>
            <w:pPr>
              <w:adjustRightInd w:val="0"/>
              <w:snapToGrid w:val="0"/>
              <w:jc w:val="center"/>
              <w:rPr>
                <w:rFonts w:ascii="宋体" w:hAnsi="宋体" w:cs="宋体"/>
                <w:kern w:val="0"/>
                <w:sz w:val="24"/>
                <w:szCs w:val="24"/>
              </w:rPr>
            </w:pPr>
            <w:r>
              <w:rPr>
                <w:rFonts w:hint="eastAsia" w:ascii="宋体" w:hAnsi="宋体" w:cs="宋体"/>
                <w:kern w:val="0"/>
                <w:sz w:val="24"/>
                <w:szCs w:val="24"/>
              </w:rPr>
              <w:t>项目组成及规模</w:t>
            </w:r>
          </w:p>
        </w:tc>
        <w:tc>
          <w:tcPr>
            <w:tcW w:w="83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一</w:t>
            </w:r>
            <w:r>
              <w:rPr>
                <w:rFonts w:hint="default" w:ascii="Times New Roman" w:hAnsi="Times New Roman" w:eastAsia="宋体" w:cs="Times New Roman"/>
                <w:b/>
                <w:bCs/>
                <w:color w:val="000000"/>
                <w:sz w:val="24"/>
                <w:szCs w:val="24"/>
                <w:highlight w:val="none"/>
                <w:lang w:val="en-US" w:eastAsia="zh-CN"/>
              </w:rPr>
              <w:t>、</w:t>
            </w:r>
            <w:r>
              <w:rPr>
                <w:rFonts w:hint="eastAsia" w:ascii="Times New Roman" w:hAnsi="Times New Roman" w:eastAsia="宋体" w:cs="Times New Roman"/>
                <w:b/>
                <w:bCs/>
                <w:color w:val="000000"/>
                <w:sz w:val="24"/>
                <w:szCs w:val="24"/>
                <w:highlight w:val="none"/>
                <w:lang w:val="en-US" w:eastAsia="zh-CN"/>
              </w:rPr>
              <w:t>项目概况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（1）项目名称：龙煤双鸭山集贤200MW风力发电项目接网工程项目；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（2）建设单位：双鸭山龙双风力发电有限公司；</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（3）建设性质：新建；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（4）建设地址：</w:t>
            </w:r>
            <w:r>
              <w:rPr>
                <w:rFonts w:hint="default" w:ascii="Times New Roman" w:hAnsi="Times New Roman" w:eastAsia="宋体" w:cs="Times New Roman"/>
                <w:color w:val="000000"/>
                <w:sz w:val="24"/>
                <w:szCs w:val="24"/>
                <w:highlight w:val="none"/>
                <w:u w:val="none"/>
                <w:lang w:val="en-US" w:eastAsia="zh-CN"/>
              </w:rPr>
              <w:t>黑龙江省</w:t>
            </w:r>
            <w:r>
              <w:rPr>
                <w:rFonts w:hint="eastAsia" w:ascii="Times New Roman" w:hAnsi="Times New Roman" w:eastAsia="宋体" w:cs="Times New Roman"/>
                <w:color w:val="000000"/>
                <w:sz w:val="24"/>
                <w:szCs w:val="24"/>
                <w:highlight w:val="none"/>
                <w:u w:val="none"/>
                <w:lang w:val="en-US" w:eastAsia="zh-CN"/>
              </w:rPr>
              <w:t>双鸭山市集贤县</w:t>
            </w:r>
            <w:r>
              <w:rPr>
                <w:rFonts w:hint="eastAsia" w:cs="Times New Roman"/>
                <w:color w:val="000000"/>
                <w:sz w:val="24"/>
                <w:szCs w:val="24"/>
                <w:highlight w:val="none"/>
                <w:u w:val="none"/>
                <w:lang w:val="en-US" w:eastAsia="zh-CN"/>
              </w:rPr>
              <w:t>和</w:t>
            </w:r>
            <w:r>
              <w:rPr>
                <w:rFonts w:hint="eastAsia" w:ascii="Times New Roman" w:hAnsi="Times New Roman" w:eastAsia="宋体" w:cs="Times New Roman"/>
                <w:color w:val="000000"/>
                <w:sz w:val="24"/>
                <w:szCs w:val="24"/>
                <w:highlight w:val="none"/>
                <w:u w:val="none"/>
                <w:lang w:val="en-US" w:eastAsia="zh-CN"/>
              </w:rPr>
              <w:t>双鸭山市</w:t>
            </w:r>
            <w:r>
              <w:rPr>
                <w:rFonts w:hint="eastAsia" w:cs="Times New Roman"/>
                <w:color w:val="000000"/>
                <w:sz w:val="24"/>
                <w:szCs w:val="24"/>
                <w:highlight w:val="none"/>
                <w:u w:val="none"/>
                <w:lang w:val="en-US" w:eastAsia="zh-CN"/>
              </w:rPr>
              <w:t>四方台区</w:t>
            </w:r>
            <w:r>
              <w:rPr>
                <w:rFonts w:hint="default" w:ascii="Times New Roman" w:hAnsi="Times New Roman" w:eastAsia="宋体" w:cs="Times New Roman"/>
                <w:color w:val="000000"/>
                <w:sz w:val="24"/>
                <w:szCs w:val="24"/>
                <w:highlight w:val="none"/>
                <w:u w:val="none"/>
                <w:lang w:val="en-US" w:eastAsia="zh-CN"/>
              </w:rPr>
              <w:t>境内</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（5）占地面积：项目总占地面积为255500.</w:t>
            </w:r>
            <w:r>
              <w:rPr>
                <w:rFonts w:hint="eastAsia" w:cs="Times New Roman"/>
                <w:color w:val="000000"/>
                <w:sz w:val="24"/>
                <w:szCs w:val="24"/>
                <w:highlight w:val="none"/>
                <w:lang w:val="en-US" w:eastAsia="zh-CN"/>
              </w:rPr>
              <w:t>1</w:t>
            </w:r>
            <w:r>
              <w:rPr>
                <w:rFonts w:hint="eastAsia" w:ascii="Times New Roman" w:hAnsi="Times New Roman" w:eastAsia="宋体" w:cs="Times New Roman"/>
                <w:color w:val="000000"/>
                <w:sz w:val="24"/>
                <w:szCs w:val="24"/>
                <w:highlight w:val="none"/>
                <w:lang w:val="en-US" w:eastAsia="zh-CN"/>
              </w:rPr>
              <w:t>m</w:t>
            </w:r>
            <w:r>
              <w:rPr>
                <w:rFonts w:hint="eastAsia"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，永久占地5864.63m</w:t>
            </w:r>
            <w:r>
              <w:rPr>
                <w:rFonts w:hint="eastAsia"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，临时占地249635.4</w:t>
            </w:r>
            <w:r>
              <w:rPr>
                <w:rFonts w:hint="eastAsia" w:cs="Times New Roman"/>
                <w:color w:val="000000"/>
                <w:sz w:val="24"/>
                <w:szCs w:val="24"/>
                <w:highlight w:val="none"/>
                <w:lang w:val="en-US" w:eastAsia="zh-CN"/>
              </w:rPr>
              <w:t>7</w:t>
            </w:r>
            <w:r>
              <w:rPr>
                <w:rFonts w:hint="eastAsia" w:ascii="Times New Roman" w:hAnsi="Times New Roman" w:eastAsia="宋体" w:cs="Times New Roman"/>
                <w:color w:val="000000"/>
                <w:sz w:val="24"/>
                <w:szCs w:val="24"/>
                <w:highlight w:val="none"/>
                <w:lang w:val="en-US" w:eastAsia="zh-CN"/>
              </w:rPr>
              <w:t>m</w:t>
            </w:r>
            <w:r>
              <w:rPr>
                <w:rFonts w:hint="eastAsia"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，占地类型为耕地。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（6）建设时间：202</w:t>
            </w:r>
            <w:r>
              <w:rPr>
                <w:rFonts w:hint="eastAsia" w:cs="Times New Roman"/>
                <w:color w:val="000000"/>
                <w:sz w:val="24"/>
                <w:szCs w:val="24"/>
                <w:highlight w:val="none"/>
                <w:lang w:val="en-US" w:eastAsia="zh-CN"/>
              </w:rPr>
              <w:t>6</w:t>
            </w:r>
            <w:r>
              <w:rPr>
                <w:rFonts w:hint="eastAsia" w:ascii="Times New Roman" w:hAnsi="Times New Roman" w:eastAsia="宋体" w:cs="Times New Roman"/>
                <w:color w:val="000000"/>
                <w:sz w:val="24"/>
                <w:szCs w:val="24"/>
                <w:highlight w:val="none"/>
                <w:lang w:val="en-US" w:eastAsia="zh-CN"/>
              </w:rPr>
              <w:t>年</w:t>
            </w:r>
            <w:r>
              <w:rPr>
                <w:rFonts w:hint="eastAsia" w:cs="Times New Roman"/>
                <w:color w:val="000000"/>
                <w:sz w:val="24"/>
                <w:szCs w:val="24"/>
                <w:highlight w:val="none"/>
                <w:lang w:val="en-US" w:eastAsia="zh-CN"/>
              </w:rPr>
              <w:t>3</w:t>
            </w:r>
            <w:r>
              <w:rPr>
                <w:rFonts w:hint="eastAsia" w:ascii="Times New Roman" w:hAnsi="Times New Roman" w:eastAsia="宋体" w:cs="Times New Roman"/>
                <w:color w:val="000000"/>
                <w:sz w:val="24"/>
                <w:szCs w:val="24"/>
                <w:highlight w:val="none"/>
                <w:lang w:val="en-US" w:eastAsia="zh-CN"/>
              </w:rPr>
              <w:t>月-202</w:t>
            </w:r>
            <w:r>
              <w:rPr>
                <w:rFonts w:hint="eastAsia" w:cs="Times New Roman"/>
                <w:color w:val="000000"/>
                <w:sz w:val="24"/>
                <w:szCs w:val="24"/>
                <w:highlight w:val="none"/>
                <w:lang w:val="en-US" w:eastAsia="zh-CN"/>
              </w:rPr>
              <w:t>6</w:t>
            </w:r>
            <w:r>
              <w:rPr>
                <w:rFonts w:hint="eastAsia" w:ascii="Times New Roman" w:hAnsi="Times New Roman" w:eastAsia="宋体" w:cs="Times New Roman"/>
                <w:color w:val="000000"/>
                <w:sz w:val="24"/>
                <w:szCs w:val="24"/>
                <w:highlight w:val="none"/>
                <w:lang w:val="en-US" w:eastAsia="zh-CN"/>
              </w:rPr>
              <w:t>年</w:t>
            </w:r>
            <w:r>
              <w:rPr>
                <w:rFonts w:hint="eastAsia" w:cs="Times New Roman"/>
                <w:color w:val="000000"/>
                <w:sz w:val="24"/>
                <w:szCs w:val="24"/>
                <w:highlight w:val="none"/>
                <w:lang w:val="en-US" w:eastAsia="zh-CN"/>
              </w:rPr>
              <w:t>5</w:t>
            </w:r>
            <w:r>
              <w:rPr>
                <w:rFonts w:hint="eastAsia" w:ascii="Times New Roman" w:hAnsi="Times New Roman" w:eastAsia="宋体" w:cs="Times New Roman"/>
                <w:color w:val="000000"/>
                <w:sz w:val="24"/>
                <w:szCs w:val="24"/>
                <w:highlight w:val="none"/>
                <w:lang w:val="en-US" w:eastAsia="zh-CN"/>
              </w:rPr>
              <w:t>月；</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（7）总投资：</w:t>
            </w:r>
            <w:r>
              <w:rPr>
                <w:rFonts w:hint="default" w:ascii="Times New Roman" w:hAnsi="Times New Roman" w:cs="Times New Roman"/>
                <w:sz w:val="24"/>
                <w:szCs w:val="24"/>
                <w:highlight w:val="none"/>
                <w:lang w:val="en-US" w:eastAsia="zh-CN"/>
              </w:rPr>
              <w:t>5416.712</w:t>
            </w:r>
            <w:r>
              <w:rPr>
                <w:rFonts w:hint="eastAsia" w:ascii="Times New Roman" w:hAnsi="Times New Roman" w:cs="Times New Roman"/>
                <w:sz w:val="24"/>
                <w:szCs w:val="24"/>
                <w:highlight w:val="none"/>
                <w:lang w:val="en-US" w:eastAsia="zh-CN"/>
              </w:rPr>
              <w:t>万</w:t>
            </w:r>
            <w:r>
              <w:rPr>
                <w:rFonts w:hint="eastAsia" w:ascii="Times New Roman" w:hAnsi="Times New Roman" w:eastAsia="宋体" w:cs="Times New Roman"/>
                <w:color w:val="000000"/>
                <w:sz w:val="24"/>
                <w:szCs w:val="24"/>
                <w:highlight w:val="none"/>
                <w:lang w:val="en-US" w:eastAsia="zh-CN"/>
              </w:rPr>
              <w:t>元，其中环保投资</w:t>
            </w:r>
            <w:r>
              <w:rPr>
                <w:rFonts w:hint="eastAsia" w:cs="Times New Roman"/>
                <w:color w:val="000000"/>
                <w:sz w:val="24"/>
                <w:szCs w:val="24"/>
                <w:highlight w:val="none"/>
                <w:lang w:val="en-US" w:eastAsia="zh-CN"/>
              </w:rPr>
              <w:t>80</w:t>
            </w:r>
            <w:r>
              <w:rPr>
                <w:rFonts w:hint="eastAsia" w:ascii="Times New Roman" w:hAnsi="Times New Roman" w:eastAsia="宋体" w:cs="Times New Roman"/>
                <w:color w:val="000000"/>
                <w:sz w:val="24"/>
                <w:szCs w:val="24"/>
                <w:highlight w:val="none"/>
                <w:lang w:val="en-US" w:eastAsia="zh-CN"/>
              </w:rPr>
              <w:t>万元，占总投资的</w:t>
            </w:r>
            <w:r>
              <w:rPr>
                <w:rFonts w:hint="eastAsia" w:cs="Times New Roman"/>
                <w:color w:val="000000"/>
                <w:sz w:val="24"/>
                <w:szCs w:val="24"/>
                <w:highlight w:val="none"/>
                <w:lang w:val="en-US" w:eastAsia="zh-CN"/>
              </w:rPr>
              <w:t>1.48</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二</w:t>
            </w:r>
            <w:r>
              <w:rPr>
                <w:rFonts w:hint="default" w:ascii="Times New Roman" w:hAnsi="Times New Roman" w:eastAsia="宋体" w:cs="Times New Roman"/>
                <w:b/>
                <w:bCs/>
                <w:color w:val="000000"/>
                <w:sz w:val="24"/>
                <w:szCs w:val="24"/>
                <w:highlight w:val="none"/>
                <w:lang w:val="en-US" w:eastAsia="zh-CN"/>
              </w:rPr>
              <w:t>、</w:t>
            </w:r>
            <w:r>
              <w:rPr>
                <w:rFonts w:hint="eastAsia" w:ascii="Times New Roman" w:hAnsi="Times New Roman" w:eastAsia="宋体" w:cs="Times New Roman"/>
                <w:b/>
                <w:bCs/>
                <w:color w:val="000000"/>
                <w:sz w:val="24"/>
                <w:szCs w:val="24"/>
                <w:highlight w:val="none"/>
                <w:lang w:val="en-US" w:eastAsia="zh-CN"/>
              </w:rPr>
              <w:t>建设内容基本情况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FF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太保变电站扩建1个站内预留220千伏出线间隔</w:t>
            </w:r>
            <w:r>
              <w:rPr>
                <w:rFonts w:hint="default" w:ascii="Times New Roman" w:hAnsi="Times New Roman" w:eastAsia="宋体" w:cs="Times New Roman"/>
                <w:color w:val="000000"/>
                <w:sz w:val="24"/>
                <w:szCs w:val="24"/>
                <w:highlight w:val="none"/>
                <w:lang w:val="en-US" w:eastAsia="zh-CN"/>
              </w:rPr>
              <w:t>，新建线路</w:t>
            </w:r>
            <w:r>
              <w:rPr>
                <w:rFonts w:hint="eastAsia" w:ascii="Times New Roman" w:hAnsi="Times New Roman" w:eastAsia="宋体" w:cs="Times New Roman"/>
                <w:color w:val="000000"/>
                <w:sz w:val="24"/>
                <w:szCs w:val="24"/>
                <w:highlight w:val="none"/>
                <w:lang w:val="en-US" w:eastAsia="zh-CN"/>
              </w:rPr>
              <w:t>接入220kV配电装置原有西侧第二回间隔。</w:t>
            </w:r>
            <w:r>
              <w:rPr>
                <w:rFonts w:hint="default" w:ascii="Times New Roman" w:hAnsi="Times New Roman" w:eastAsia="宋体" w:cs="Times New Roman"/>
                <w:color w:val="000000"/>
                <w:sz w:val="24"/>
                <w:szCs w:val="24"/>
                <w:highlight w:val="none"/>
                <w:lang w:val="en-US" w:eastAsia="zh-CN"/>
              </w:rPr>
              <w:t>新建线路</w:t>
            </w:r>
            <w:r>
              <w:rPr>
                <w:rFonts w:hint="eastAsia" w:ascii="Times New Roman" w:hAnsi="Times New Roman" w:eastAsia="宋体" w:cs="Times New Roman"/>
                <w:color w:val="000000"/>
                <w:sz w:val="24"/>
                <w:szCs w:val="24"/>
                <w:highlight w:val="none"/>
                <w:lang w:val="en-US" w:eastAsia="zh-CN"/>
              </w:rPr>
              <w:t>全</w:t>
            </w:r>
            <w:r>
              <w:rPr>
                <w:rFonts w:hint="default" w:ascii="Times New Roman" w:hAnsi="Times New Roman" w:eastAsia="宋体" w:cs="Times New Roman"/>
                <w:color w:val="000000"/>
                <w:sz w:val="24"/>
                <w:szCs w:val="24"/>
                <w:highlight w:val="none"/>
                <w:lang w:val="en-US" w:eastAsia="zh-CN"/>
              </w:rPr>
              <w:t>长</w:t>
            </w:r>
            <w:r>
              <w:rPr>
                <w:rFonts w:hint="eastAsia" w:ascii="Times New Roman" w:hAnsi="Times New Roman" w:eastAsia="宋体" w:cs="Times New Roman"/>
                <w:color w:val="000000"/>
                <w:sz w:val="24"/>
                <w:szCs w:val="24"/>
                <w:highlight w:val="none"/>
                <w:lang w:val="en-US" w:eastAsia="zh-CN"/>
              </w:rPr>
              <w:t>26.5</w:t>
            </w:r>
            <w:r>
              <w:rPr>
                <w:rFonts w:hint="default" w:ascii="Times New Roman" w:hAnsi="Times New Roman" w:eastAsia="宋体" w:cs="Times New Roman"/>
                <w:color w:val="000000"/>
                <w:sz w:val="24"/>
                <w:szCs w:val="24"/>
                <w:highlight w:val="none"/>
                <w:lang w:val="en-US" w:eastAsia="zh-CN"/>
              </w:rPr>
              <w:t>km</w:t>
            </w:r>
            <w:r>
              <w:rPr>
                <w:rFonts w:hint="eastAsia" w:ascii="Times New Roman" w:hAnsi="Times New Roman" w:eastAsia="宋体" w:cs="Times New Roman"/>
                <w:color w:val="000000"/>
                <w:sz w:val="24"/>
                <w:szCs w:val="24"/>
                <w:highlight w:val="none"/>
                <w:lang w:val="en-US" w:eastAsia="zh-CN"/>
              </w:rPr>
              <w:t>，其中架空段26.2km，单回路架设，电缆段长度0.3km，采用电缆沟槽方式敷设，电缆采用1600截面单芯铜芯电缆。</w:t>
            </w:r>
            <w:r>
              <w:rPr>
                <w:rFonts w:hint="eastAsia" w:cs="Times New Roman"/>
                <w:color w:val="000000" w:themeColor="text1"/>
                <w:sz w:val="24"/>
                <w:szCs w:val="24"/>
                <w:highlight w:val="none"/>
                <w:lang w:val="en-US" w:eastAsia="zh-CN"/>
                <w14:textFill>
                  <w14:solidFill>
                    <w14:schemeClr w14:val="tx1"/>
                  </w14:solidFill>
                </w14:textFill>
              </w:rPr>
              <w:t>（因后期设计文本调整，且根据《国网黑龙江省电力有限公司经济技术研究院关于龙煤双鸭山集贤200MW风力发电项目接网工程可研复审的意见》中“由原评审意见的新建架空线路26.8千米，调整为新建架空线路26.2千米，新建电缆线路0.3千米”，故本项目最终的线路长度调整为26.5千米）。</w:t>
            </w:r>
          </w:p>
          <w:tbl>
            <w:tblPr>
              <w:tblStyle w:val="20"/>
              <w:tblpPr w:leftFromText="180" w:rightFromText="180" w:vertAnchor="text" w:horzAnchor="page" w:tblpX="95" w:tblpY="238"/>
              <w:tblOverlap w:val="never"/>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53"/>
              <w:gridCol w:w="5622"/>
              <w:gridCol w:w="9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1" w:hRule="atLeast"/>
                <w:tblHeader/>
              </w:trPr>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类别</w:t>
                  </w: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工程名称</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工程主要内容</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6" w:hRule="atLeast"/>
              </w:trPr>
              <w:tc>
                <w:tcPr>
                  <w:tcW w:w="26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主体工程</w:t>
                  </w: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输电线路</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cs="Times New Roman"/>
                      <w:color w:val="000000"/>
                      <w:kern w:val="21"/>
                      <w:sz w:val="21"/>
                      <w:szCs w:val="21"/>
                      <w:highlight w:val="none"/>
                      <w:lang w:val="en-US" w:eastAsia="zh-CN"/>
                    </w:rPr>
                    <w:t>始于双鸭山市集贤县兴旺村南侧</w:t>
                  </w:r>
                  <w:r>
                    <w:rPr>
                      <w:rFonts w:hint="eastAsia" w:cs="Times New Roman"/>
                      <w:color w:val="000000"/>
                      <w:kern w:val="21"/>
                      <w:sz w:val="21"/>
                      <w:szCs w:val="21"/>
                      <w:highlight w:val="none"/>
                      <w:lang w:val="en-US" w:eastAsia="zh-CN"/>
                    </w:rPr>
                    <w:t>龙煤双鸭山集贤200MW风电</w:t>
                  </w:r>
                  <w:r>
                    <w:rPr>
                      <w:rFonts w:hint="default" w:ascii="Times New Roman" w:hAnsi="Times New Roman" w:eastAsia="宋体" w:cs="Times New Roman"/>
                      <w:color w:val="000000"/>
                      <w:kern w:val="21"/>
                      <w:sz w:val="21"/>
                      <w:szCs w:val="21"/>
                      <w:highlight w:val="none"/>
                      <w:lang w:val="en-US" w:eastAsia="zh-CN"/>
                    </w:rPr>
                    <w:t>升压站</w:t>
                  </w:r>
                  <w:r>
                    <w:rPr>
                      <w:rFonts w:hint="default" w:ascii="Times New Roman" w:hAnsi="Times New Roman" w:cs="Times New Roman"/>
                      <w:color w:val="000000"/>
                      <w:kern w:val="21"/>
                      <w:sz w:val="21"/>
                      <w:szCs w:val="21"/>
                      <w:highlight w:val="none"/>
                      <w:lang w:val="en-US" w:eastAsia="zh-CN"/>
                    </w:rPr>
                    <w:t>，止于双鸭山市四方台区太保镇北侧220kV太保变电站</w:t>
                  </w:r>
                  <w:r>
                    <w:rPr>
                      <w:rFonts w:hint="default" w:ascii="Times New Roman" w:hAnsi="Times New Roman" w:eastAsia="宋体" w:cs="Times New Roman"/>
                      <w:color w:val="000000"/>
                      <w:kern w:val="21"/>
                      <w:sz w:val="21"/>
                      <w:szCs w:val="21"/>
                      <w:highlight w:val="none"/>
                      <w:lang w:val="en-US" w:eastAsia="zh-CN"/>
                    </w:rPr>
                    <w:t>。</w:t>
                  </w:r>
                  <w:r>
                    <w:rPr>
                      <w:rFonts w:hint="eastAsia" w:cs="Times New Roman"/>
                      <w:color w:val="000000"/>
                      <w:kern w:val="21"/>
                      <w:sz w:val="21"/>
                      <w:szCs w:val="21"/>
                      <w:highlight w:val="none"/>
                      <w:lang w:val="en-US" w:eastAsia="zh-CN"/>
                    </w:rPr>
                    <w:t>额定电压为</w:t>
                  </w:r>
                  <w:r>
                    <w:rPr>
                      <w:rFonts w:hint="default" w:ascii="Times New Roman" w:hAnsi="Times New Roman" w:eastAsia="宋体" w:cs="Times New Roman"/>
                      <w:color w:val="000000"/>
                      <w:kern w:val="21"/>
                      <w:sz w:val="21"/>
                      <w:szCs w:val="21"/>
                      <w:highlight w:val="none"/>
                      <w:lang w:val="en-US" w:eastAsia="zh-CN"/>
                    </w:rPr>
                    <w:t>220kV，</w:t>
                  </w:r>
                  <w:r>
                    <w:rPr>
                      <w:rFonts w:hint="eastAsia" w:cs="Times New Roman"/>
                      <w:color w:val="000000"/>
                      <w:kern w:val="21"/>
                      <w:sz w:val="21"/>
                      <w:szCs w:val="21"/>
                      <w:highlight w:val="none"/>
                      <w:lang w:val="en-US" w:eastAsia="zh-CN"/>
                    </w:rPr>
                    <w:t>新建线路全长26.5</w:t>
                  </w:r>
                  <w:r>
                    <w:rPr>
                      <w:rFonts w:hint="default" w:ascii="Times New Roman" w:hAnsi="Times New Roman" w:eastAsia="宋体" w:cs="Times New Roman"/>
                      <w:color w:val="000000"/>
                      <w:kern w:val="21"/>
                      <w:sz w:val="21"/>
                      <w:szCs w:val="21"/>
                      <w:highlight w:val="none"/>
                      <w:lang w:val="en-US" w:eastAsia="zh-CN"/>
                    </w:rPr>
                    <w:t>km</w:t>
                  </w:r>
                  <w:r>
                    <w:rPr>
                      <w:rFonts w:hint="eastAsia" w:cs="Times New Roman"/>
                      <w:color w:val="000000"/>
                      <w:kern w:val="21"/>
                      <w:sz w:val="21"/>
                      <w:szCs w:val="21"/>
                      <w:highlight w:val="none"/>
                      <w:lang w:val="en-US" w:eastAsia="zh-CN"/>
                    </w:rPr>
                    <w:t>，其中架空段26.2km，单回路架设，电缆段长度0.3km，采用电缆沟槽方式敷设</w:t>
                  </w:r>
                  <w:r>
                    <w:rPr>
                      <w:rFonts w:hint="default" w:ascii="Times New Roman" w:hAnsi="Times New Roman" w:eastAsia="宋体" w:cs="Times New Roman"/>
                      <w:color w:val="000000"/>
                      <w:kern w:val="21"/>
                      <w:sz w:val="21"/>
                      <w:szCs w:val="21"/>
                      <w:highlight w:val="none"/>
                      <w:lang w:val="en-US" w:eastAsia="zh-CN"/>
                    </w:rPr>
                    <w:t>。新建导线采用2×JL/G1A-240/30钢芯铝绞线，地线两侧均为24芯OPGW光缆；电缆采用1600截面单芯铜芯电缆，光缆同路径敷设。新建</w:t>
                  </w:r>
                  <w:r>
                    <w:rPr>
                      <w:rFonts w:hint="eastAsia" w:cs="Times New Roman"/>
                      <w:color w:val="000000"/>
                      <w:kern w:val="21"/>
                      <w:sz w:val="21"/>
                      <w:szCs w:val="21"/>
                      <w:highlight w:val="none"/>
                      <w:lang w:val="en-US" w:eastAsia="zh-CN"/>
                    </w:rPr>
                    <w:t>杆</w:t>
                  </w:r>
                  <w:r>
                    <w:rPr>
                      <w:rFonts w:hint="default" w:ascii="Times New Roman" w:hAnsi="Times New Roman" w:eastAsia="宋体" w:cs="Times New Roman"/>
                      <w:color w:val="000000"/>
                      <w:kern w:val="21"/>
                      <w:sz w:val="21"/>
                      <w:szCs w:val="21"/>
                      <w:highlight w:val="none"/>
                      <w:lang w:val="en-US" w:eastAsia="zh-CN"/>
                    </w:rPr>
                    <w:t>塔</w:t>
                  </w:r>
                  <w:r>
                    <w:rPr>
                      <w:rFonts w:hint="eastAsia" w:cs="Times New Roman"/>
                      <w:color w:val="000000"/>
                      <w:kern w:val="21"/>
                      <w:sz w:val="21"/>
                      <w:szCs w:val="21"/>
                      <w:highlight w:val="none"/>
                      <w:lang w:val="en-US" w:eastAsia="zh-CN"/>
                    </w:rPr>
                    <w:t>79</w:t>
                  </w:r>
                  <w:r>
                    <w:rPr>
                      <w:rFonts w:hint="default" w:ascii="Times New Roman" w:hAnsi="Times New Roman" w:eastAsia="宋体" w:cs="Times New Roman"/>
                      <w:color w:val="000000"/>
                      <w:kern w:val="21"/>
                      <w:sz w:val="21"/>
                      <w:szCs w:val="21"/>
                      <w:highlight w:val="none"/>
                      <w:lang w:val="en-US" w:eastAsia="zh-CN"/>
                    </w:rPr>
                    <w:t>基，其中</w:t>
                  </w:r>
                  <w:r>
                    <w:rPr>
                      <w:rFonts w:hint="eastAsia" w:cs="Times New Roman"/>
                      <w:color w:val="000000"/>
                      <w:kern w:val="21"/>
                      <w:sz w:val="21"/>
                      <w:szCs w:val="21"/>
                      <w:highlight w:val="none"/>
                      <w:lang w:val="en-US" w:eastAsia="zh-CN"/>
                    </w:rPr>
                    <w:t>单回路</w:t>
                  </w:r>
                  <w:r>
                    <w:rPr>
                      <w:rFonts w:hint="default" w:ascii="Times New Roman" w:hAnsi="Times New Roman" w:eastAsia="宋体" w:cs="Times New Roman"/>
                      <w:color w:val="000000"/>
                      <w:kern w:val="21"/>
                      <w:sz w:val="21"/>
                      <w:szCs w:val="21"/>
                      <w:highlight w:val="none"/>
                      <w:lang w:val="en-US" w:eastAsia="zh-CN"/>
                    </w:rPr>
                    <w:t>直线塔</w:t>
                  </w:r>
                  <w:r>
                    <w:rPr>
                      <w:rFonts w:hint="eastAsia" w:cs="Times New Roman"/>
                      <w:color w:val="000000"/>
                      <w:kern w:val="21"/>
                      <w:sz w:val="21"/>
                      <w:szCs w:val="21"/>
                      <w:highlight w:val="none"/>
                      <w:lang w:val="en-US" w:eastAsia="zh-CN"/>
                    </w:rPr>
                    <w:t>56</w:t>
                  </w:r>
                  <w:r>
                    <w:rPr>
                      <w:rFonts w:hint="default" w:ascii="Times New Roman" w:hAnsi="Times New Roman" w:eastAsia="宋体" w:cs="Times New Roman"/>
                      <w:color w:val="000000"/>
                      <w:kern w:val="21"/>
                      <w:sz w:val="21"/>
                      <w:szCs w:val="21"/>
                      <w:highlight w:val="none"/>
                      <w:lang w:val="en-US" w:eastAsia="zh-CN"/>
                    </w:rPr>
                    <w:t>基，</w:t>
                  </w:r>
                  <w:r>
                    <w:rPr>
                      <w:rFonts w:hint="eastAsia" w:cs="Times New Roman"/>
                      <w:color w:val="000000"/>
                      <w:kern w:val="21"/>
                      <w:sz w:val="21"/>
                      <w:szCs w:val="21"/>
                      <w:highlight w:val="none"/>
                      <w:lang w:val="en-US" w:eastAsia="zh-CN"/>
                    </w:rPr>
                    <w:t>单回路</w:t>
                  </w:r>
                  <w:r>
                    <w:rPr>
                      <w:rFonts w:hint="default" w:ascii="Times New Roman" w:hAnsi="Times New Roman" w:eastAsia="宋体" w:cs="Times New Roman"/>
                      <w:color w:val="000000"/>
                      <w:kern w:val="21"/>
                      <w:sz w:val="21"/>
                      <w:szCs w:val="21"/>
                      <w:highlight w:val="none"/>
                      <w:lang w:val="en-US" w:eastAsia="zh-CN"/>
                    </w:rPr>
                    <w:t>耐张塔</w:t>
                  </w:r>
                  <w:r>
                    <w:rPr>
                      <w:rFonts w:hint="eastAsia" w:cs="Times New Roman"/>
                      <w:color w:val="000000"/>
                      <w:kern w:val="21"/>
                      <w:sz w:val="21"/>
                      <w:szCs w:val="21"/>
                      <w:highlight w:val="none"/>
                      <w:lang w:val="en-US" w:eastAsia="zh-CN"/>
                    </w:rPr>
                    <w:t>21</w:t>
                  </w:r>
                  <w:r>
                    <w:rPr>
                      <w:rFonts w:hint="default" w:ascii="Times New Roman" w:hAnsi="Times New Roman" w:eastAsia="宋体" w:cs="Times New Roman"/>
                      <w:color w:val="000000"/>
                      <w:kern w:val="21"/>
                      <w:sz w:val="21"/>
                      <w:szCs w:val="21"/>
                      <w:highlight w:val="none"/>
                      <w:lang w:val="en-US" w:eastAsia="zh-CN"/>
                    </w:rPr>
                    <w:t>基</w:t>
                  </w:r>
                  <w:r>
                    <w:rPr>
                      <w:rFonts w:hint="eastAsia" w:cs="Times New Roman"/>
                      <w:color w:val="000000"/>
                      <w:kern w:val="21"/>
                      <w:sz w:val="21"/>
                      <w:szCs w:val="21"/>
                      <w:highlight w:val="none"/>
                      <w:lang w:val="en-US" w:eastAsia="zh-CN"/>
                    </w:rPr>
                    <w:t>，单回路电缆终端杆2基</w:t>
                  </w:r>
                  <w:r>
                    <w:rPr>
                      <w:rFonts w:hint="default" w:ascii="Times New Roman" w:hAnsi="Times New Roman" w:eastAsia="宋体" w:cs="Times New Roman"/>
                      <w:color w:val="000000"/>
                      <w:kern w:val="21"/>
                      <w:sz w:val="21"/>
                      <w:szCs w:val="21"/>
                      <w:highlight w:val="none"/>
                      <w:lang w:val="en-US" w:eastAsia="zh-CN"/>
                    </w:rPr>
                    <w:t>。</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bidi="ar-SA"/>
                    </w:rPr>
                  </w:pPr>
                  <w:r>
                    <w:rPr>
                      <w:rFonts w:hint="default" w:ascii="Times New Roman" w:hAnsi="Times New Roman" w:eastAsia="宋体" w:cs="Times New Roman"/>
                      <w:color w:val="000000"/>
                      <w:kern w:val="21"/>
                      <w:sz w:val="21"/>
                      <w:szCs w:val="21"/>
                      <w:highlight w:val="none"/>
                      <w:lang w:val="en-US" w:eastAsia="zh-CN"/>
                    </w:rPr>
                    <w:t>变电站间隔</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bidi="ar-SA"/>
                    </w:rPr>
                  </w:pPr>
                  <w:r>
                    <w:rPr>
                      <w:rFonts w:hint="default" w:ascii="Times New Roman" w:hAnsi="Times New Roman" w:eastAsia="宋体" w:cs="Times New Roman"/>
                      <w:color w:val="000000"/>
                      <w:kern w:val="21"/>
                      <w:sz w:val="21"/>
                      <w:szCs w:val="21"/>
                      <w:highlight w:val="none"/>
                      <w:lang w:val="en-US" w:eastAsia="zh-CN"/>
                    </w:rPr>
                    <w:t>220kV</w:t>
                  </w:r>
                  <w:r>
                    <w:rPr>
                      <w:rFonts w:hint="eastAsia" w:cs="Times New Roman"/>
                      <w:color w:val="000000"/>
                      <w:kern w:val="21"/>
                      <w:sz w:val="21"/>
                      <w:szCs w:val="21"/>
                      <w:highlight w:val="none"/>
                      <w:lang w:val="en-US" w:eastAsia="zh-CN"/>
                    </w:rPr>
                    <w:t>太保</w:t>
                  </w:r>
                  <w:r>
                    <w:rPr>
                      <w:rFonts w:hint="default" w:ascii="Times New Roman" w:hAnsi="Times New Roman" w:eastAsia="宋体" w:cs="Times New Roman"/>
                      <w:color w:val="000000"/>
                      <w:kern w:val="21"/>
                      <w:sz w:val="21"/>
                      <w:szCs w:val="21"/>
                      <w:highlight w:val="none"/>
                      <w:lang w:val="en-US" w:eastAsia="zh-CN"/>
                    </w:rPr>
                    <w:t>变电站扩建1个站内预留220千伏出线间隔</w:t>
                  </w:r>
                  <w:r>
                    <w:rPr>
                      <w:rFonts w:hint="eastAsia" w:cs="Times New Roman"/>
                      <w:color w:val="000000"/>
                      <w:kern w:val="21"/>
                      <w:sz w:val="21"/>
                      <w:szCs w:val="21"/>
                      <w:highlight w:val="none"/>
                      <w:lang w:val="en-US" w:eastAsia="zh-CN"/>
                    </w:rPr>
                    <w:t>，主接线不变仍为双母线接线，远期双母线接线</w:t>
                  </w:r>
                  <w:r>
                    <w:rPr>
                      <w:rFonts w:hint="default" w:ascii="Times New Roman" w:hAnsi="Times New Roman" w:eastAsia="宋体" w:cs="Times New Roman"/>
                      <w:color w:val="000000"/>
                      <w:kern w:val="21"/>
                      <w:sz w:val="21"/>
                      <w:szCs w:val="21"/>
                      <w:highlight w:val="none"/>
                      <w:lang w:val="en-US" w:eastAsia="zh-CN"/>
                    </w:rPr>
                    <w:t>。不新增永久占地。</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扩建</w:t>
                  </w:r>
                  <w:r>
                    <w:rPr>
                      <w:rFonts w:hint="eastAsia" w:cs="Times New Roman"/>
                      <w:color w:val="000000"/>
                      <w:kern w:val="21"/>
                      <w:sz w:val="21"/>
                      <w:szCs w:val="21"/>
                      <w:highlight w:val="none"/>
                      <w:lang w:val="en-US" w:eastAsia="zh-CN"/>
                    </w:rPr>
                    <w:t>（原有预留）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工程占地</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项目总占地面积为25</w:t>
                  </w:r>
                  <w:r>
                    <w:rPr>
                      <w:rFonts w:hint="eastAsia" w:cs="Times New Roman"/>
                      <w:color w:val="000000"/>
                      <w:kern w:val="21"/>
                      <w:sz w:val="21"/>
                      <w:szCs w:val="21"/>
                      <w:highlight w:val="none"/>
                      <w:lang w:val="en-US" w:eastAsia="zh-CN"/>
                    </w:rPr>
                    <w:t>5500.1</w:t>
                  </w:r>
                  <w:r>
                    <w:rPr>
                      <w:rFonts w:hint="default" w:ascii="Times New Roman" w:hAnsi="Times New Roman" w:eastAsia="宋体" w:cs="Times New Roman"/>
                      <w:color w:val="000000"/>
                      <w:kern w:val="21"/>
                      <w:sz w:val="21"/>
                      <w:szCs w:val="21"/>
                      <w:highlight w:val="none"/>
                      <w:lang w:val="en-US" w:eastAsia="zh-CN"/>
                    </w:rPr>
                    <w:t>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，其中塔基区（含塔基施工区）</w:t>
                  </w:r>
                  <w:r>
                    <w:rPr>
                      <w:rFonts w:hint="eastAsia" w:cs="Times New Roman"/>
                      <w:color w:val="000000"/>
                      <w:kern w:val="21"/>
                      <w:sz w:val="21"/>
                      <w:szCs w:val="21"/>
                      <w:highlight w:val="none"/>
                      <w:lang w:val="en-US" w:eastAsia="zh-CN"/>
                    </w:rPr>
                    <w:t>116160</w:t>
                  </w:r>
                  <w:r>
                    <w:rPr>
                      <w:rFonts w:hint="default" w:ascii="Times New Roman" w:hAnsi="Times New Roman" w:eastAsia="宋体" w:cs="Times New Roman"/>
                      <w:color w:val="000000"/>
                      <w:kern w:val="21"/>
                      <w:sz w:val="21"/>
                      <w:szCs w:val="21"/>
                      <w:highlight w:val="none"/>
                      <w:lang w:val="en-US" w:eastAsia="zh-CN"/>
                    </w:rPr>
                    <w:t>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w:t>
                  </w:r>
                  <w:r>
                    <w:rPr>
                      <w:rFonts w:hint="eastAsia" w:cs="Times New Roman"/>
                      <w:color w:val="000000"/>
                      <w:kern w:val="21"/>
                      <w:sz w:val="21"/>
                      <w:szCs w:val="21"/>
                      <w:highlight w:val="none"/>
                      <w:lang w:val="en-US" w:eastAsia="zh-CN"/>
                    </w:rPr>
                    <w:t>张牵</w:t>
                  </w:r>
                  <w:r>
                    <w:rPr>
                      <w:rFonts w:hint="default" w:ascii="Times New Roman" w:hAnsi="Times New Roman" w:eastAsia="宋体" w:cs="Times New Roman"/>
                      <w:color w:val="000000"/>
                      <w:kern w:val="21"/>
                      <w:sz w:val="21"/>
                      <w:szCs w:val="21"/>
                      <w:highlight w:val="none"/>
                      <w:lang w:val="en-US" w:eastAsia="zh-CN"/>
                    </w:rPr>
                    <w:t>场地区10920m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，施工便道区</w:t>
                  </w:r>
                  <w:r>
                    <w:rPr>
                      <w:rFonts w:hint="eastAsia" w:cs="Times New Roman"/>
                      <w:color w:val="000000"/>
                      <w:kern w:val="21"/>
                      <w:sz w:val="21"/>
                      <w:szCs w:val="21"/>
                      <w:highlight w:val="none"/>
                      <w:lang w:val="en-US" w:eastAsia="zh-CN"/>
                    </w:rPr>
                    <w:t>128420.1</w:t>
                  </w:r>
                  <w:r>
                    <w:rPr>
                      <w:rFonts w:hint="default" w:ascii="Times New Roman" w:hAnsi="Times New Roman" w:eastAsia="宋体" w:cs="Times New Roman"/>
                      <w:color w:val="000000"/>
                      <w:kern w:val="21"/>
                      <w:sz w:val="21"/>
                      <w:szCs w:val="21"/>
                      <w:highlight w:val="none"/>
                      <w:lang w:val="en-US" w:eastAsia="zh-CN"/>
                    </w:rPr>
                    <w:t>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，永久占地</w:t>
                  </w:r>
                  <w:r>
                    <w:rPr>
                      <w:rFonts w:hint="eastAsia" w:cs="Times New Roman"/>
                      <w:color w:val="000000"/>
                      <w:kern w:val="21"/>
                      <w:sz w:val="21"/>
                      <w:szCs w:val="21"/>
                      <w:highlight w:val="none"/>
                      <w:lang w:val="en-US" w:eastAsia="zh-CN"/>
                    </w:rPr>
                    <w:t>（租地）5864.63</w:t>
                  </w:r>
                  <w:r>
                    <w:rPr>
                      <w:rFonts w:hint="default" w:ascii="Times New Roman" w:hAnsi="Times New Roman" w:eastAsia="宋体" w:cs="Times New Roman"/>
                      <w:color w:val="000000"/>
                      <w:kern w:val="21"/>
                      <w:sz w:val="21"/>
                      <w:szCs w:val="21"/>
                      <w:highlight w:val="none"/>
                      <w:lang w:val="en-US" w:eastAsia="zh-CN"/>
                    </w:rPr>
                    <w:t>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，临时占地24</w:t>
                  </w:r>
                  <w:r>
                    <w:rPr>
                      <w:rFonts w:hint="eastAsia" w:cs="Times New Roman"/>
                      <w:color w:val="000000"/>
                      <w:kern w:val="21"/>
                      <w:sz w:val="21"/>
                      <w:szCs w:val="21"/>
                      <w:highlight w:val="none"/>
                      <w:lang w:val="en-US" w:eastAsia="zh-CN"/>
                    </w:rPr>
                    <w:t>9635.47</w:t>
                  </w:r>
                  <w:r>
                    <w:rPr>
                      <w:rFonts w:hint="default" w:ascii="Times New Roman" w:hAnsi="Times New Roman" w:eastAsia="宋体" w:cs="Times New Roman"/>
                      <w:color w:val="000000"/>
                      <w:kern w:val="21"/>
                      <w:sz w:val="21"/>
                      <w:szCs w:val="21"/>
                      <w:highlight w:val="none"/>
                      <w:lang w:val="en-US" w:eastAsia="zh-CN"/>
                    </w:rPr>
                    <w:t>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，占地类型为耕地。</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yellow"/>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26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临时工程</w:t>
                  </w: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给水系统</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施工用水：采用水车就近输送水源的方式，可以满足用水需求。</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供电系统</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施工用电：采用自备小型柴油发电机提供施工电源，可以满足用电需求</w:t>
                  </w:r>
                  <w:r>
                    <w:rPr>
                      <w:rFonts w:hint="eastAsia" w:cs="Times New Roman"/>
                      <w:color w:val="000000"/>
                      <w:kern w:val="21"/>
                      <w:sz w:val="21"/>
                      <w:szCs w:val="21"/>
                      <w:highlight w:val="none"/>
                      <w:lang w:val="en-US" w:eastAsia="zh-CN"/>
                    </w:rPr>
                    <w:t>（柴油现用现买，不储存）</w:t>
                  </w:r>
                  <w:r>
                    <w:rPr>
                      <w:rFonts w:hint="default" w:ascii="Times New Roman" w:hAnsi="Times New Roman" w:eastAsia="宋体" w:cs="Times New Roman"/>
                      <w:color w:val="000000"/>
                      <w:kern w:val="21"/>
                      <w:sz w:val="21"/>
                      <w:szCs w:val="21"/>
                      <w:highlight w:val="none"/>
                      <w:lang w:val="en-US" w:eastAsia="zh-CN"/>
                    </w:rPr>
                    <w:t>。</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8"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塔基施工场地</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塔基施工场地以单个塔基为单位进行布置。在塔基施工过程中每处塔基外围都有一处塔基施工场地</w:t>
                  </w:r>
                  <w:r>
                    <w:rPr>
                      <w:rFonts w:hint="eastAsia" w:cs="Times New Roman"/>
                      <w:color w:val="000000"/>
                      <w:kern w:val="21"/>
                      <w:sz w:val="21"/>
                      <w:szCs w:val="21"/>
                      <w:highlight w:val="none"/>
                      <w:lang w:val="en-US" w:eastAsia="zh-CN"/>
                    </w:rPr>
                    <w:t>（含组塔区）</w:t>
                  </w:r>
                  <w:r>
                    <w:rPr>
                      <w:rFonts w:hint="default" w:ascii="Times New Roman" w:hAnsi="Times New Roman" w:eastAsia="宋体" w:cs="Times New Roman"/>
                      <w:color w:val="000000"/>
                      <w:kern w:val="21"/>
                      <w:sz w:val="21"/>
                      <w:szCs w:val="21"/>
                      <w:highlight w:val="none"/>
                      <w:lang w:val="en-US" w:eastAsia="zh-CN"/>
                    </w:rPr>
                    <w:t>，用于临时堆置</w:t>
                  </w:r>
                  <w:r>
                    <w:rPr>
                      <w:rFonts w:hint="eastAsia" w:cs="Times New Roman"/>
                      <w:color w:val="000000"/>
                      <w:kern w:val="21"/>
                      <w:sz w:val="21"/>
                      <w:szCs w:val="21"/>
                      <w:highlight w:val="none"/>
                      <w:lang w:val="en-US" w:eastAsia="zh-CN"/>
                    </w:rPr>
                    <w:t>土方以及本项目所需的</w:t>
                  </w:r>
                  <w:r>
                    <w:rPr>
                      <w:rFonts w:hint="default" w:ascii="Times New Roman" w:hAnsi="Times New Roman" w:eastAsia="宋体" w:cs="Times New Roman"/>
                      <w:color w:val="000000"/>
                      <w:kern w:val="21"/>
                      <w:sz w:val="21"/>
                      <w:szCs w:val="21"/>
                      <w:highlight w:val="none"/>
                      <w:lang w:val="en-US" w:eastAsia="zh-CN"/>
                    </w:rPr>
                    <w:t>材料</w:t>
                  </w:r>
                  <w:r>
                    <w:rPr>
                      <w:rFonts w:hint="eastAsia" w:cs="Times New Roman"/>
                      <w:color w:val="000000"/>
                      <w:kern w:val="21"/>
                      <w:sz w:val="21"/>
                      <w:szCs w:val="21"/>
                      <w:highlight w:val="none"/>
                      <w:lang w:val="en-US" w:eastAsia="zh-CN"/>
                    </w:rPr>
                    <w:t>、设备</w:t>
                  </w:r>
                  <w:r>
                    <w:rPr>
                      <w:rFonts w:hint="default" w:ascii="Times New Roman" w:hAnsi="Times New Roman" w:eastAsia="宋体" w:cs="Times New Roman"/>
                      <w:color w:val="000000"/>
                      <w:kern w:val="21"/>
                      <w:sz w:val="21"/>
                      <w:szCs w:val="21"/>
                      <w:highlight w:val="none"/>
                      <w:lang w:val="en-US" w:eastAsia="zh-CN"/>
                    </w:rPr>
                    <w:t>和工具等。</w:t>
                  </w:r>
                  <w:r>
                    <w:rPr>
                      <w:rFonts w:hint="eastAsia" w:cs="Times New Roman"/>
                      <w:color w:val="000000"/>
                      <w:kern w:val="21"/>
                      <w:sz w:val="21"/>
                      <w:szCs w:val="21"/>
                      <w:highlight w:val="none"/>
                      <w:lang w:val="en-US" w:eastAsia="zh-CN"/>
                    </w:rPr>
                    <w:t>施工期混凝土外购，不设置混凝土拌合场，</w:t>
                  </w:r>
                  <w:r>
                    <w:rPr>
                      <w:rFonts w:hint="default" w:ascii="Times New Roman" w:hAnsi="Times New Roman" w:eastAsia="宋体" w:cs="Times New Roman"/>
                      <w:color w:val="000000"/>
                      <w:kern w:val="21"/>
                      <w:sz w:val="21"/>
                      <w:szCs w:val="21"/>
                      <w:highlight w:val="none"/>
                      <w:lang w:val="en-US" w:eastAsia="zh-CN"/>
                    </w:rPr>
                    <w:t>塔基施工场地共</w:t>
                  </w:r>
                  <w:r>
                    <w:rPr>
                      <w:rFonts w:hint="eastAsia" w:cs="Times New Roman"/>
                      <w:color w:val="000000"/>
                      <w:kern w:val="21"/>
                      <w:sz w:val="21"/>
                      <w:szCs w:val="21"/>
                      <w:highlight w:val="none"/>
                      <w:lang w:val="en-US" w:eastAsia="zh-CN"/>
                    </w:rPr>
                    <w:t>79</w:t>
                  </w:r>
                  <w:r>
                    <w:rPr>
                      <w:rFonts w:hint="default" w:ascii="Times New Roman" w:hAnsi="Times New Roman" w:eastAsia="宋体" w:cs="Times New Roman"/>
                      <w:color w:val="000000"/>
                      <w:kern w:val="21"/>
                      <w:sz w:val="21"/>
                      <w:szCs w:val="21"/>
                      <w:highlight w:val="none"/>
                      <w:lang w:val="en-US" w:eastAsia="zh-CN"/>
                    </w:rPr>
                    <w:t>处，总占地面积110295.37m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，为临时占地。</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张牵</w:t>
                  </w:r>
                  <w:r>
                    <w:rPr>
                      <w:rFonts w:hint="default" w:ascii="Times New Roman" w:hAnsi="Times New Roman" w:eastAsia="宋体" w:cs="Times New Roman"/>
                      <w:color w:val="000000"/>
                      <w:kern w:val="21"/>
                      <w:sz w:val="21"/>
                      <w:szCs w:val="21"/>
                      <w:highlight w:val="none"/>
                      <w:lang w:val="en-US" w:eastAsia="zh-CN"/>
                    </w:rPr>
                    <w:t>场地区</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为便于架线安装施工，送出线路沿线设置</w:t>
                  </w:r>
                  <w:r>
                    <w:rPr>
                      <w:rFonts w:hint="eastAsia" w:cs="Times New Roman"/>
                      <w:color w:val="000000"/>
                      <w:kern w:val="21"/>
                      <w:sz w:val="21"/>
                      <w:szCs w:val="21"/>
                      <w:highlight w:val="none"/>
                      <w:lang w:val="en-US" w:eastAsia="zh-CN"/>
                    </w:rPr>
                    <w:t>张牵</w:t>
                  </w:r>
                  <w:r>
                    <w:rPr>
                      <w:rFonts w:hint="default" w:ascii="Times New Roman" w:hAnsi="Times New Roman" w:eastAsia="宋体" w:cs="Times New Roman"/>
                      <w:color w:val="000000"/>
                      <w:kern w:val="21"/>
                      <w:sz w:val="21"/>
                      <w:szCs w:val="21"/>
                      <w:highlight w:val="none"/>
                      <w:lang w:val="en-US" w:eastAsia="zh-CN"/>
                    </w:rPr>
                    <w:t>场，本</w:t>
                  </w:r>
                  <w:r>
                    <w:rPr>
                      <w:rFonts w:hint="eastAsia" w:cs="Times New Roman"/>
                      <w:color w:val="000000"/>
                      <w:kern w:val="21"/>
                      <w:sz w:val="21"/>
                      <w:szCs w:val="21"/>
                      <w:highlight w:val="none"/>
                      <w:lang w:val="en-US" w:eastAsia="zh-CN"/>
                    </w:rPr>
                    <w:t>项目</w:t>
                  </w:r>
                  <w:r>
                    <w:rPr>
                      <w:rFonts w:hint="default" w:ascii="Times New Roman" w:hAnsi="Times New Roman" w:eastAsia="宋体" w:cs="Times New Roman"/>
                      <w:color w:val="000000"/>
                      <w:kern w:val="21"/>
                      <w:sz w:val="21"/>
                      <w:szCs w:val="21"/>
                      <w:highlight w:val="none"/>
                      <w:lang w:val="en-US" w:eastAsia="zh-CN"/>
                    </w:rPr>
                    <w:t>共设</w:t>
                  </w:r>
                  <w:r>
                    <w:rPr>
                      <w:rFonts w:hint="eastAsia" w:cs="Times New Roman"/>
                      <w:color w:val="000000"/>
                      <w:kern w:val="21"/>
                      <w:sz w:val="21"/>
                      <w:szCs w:val="21"/>
                      <w:highlight w:val="none"/>
                      <w:lang w:val="en-US" w:eastAsia="zh-CN"/>
                    </w:rPr>
                    <w:t>20</w:t>
                  </w:r>
                  <w:r>
                    <w:rPr>
                      <w:rFonts w:hint="default" w:ascii="Times New Roman" w:hAnsi="Times New Roman" w:eastAsia="宋体" w:cs="Times New Roman"/>
                      <w:color w:val="000000"/>
                      <w:kern w:val="21"/>
                      <w:sz w:val="21"/>
                      <w:szCs w:val="21"/>
                      <w:highlight w:val="none"/>
                      <w:lang w:val="en-US" w:eastAsia="zh-CN"/>
                    </w:rPr>
                    <w:t>处</w:t>
                  </w:r>
                  <w:r>
                    <w:rPr>
                      <w:rFonts w:hint="eastAsia" w:cs="Times New Roman"/>
                      <w:color w:val="000000"/>
                      <w:kern w:val="21"/>
                      <w:sz w:val="21"/>
                      <w:szCs w:val="21"/>
                      <w:highlight w:val="none"/>
                      <w:lang w:val="en-US" w:eastAsia="zh-CN"/>
                    </w:rPr>
                    <w:t>张牵</w:t>
                  </w:r>
                  <w:r>
                    <w:rPr>
                      <w:rFonts w:hint="default" w:ascii="Times New Roman" w:hAnsi="Times New Roman" w:eastAsia="宋体" w:cs="Times New Roman"/>
                      <w:color w:val="000000"/>
                      <w:kern w:val="21"/>
                      <w:sz w:val="21"/>
                      <w:szCs w:val="21"/>
                      <w:highlight w:val="none"/>
                      <w:lang w:val="en-US" w:eastAsia="zh-CN"/>
                    </w:rPr>
                    <w:t>场地，单个</w:t>
                  </w:r>
                  <w:r>
                    <w:rPr>
                      <w:rFonts w:hint="eastAsia" w:cs="Times New Roman"/>
                      <w:color w:val="000000"/>
                      <w:kern w:val="21"/>
                      <w:sz w:val="21"/>
                      <w:szCs w:val="21"/>
                      <w:highlight w:val="none"/>
                      <w:lang w:val="en-US" w:eastAsia="zh-CN"/>
                    </w:rPr>
                    <w:t>张牵</w:t>
                  </w:r>
                  <w:r>
                    <w:rPr>
                      <w:rFonts w:hint="default" w:ascii="Times New Roman" w:hAnsi="Times New Roman" w:eastAsia="宋体" w:cs="Times New Roman"/>
                      <w:color w:val="000000"/>
                      <w:kern w:val="21"/>
                      <w:sz w:val="21"/>
                      <w:szCs w:val="21"/>
                      <w:highlight w:val="none"/>
                      <w:lang w:val="en-US" w:eastAsia="zh-CN"/>
                    </w:rPr>
                    <w:t>场地面积为</w:t>
                  </w:r>
                  <w:r>
                    <w:rPr>
                      <w:rFonts w:hint="eastAsia" w:cs="Times New Roman"/>
                      <w:color w:val="000000"/>
                      <w:kern w:val="21"/>
                      <w:sz w:val="21"/>
                      <w:szCs w:val="21"/>
                      <w:highlight w:val="none"/>
                      <w:lang w:val="en-US" w:eastAsia="zh-CN"/>
                    </w:rPr>
                    <w:t>546</w:t>
                  </w:r>
                  <w:r>
                    <w:rPr>
                      <w:rFonts w:hint="default" w:ascii="Times New Roman" w:hAnsi="Times New Roman" w:eastAsia="宋体" w:cs="Times New Roman"/>
                      <w:color w:val="000000"/>
                      <w:kern w:val="21"/>
                      <w:sz w:val="21"/>
                      <w:szCs w:val="21"/>
                      <w:highlight w:val="none"/>
                      <w:lang w:val="en-US" w:eastAsia="zh-CN"/>
                    </w:rPr>
                    <w:t>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，占地面积为</w:t>
                  </w:r>
                  <w:r>
                    <w:rPr>
                      <w:rFonts w:hint="eastAsia" w:cs="Times New Roman"/>
                      <w:color w:val="000000"/>
                      <w:kern w:val="21"/>
                      <w:sz w:val="21"/>
                      <w:szCs w:val="21"/>
                      <w:highlight w:val="none"/>
                      <w:lang w:val="en-US" w:eastAsia="zh-CN"/>
                    </w:rPr>
                    <w:t>10920</w:t>
                  </w:r>
                  <w:r>
                    <w:rPr>
                      <w:rFonts w:hint="default" w:ascii="Times New Roman" w:hAnsi="Times New Roman" w:eastAsia="宋体" w:cs="Times New Roman"/>
                      <w:color w:val="000000"/>
                      <w:kern w:val="21"/>
                      <w:sz w:val="21"/>
                      <w:szCs w:val="21"/>
                      <w:highlight w:val="none"/>
                      <w:lang w:val="en-US" w:eastAsia="zh-CN"/>
                    </w:rPr>
                    <w:t>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，施工结束后对</w:t>
                  </w:r>
                  <w:r>
                    <w:rPr>
                      <w:rFonts w:hint="eastAsia" w:cs="Times New Roman"/>
                      <w:color w:val="000000"/>
                      <w:kern w:val="21"/>
                      <w:sz w:val="21"/>
                      <w:szCs w:val="21"/>
                      <w:highlight w:val="none"/>
                      <w:lang w:val="en-US" w:eastAsia="zh-CN"/>
                    </w:rPr>
                    <w:t>张牵</w:t>
                  </w:r>
                  <w:r>
                    <w:rPr>
                      <w:rFonts w:hint="default" w:ascii="Times New Roman" w:hAnsi="Times New Roman" w:eastAsia="宋体" w:cs="Times New Roman"/>
                      <w:color w:val="000000"/>
                      <w:kern w:val="21"/>
                      <w:sz w:val="21"/>
                      <w:szCs w:val="21"/>
                      <w:highlight w:val="none"/>
                      <w:lang w:val="en-US" w:eastAsia="zh-CN"/>
                    </w:rPr>
                    <w:t>场地扰动区域恢复原地貌。</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8"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临时道路</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工程施工过程中施工</w:t>
                  </w:r>
                  <w:r>
                    <w:rPr>
                      <w:rFonts w:hint="eastAsia" w:cs="Times New Roman"/>
                      <w:color w:val="000000"/>
                      <w:kern w:val="21"/>
                      <w:sz w:val="21"/>
                      <w:szCs w:val="21"/>
                      <w:highlight w:val="none"/>
                      <w:lang w:val="en-US" w:eastAsia="zh-CN"/>
                    </w:rPr>
                    <w:t>道路</w:t>
                  </w:r>
                  <w:r>
                    <w:rPr>
                      <w:rFonts w:hint="default" w:ascii="Times New Roman" w:hAnsi="Times New Roman" w:eastAsia="宋体" w:cs="Times New Roman"/>
                      <w:color w:val="000000"/>
                      <w:kern w:val="21"/>
                      <w:sz w:val="21"/>
                      <w:szCs w:val="21"/>
                      <w:highlight w:val="none"/>
                      <w:lang w:val="en-US" w:eastAsia="zh-CN"/>
                    </w:rPr>
                    <w:t>尽量利用既有道路，部分</w:t>
                  </w:r>
                  <w:r>
                    <w:rPr>
                      <w:rFonts w:hint="eastAsia" w:cs="Times New Roman"/>
                      <w:color w:val="000000"/>
                      <w:kern w:val="21"/>
                      <w:sz w:val="21"/>
                      <w:szCs w:val="21"/>
                      <w:highlight w:val="none"/>
                      <w:lang w:val="en-US" w:eastAsia="zh-CN"/>
                    </w:rPr>
                    <w:t>距离道路较远的桩号，需修筑临时道路</w:t>
                  </w:r>
                  <w:r>
                    <w:rPr>
                      <w:rFonts w:hint="default" w:ascii="Times New Roman" w:hAnsi="Times New Roman" w:eastAsia="宋体" w:cs="Times New Roman"/>
                      <w:color w:val="000000"/>
                      <w:kern w:val="21"/>
                      <w:sz w:val="21"/>
                      <w:szCs w:val="21"/>
                      <w:highlight w:val="none"/>
                      <w:lang w:val="en-US" w:eastAsia="zh-CN"/>
                    </w:rPr>
                    <w:t>，以满足施工需要。</w:t>
                  </w:r>
                  <w:r>
                    <w:rPr>
                      <w:rFonts w:hint="eastAsia" w:cs="Times New Roman"/>
                      <w:color w:val="000000"/>
                      <w:kern w:val="21"/>
                      <w:sz w:val="21"/>
                      <w:szCs w:val="21"/>
                      <w:highlight w:val="none"/>
                      <w:lang w:val="en-US" w:eastAsia="zh-CN"/>
                    </w:rPr>
                    <w:t>本项目新建临时道路长21.40335km；宽6m。</w:t>
                  </w:r>
                  <w:r>
                    <w:rPr>
                      <w:rFonts w:hint="default" w:ascii="Times New Roman" w:hAnsi="Times New Roman" w:eastAsia="宋体" w:cs="Times New Roman"/>
                      <w:color w:val="000000"/>
                      <w:kern w:val="21"/>
                      <w:sz w:val="21"/>
                      <w:szCs w:val="21"/>
                      <w:highlight w:val="none"/>
                      <w:lang w:val="en-US" w:eastAsia="zh-CN"/>
                    </w:rPr>
                    <w:t>新建施工便道总占地面积</w:t>
                  </w:r>
                  <w:r>
                    <w:rPr>
                      <w:rFonts w:hint="eastAsia" w:cs="Times New Roman"/>
                      <w:color w:val="000000"/>
                      <w:kern w:val="21"/>
                      <w:sz w:val="21"/>
                      <w:szCs w:val="21"/>
                      <w:highlight w:val="none"/>
                      <w:lang w:val="en-US" w:eastAsia="zh-CN"/>
                    </w:rPr>
                    <w:t>128420.1</w:t>
                  </w:r>
                  <w:r>
                    <w:rPr>
                      <w:rFonts w:hint="default" w:ascii="Times New Roman" w:hAnsi="Times New Roman" w:eastAsia="宋体" w:cs="Times New Roman"/>
                      <w:color w:val="000000"/>
                      <w:kern w:val="21"/>
                      <w:sz w:val="21"/>
                      <w:szCs w:val="21"/>
                      <w:highlight w:val="none"/>
                      <w:lang w:val="en-US" w:eastAsia="zh-CN"/>
                    </w:rPr>
                    <w:t>m</w:t>
                  </w:r>
                  <w:r>
                    <w:rPr>
                      <w:rFonts w:hint="default" w:ascii="Times New Roman" w:hAnsi="Times New Roman" w:eastAsia="宋体" w:cs="Times New Roman"/>
                      <w:color w:val="000000"/>
                      <w:kern w:val="21"/>
                      <w:sz w:val="21"/>
                      <w:szCs w:val="21"/>
                      <w:highlight w:val="none"/>
                      <w:vertAlign w:val="superscript"/>
                      <w:lang w:val="en-US" w:eastAsia="zh-CN"/>
                    </w:rPr>
                    <w:t>2</w:t>
                  </w:r>
                  <w:r>
                    <w:rPr>
                      <w:rFonts w:hint="default" w:ascii="Times New Roman" w:hAnsi="Times New Roman" w:eastAsia="宋体" w:cs="Times New Roman"/>
                      <w:color w:val="000000"/>
                      <w:kern w:val="21"/>
                      <w:sz w:val="21"/>
                      <w:szCs w:val="21"/>
                      <w:highlight w:val="none"/>
                      <w:lang w:val="en-US" w:eastAsia="zh-CN"/>
                    </w:rPr>
                    <w:t>，施工结束后对施工便道扰动区域恢复原地貌。</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6"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土石方工程</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本</w:t>
                  </w:r>
                  <w:r>
                    <w:rPr>
                      <w:rFonts w:hint="eastAsia" w:cs="Times New Roman"/>
                      <w:color w:val="000000"/>
                      <w:kern w:val="21"/>
                      <w:sz w:val="21"/>
                      <w:szCs w:val="21"/>
                      <w:highlight w:val="none"/>
                      <w:lang w:val="en-US" w:eastAsia="zh-CN"/>
                    </w:rPr>
                    <w:t>项目建设期间动用土石方总量为81206m</w:t>
                  </w:r>
                  <w:r>
                    <w:rPr>
                      <w:rFonts w:hint="eastAsia" w:cs="Times New Roman"/>
                      <w:color w:val="000000"/>
                      <w:kern w:val="21"/>
                      <w:sz w:val="21"/>
                      <w:szCs w:val="21"/>
                      <w:highlight w:val="none"/>
                      <w:vertAlign w:val="superscript"/>
                      <w:lang w:val="en-US" w:eastAsia="zh-CN"/>
                    </w:rPr>
                    <w:t>3</w:t>
                  </w:r>
                  <w:r>
                    <w:rPr>
                      <w:rFonts w:hint="eastAsia" w:cs="Times New Roman"/>
                      <w:color w:val="000000"/>
                      <w:kern w:val="21"/>
                      <w:sz w:val="21"/>
                      <w:szCs w:val="21"/>
                      <w:highlight w:val="none"/>
                      <w:lang w:val="en-US" w:eastAsia="zh-CN"/>
                    </w:rPr>
                    <w:t>，挖方总量为81206m</w:t>
                  </w:r>
                  <w:r>
                    <w:rPr>
                      <w:rFonts w:hint="eastAsia" w:cs="Times New Roman"/>
                      <w:color w:val="000000"/>
                      <w:kern w:val="21"/>
                      <w:sz w:val="21"/>
                      <w:szCs w:val="21"/>
                      <w:highlight w:val="none"/>
                      <w:vertAlign w:val="superscript"/>
                      <w:lang w:val="en-US" w:eastAsia="zh-CN"/>
                    </w:rPr>
                    <w:t>3</w:t>
                  </w:r>
                  <w:r>
                    <w:rPr>
                      <w:rFonts w:hint="eastAsia" w:cs="Times New Roman"/>
                      <w:color w:val="000000"/>
                      <w:kern w:val="21"/>
                      <w:sz w:val="21"/>
                      <w:szCs w:val="21"/>
                      <w:highlight w:val="none"/>
                      <w:lang w:val="en-US" w:eastAsia="zh-CN"/>
                    </w:rPr>
                    <w:t>（表土剥离80890m</w:t>
                  </w:r>
                  <w:r>
                    <w:rPr>
                      <w:rFonts w:hint="eastAsia" w:cs="Times New Roman"/>
                      <w:color w:val="000000"/>
                      <w:kern w:val="21"/>
                      <w:sz w:val="21"/>
                      <w:szCs w:val="21"/>
                      <w:highlight w:val="none"/>
                      <w:vertAlign w:val="superscript"/>
                      <w:lang w:val="en-US" w:eastAsia="zh-CN"/>
                    </w:rPr>
                    <w:t>3</w:t>
                  </w:r>
                  <w:r>
                    <w:rPr>
                      <w:rFonts w:hint="eastAsia" w:cs="Times New Roman"/>
                      <w:color w:val="000000"/>
                      <w:kern w:val="21"/>
                      <w:sz w:val="21"/>
                      <w:szCs w:val="21"/>
                      <w:highlight w:val="none"/>
                      <w:lang w:val="en-US" w:eastAsia="zh-CN"/>
                    </w:rPr>
                    <w:t>，基础开挖316m</w:t>
                  </w:r>
                  <w:r>
                    <w:rPr>
                      <w:rFonts w:hint="eastAsia" w:cs="Times New Roman"/>
                      <w:color w:val="000000"/>
                      <w:kern w:val="21"/>
                      <w:sz w:val="21"/>
                      <w:szCs w:val="21"/>
                      <w:highlight w:val="none"/>
                      <w:vertAlign w:val="superscript"/>
                      <w:lang w:val="en-US" w:eastAsia="zh-CN"/>
                    </w:rPr>
                    <w:t>3</w:t>
                  </w:r>
                  <w:r>
                    <w:rPr>
                      <w:rFonts w:hint="eastAsia" w:cs="Times New Roman"/>
                      <w:color w:val="000000"/>
                      <w:kern w:val="21"/>
                      <w:sz w:val="21"/>
                      <w:szCs w:val="21"/>
                      <w:highlight w:val="none"/>
                      <w:lang w:val="en-US" w:eastAsia="zh-CN"/>
                    </w:rPr>
                    <w:t>），填方总量81206m</w:t>
                  </w:r>
                  <w:r>
                    <w:rPr>
                      <w:rFonts w:hint="eastAsia" w:cs="Times New Roman"/>
                      <w:color w:val="000000"/>
                      <w:kern w:val="21"/>
                      <w:sz w:val="21"/>
                      <w:szCs w:val="21"/>
                      <w:highlight w:val="none"/>
                      <w:vertAlign w:val="superscript"/>
                      <w:lang w:val="en-US" w:eastAsia="zh-CN"/>
                    </w:rPr>
                    <w:t>3</w:t>
                  </w:r>
                  <w:r>
                    <w:rPr>
                      <w:rFonts w:hint="eastAsia" w:cs="Times New Roman"/>
                      <w:color w:val="000000"/>
                      <w:kern w:val="21"/>
                      <w:sz w:val="21"/>
                      <w:szCs w:val="21"/>
                      <w:highlight w:val="none"/>
                      <w:lang w:val="en-US" w:eastAsia="zh-CN"/>
                    </w:rPr>
                    <w:t>，无外购土，无弃方，开挖土方和剥离表土全部回覆利用，不设置永久弃渣场</w:t>
                  </w:r>
                  <w:r>
                    <w:rPr>
                      <w:rFonts w:hint="default" w:ascii="Times New Roman" w:hAnsi="Times New Roman" w:eastAsia="宋体" w:cs="Times New Roman"/>
                      <w:color w:val="000000"/>
                      <w:kern w:val="21"/>
                      <w:sz w:val="21"/>
                      <w:szCs w:val="21"/>
                      <w:highlight w:val="none"/>
                      <w:lang w:val="en-US" w:eastAsia="zh-CN"/>
                    </w:rPr>
                    <w:t>。</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6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环保</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工程</w:t>
                  </w: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噪声防治措施</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输电线路：选用合适导线类型，确保对地高度。</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污水处理设施</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施工期：</w:t>
                  </w:r>
                  <w:r>
                    <w:rPr>
                      <w:rFonts w:hint="eastAsia" w:cs="Times New Roman"/>
                      <w:color w:val="000000"/>
                      <w:kern w:val="21"/>
                      <w:sz w:val="21"/>
                      <w:szCs w:val="21"/>
                      <w:highlight w:val="none"/>
                      <w:lang w:val="en-US" w:eastAsia="zh-CN"/>
                    </w:rPr>
                    <w:t>生产</w:t>
                  </w:r>
                  <w:r>
                    <w:rPr>
                      <w:rFonts w:hint="eastAsia" w:ascii="宋体" w:hAnsi="宋体" w:eastAsia="宋体" w:cs="宋体"/>
                      <w:color w:val="auto"/>
                      <w:spacing w:val="0"/>
                      <w:position w:val="0"/>
                      <w:highlight w:val="none"/>
                    </w:rPr>
                    <w:t>废水经临时沉淀池沉淀后用于场地冲洗及洒水抑尘。</w:t>
                  </w:r>
                  <w:r>
                    <w:rPr>
                      <w:rFonts w:hint="default" w:ascii="Times New Roman" w:hAnsi="Times New Roman" w:eastAsia="宋体" w:cs="Times New Roman"/>
                      <w:color w:val="000000"/>
                      <w:kern w:val="21"/>
                      <w:sz w:val="21"/>
                      <w:szCs w:val="21"/>
                      <w:highlight w:val="none"/>
                      <w:lang w:val="en-US" w:eastAsia="zh-CN"/>
                    </w:rPr>
                    <w:t>生活污水</w:t>
                  </w:r>
                  <w:r>
                    <w:rPr>
                      <w:rFonts w:hint="eastAsia" w:ascii="宋体" w:hAnsi="宋体" w:eastAsia="宋体" w:cs="宋体"/>
                      <w:color w:val="auto"/>
                      <w:spacing w:val="0"/>
                      <w:position w:val="0"/>
                      <w:highlight w:val="none"/>
                    </w:rPr>
                    <w:t>排入临时化粪池暂存，定期清掏，外运堆肥</w:t>
                  </w:r>
                  <w:r>
                    <w:rPr>
                      <w:rFonts w:hint="default" w:ascii="Times New Roman" w:hAnsi="Times New Roman" w:eastAsia="宋体" w:cs="Times New Roman"/>
                      <w:color w:val="000000"/>
                      <w:kern w:val="21"/>
                      <w:sz w:val="21"/>
                      <w:szCs w:val="21"/>
                      <w:highlight w:val="none"/>
                      <w:lang w:val="en-US" w:eastAsia="zh-CN"/>
                    </w:rPr>
                    <w:t>。</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运营期：输电线路无劳动定员，无排水系统。</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变电站仅扩建间隔，不新增工作人员，不涉及新增排水。</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固废防治措施</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施工期建筑垃圾，钢筋、木材、废纸板等可以回收利用，混凝土块、砖瓦、弃渣等送至市政管理部门指定地点；生活垃圾收集后交市政环卫部门统一处理。运行期间不产生固体废物。</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电磁辐射防治措施</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合理设计并保证设备及配件加工精良，控制绝缘子表面放电，减小因接触不良而产生的火花放电。</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7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生态环境保护措施</w:t>
                  </w:r>
                </w:p>
              </w:tc>
              <w:tc>
                <w:tcPr>
                  <w:tcW w:w="3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both"/>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尽量利用现有道路作为施工便道，严格控制施工范围；表土堆存维护，对临时占地及时恢复，覆以原表层土，植树、种草等，合理绿化。</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新建</w:t>
                  </w:r>
                </w:p>
              </w:tc>
            </w:tr>
          </w:tbl>
          <w:p>
            <w:pPr>
              <w:keepNext w:val="0"/>
              <w:keepLines w:val="0"/>
              <w:pageBreakBefore w:val="0"/>
              <w:kinsoku/>
              <w:wordWrap/>
              <w:overflowPunct/>
              <w:topLinePunct w:val="0"/>
              <w:autoSpaceDE/>
              <w:autoSpaceDN/>
              <w:bidi w:val="0"/>
              <w:adjustRightInd/>
              <w:snapToGrid/>
              <w:spacing w:line="240" w:lineRule="auto"/>
              <w:ind w:right="0" w:firstLine="422" w:firstLineChars="200"/>
              <w:contextualSpacing/>
              <w:jc w:val="center"/>
              <w:textAlignment w:val="auto"/>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表2-</w:t>
            </w:r>
            <w:r>
              <w:rPr>
                <w:rFonts w:hint="eastAsia" w:ascii="Times New Roman" w:hAnsi="Times New Roman" w:eastAsia="宋体" w:cs="Times New Roman"/>
                <w:b/>
                <w:color w:val="000000"/>
                <w:sz w:val="21"/>
                <w:szCs w:val="21"/>
                <w:highlight w:val="none"/>
                <w:lang w:val="en-US" w:eastAsia="zh-CN"/>
              </w:rPr>
              <w:t>1</w:t>
            </w:r>
            <w:r>
              <w:rPr>
                <w:rFonts w:hint="default" w:ascii="Times New Roman" w:hAnsi="Times New Roman" w:eastAsia="宋体" w:cs="Times New Roman"/>
                <w:b/>
                <w:color w:val="000000"/>
                <w:sz w:val="21"/>
                <w:szCs w:val="21"/>
                <w:highlight w:val="none"/>
              </w:rPr>
              <w:t xml:space="preserve"> 项目建设内容一览表</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eastAsia"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三、主要工程建设内容</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1、线路方案</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线路由龙煤风电场升压站采用架空线路向南出线，至升压站南侧左转向东前行至升压站东南侧，右转向东南前行至兴业村东侧，右转向东南前行，经合发村西侧、跨过安邦河至永发村西南侧，右转向南前行至高丰村东侧，左转向东南前行，跨过哈同高速公路后，连续右转、左转绕过永久村至永久村南侧，右转向南前行至G211国道北侧，左转向东前行至金沙岗站北侧，连续左转、右转，依次跨过66千伏线路、普通铁路至太保变北侧，右转向南前行，跨过G211国道至福前铁路北侧，右转向西南方向前进至太保变东侧本期新建电缆终端杆，后转为电缆方式沿太保变围墙绕行至太保变南侧本期新建电缆终端杆，采用架空方式向北至太保变220千伏进线间隔止。新建单回架空线路长度26.2千米，新建单回电缆线路长度0.3千米。曲折系数为1.22。路径方案交叉跨越情况见表2-2：</w:t>
            </w:r>
          </w:p>
          <w:p>
            <w:pPr>
              <w:keepNext w:val="0"/>
              <w:keepLines w:val="0"/>
              <w:pageBreakBefore w:val="0"/>
              <w:kinsoku/>
              <w:wordWrap/>
              <w:overflowPunct/>
              <w:topLinePunct w:val="0"/>
              <w:autoSpaceDE/>
              <w:autoSpaceDN/>
              <w:bidi w:val="0"/>
              <w:adjustRightInd/>
              <w:snapToGrid/>
              <w:spacing w:line="240" w:lineRule="auto"/>
              <w:ind w:right="0" w:firstLine="422" w:firstLineChars="200"/>
              <w:contextualSpacing/>
              <w:jc w:val="center"/>
              <w:textAlignment w:val="auto"/>
              <w:rPr>
                <w:rFonts w:hint="default" w:ascii="Times New Roman" w:hAnsi="Times New Roman" w:eastAsia="宋体" w:cs="Times New Roman"/>
                <w:b/>
                <w:color w:val="000000"/>
                <w:sz w:val="21"/>
                <w:szCs w:val="21"/>
                <w:highlight w:val="none"/>
                <w:lang w:val="en-US" w:eastAsia="zh-CN"/>
              </w:rPr>
            </w:pPr>
            <w:r>
              <w:rPr>
                <w:rFonts w:hint="default" w:ascii="Times New Roman" w:hAnsi="Times New Roman" w:eastAsia="宋体" w:cs="Times New Roman"/>
                <w:b/>
                <w:color w:val="000000"/>
                <w:sz w:val="21"/>
                <w:szCs w:val="21"/>
                <w:highlight w:val="none"/>
                <w:lang w:val="en-US" w:eastAsia="zh-CN"/>
              </w:rPr>
              <w:t>表2-</w:t>
            </w:r>
            <w:r>
              <w:rPr>
                <w:rFonts w:hint="eastAsia" w:ascii="Times New Roman" w:hAnsi="Times New Roman" w:eastAsia="宋体" w:cs="Times New Roman"/>
                <w:b/>
                <w:color w:val="000000"/>
                <w:sz w:val="21"/>
                <w:szCs w:val="21"/>
                <w:highlight w:val="none"/>
                <w:lang w:val="en-US" w:eastAsia="zh-CN"/>
              </w:rPr>
              <w:t>2  路径方案交叉跨越表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0"/>
              <w:gridCol w:w="1474"/>
              <w:gridCol w:w="50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88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项目</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龙煤双鸭山集贤200MW风力发电项目接网工程项目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88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线路长度（km）</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26.5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88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曲折系数</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88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交通条件</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较好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98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地形比例（%）</w:t>
                  </w: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平地</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26.26，99.09%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河网</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0.24，0.91%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山地</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高山</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98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主要交叉跨越（次）</w:t>
                  </w: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高速公路</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国道</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省道</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普通公路</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乡道</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普通铁路</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66kV电力线</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35kV电力线</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10kV及以下电力线</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通信线</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一般河流</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9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大棚（处）</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8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树木临时砍伐（施工道路）</w:t>
                  </w:r>
                </w:p>
              </w:tc>
              <w:tc>
                <w:tcPr>
                  <w:tcW w:w="31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cs="Times New Roman"/>
                      <w:color w:val="000000"/>
                      <w:kern w:val="21"/>
                      <w:sz w:val="21"/>
                      <w:szCs w:val="21"/>
                      <w:highlight w:val="none"/>
                      <w:lang w:val="en-US" w:eastAsia="zh-CN"/>
                    </w:rPr>
                    <w:t>/</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2、塔基工程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w:t>
            </w:r>
            <w:r>
              <w:rPr>
                <w:rFonts w:hint="eastAsia" w:cs="Times New Roman"/>
                <w:color w:val="000000"/>
                <w:sz w:val="24"/>
                <w:szCs w:val="24"/>
                <w:highlight w:val="none"/>
                <w:lang w:val="en-US" w:eastAsia="zh-CN"/>
              </w:rPr>
              <w:t>项目新建</w:t>
            </w:r>
            <w:r>
              <w:rPr>
                <w:rFonts w:hint="default" w:ascii="Times New Roman" w:hAnsi="Times New Roman" w:eastAsia="宋体" w:cs="Times New Roman"/>
                <w:color w:val="000000"/>
                <w:sz w:val="24"/>
                <w:szCs w:val="24"/>
                <w:highlight w:val="none"/>
                <w:lang w:val="en-US" w:eastAsia="zh-CN"/>
              </w:rPr>
              <w:t>杆塔79基，其中单回路直线塔56基，单回路耐张塔21基，单回路电缆终端杆2基</w:t>
            </w:r>
            <w:r>
              <w:rPr>
                <w:rFonts w:hint="eastAsia" w:cs="Times New Roman"/>
                <w:color w:val="000000"/>
                <w:sz w:val="24"/>
                <w:szCs w:val="24"/>
                <w:highlight w:val="none"/>
                <w:lang w:val="en-US" w:eastAsia="zh-CN"/>
              </w:rPr>
              <w:t>，基础区总占地面积5864.63m</w:t>
            </w:r>
            <w:r>
              <w:rPr>
                <w:rFonts w:hint="eastAsia" w:cs="Times New Roman"/>
                <w:color w:val="000000"/>
                <w:sz w:val="24"/>
                <w:szCs w:val="24"/>
                <w:highlight w:val="none"/>
                <w:vertAlign w:val="superscript"/>
                <w:lang w:val="en-US" w:eastAsia="zh-CN"/>
              </w:rPr>
              <w:t>2</w:t>
            </w:r>
            <w:r>
              <w:rPr>
                <w:rFonts w:hint="eastAsia" w:cs="Times New Roman"/>
                <w:color w:val="000000"/>
                <w:sz w:val="24"/>
                <w:szCs w:val="24"/>
                <w:highlight w:val="none"/>
                <w:lang w:val="en-US" w:eastAsia="zh-CN"/>
              </w:rPr>
              <w:t>，为永久占地（租地）。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塔基施工场地以单个塔基为单位进行布置。在塔基施工过程中每处塔基外围都有一处塔基施工场地</w:t>
            </w:r>
            <w:r>
              <w:rPr>
                <w:rFonts w:hint="eastAsia" w:cs="Times New Roman"/>
                <w:color w:val="000000"/>
                <w:sz w:val="24"/>
                <w:szCs w:val="24"/>
                <w:highlight w:val="none"/>
                <w:lang w:val="en-US" w:eastAsia="zh-CN"/>
              </w:rPr>
              <w:t>（含组塔区）</w:t>
            </w:r>
            <w:r>
              <w:rPr>
                <w:rFonts w:hint="eastAsia" w:ascii="Times New Roman" w:hAnsi="Times New Roman" w:eastAsia="宋体" w:cs="Times New Roman"/>
                <w:color w:val="000000"/>
                <w:sz w:val="24"/>
                <w:szCs w:val="24"/>
                <w:highlight w:val="none"/>
                <w:lang w:val="en-US" w:eastAsia="zh-CN"/>
              </w:rPr>
              <w:t>，用于临时堆置土方、砂石料、水、材料和工具等。塔基施工场地</w:t>
            </w:r>
            <w:r>
              <w:rPr>
                <w:rFonts w:hint="eastAsia" w:cs="Times New Roman"/>
                <w:color w:val="000000"/>
                <w:sz w:val="24"/>
                <w:szCs w:val="24"/>
                <w:highlight w:val="none"/>
                <w:lang w:val="en-US" w:eastAsia="zh-CN"/>
              </w:rPr>
              <w:t>及组塔区</w:t>
            </w:r>
            <w:r>
              <w:rPr>
                <w:rFonts w:hint="eastAsia" w:ascii="Times New Roman" w:hAnsi="Times New Roman" w:eastAsia="宋体" w:cs="Times New Roman"/>
                <w:color w:val="000000"/>
                <w:sz w:val="24"/>
                <w:szCs w:val="24"/>
                <w:highlight w:val="none"/>
                <w:lang w:val="en-US" w:eastAsia="zh-CN"/>
              </w:rPr>
              <w:t>共79处，总占地面积110295.37m</w:t>
            </w:r>
            <w:r>
              <w:rPr>
                <w:rFonts w:hint="eastAsia"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，为临时占地。塔基区（含塔基施工区）占地面积为</w:t>
            </w:r>
            <w:r>
              <w:rPr>
                <w:rFonts w:hint="eastAsia" w:cs="Times New Roman"/>
                <w:color w:val="000000"/>
                <w:sz w:val="24"/>
                <w:szCs w:val="24"/>
                <w:highlight w:val="none"/>
                <w:lang w:val="en-US" w:eastAsia="zh-CN"/>
              </w:rPr>
              <w:t>116160</w:t>
            </w:r>
            <w:r>
              <w:rPr>
                <w:rFonts w:hint="eastAsia" w:ascii="Times New Roman" w:hAnsi="Times New Roman" w:eastAsia="宋体" w:cs="Times New Roman"/>
                <w:color w:val="000000"/>
                <w:sz w:val="24"/>
                <w:szCs w:val="24"/>
                <w:highlight w:val="none"/>
                <w:lang w:val="en-US" w:eastAsia="zh-CN"/>
              </w:rPr>
              <w:t>m</w:t>
            </w:r>
            <w:r>
              <w:rPr>
                <w:rFonts w:hint="eastAsia" w:ascii="Times New Roman" w:hAnsi="Times New Roman" w:eastAsia="宋体" w:cs="Times New Roman"/>
                <w:color w:val="000000"/>
                <w:sz w:val="24"/>
                <w:szCs w:val="24"/>
                <w:highlight w:val="none"/>
                <w:vertAlign w:val="superscript"/>
                <w:lang w:val="en-US" w:eastAsia="zh-CN"/>
              </w:rPr>
              <w:t>2</w:t>
            </w:r>
            <w:r>
              <w:rPr>
                <w:rFonts w:hint="default" w:ascii="Times New Roman" w:hAnsi="Times New Roman" w:eastAsia="宋体" w:cs="Times New Roman"/>
                <w:color w:val="000000"/>
                <w:sz w:val="24"/>
                <w:szCs w:val="24"/>
                <w:highlight w:val="none"/>
                <w:lang w:val="en-US" w:eastAsia="zh-CN"/>
              </w:rPr>
              <w:t>。</w:t>
            </w:r>
          </w:p>
          <w:p>
            <w:pPr>
              <w:pStyle w:val="44"/>
              <w:bidi w:val="0"/>
              <w:rPr>
                <w:rFonts w:hint="default" w:ascii="Times New Roman" w:hAnsi="Times New Roman" w:eastAsia="宋体" w:cs="Times New Roman"/>
                <w:b/>
                <w:color w:val="000000"/>
                <w:kern w:val="2"/>
                <w:sz w:val="21"/>
                <w:szCs w:val="21"/>
                <w:highlight w:val="none"/>
                <w:u w:val="none" w:color="auto"/>
                <w:lang w:val="en-US" w:eastAsia="zh-CN" w:bidi="ar-SA"/>
              </w:rPr>
            </w:pPr>
            <w:r>
              <w:rPr>
                <w:rFonts w:hint="eastAsia" w:ascii="Times New Roman" w:hAnsi="Times New Roman" w:eastAsia="宋体" w:cs="Times New Roman"/>
                <w:b/>
                <w:color w:val="000000"/>
                <w:kern w:val="2"/>
                <w:sz w:val="21"/>
                <w:szCs w:val="21"/>
                <w:highlight w:val="none"/>
                <w:u w:val="none" w:color="auto"/>
                <w:lang w:val="en-US" w:eastAsia="zh-CN" w:bidi="ar-SA"/>
              </w:rPr>
              <w:t>表2-3 升压站-太保变220kV线路塔基概况</w:t>
            </w:r>
          </w:p>
          <w:tbl>
            <w:tblPr>
              <w:tblStyle w:val="20"/>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48"/>
              <w:gridCol w:w="1629"/>
              <w:gridCol w:w="1523"/>
              <w:gridCol w:w="1523"/>
              <w:gridCol w:w="1352"/>
              <w:gridCol w:w="108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序号</w:t>
                  </w: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杆塔类型</w:t>
                  </w:r>
                </w:p>
              </w:tc>
              <w:tc>
                <w:tcPr>
                  <w:tcW w:w="933"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名称</w:t>
                  </w:r>
                </w:p>
              </w:tc>
              <w:tc>
                <w:tcPr>
                  <w:tcW w:w="933"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杆塔名称</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呼高（m）</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数量（基）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DJ</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18</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J1</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27</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24</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27</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J3</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18</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J3</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21</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J4</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21</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J4</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27</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JC2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33</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JC2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36</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JC3</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33</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JC3</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36</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JC4</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33</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JC4</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36</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JCKH</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耐张塔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45</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ZM1</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24</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21</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24</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27</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30</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33</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36</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39</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ZM3</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27</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ZM3</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33</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ZM3</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36</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ZM3</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42</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ZM3</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45</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ZMK</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39</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ZMK</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42</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ZMK</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45</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ZMK</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48</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220</w:t>
                  </w:r>
                  <w:r>
                    <w:rPr>
                      <w:rFonts w:hint="eastAsia" w:ascii="Times New Roman" w:hAnsi="Times New Roman" w:cs="Times New Roman"/>
                      <w:color w:val="000000"/>
                      <w:kern w:val="21"/>
                      <w:sz w:val="21"/>
                      <w:szCs w:val="21"/>
                      <w:highlight w:val="none"/>
                      <w:lang w:val="en-US" w:eastAsia="zh-CN"/>
                    </w:rPr>
                    <w:t>-</w:t>
                  </w:r>
                  <w:r>
                    <w:rPr>
                      <w:rFonts w:hint="eastAsia" w:ascii="Times New Roman" w:hAnsi="Times New Roman" w:eastAsia="宋体" w:cs="Times New Roman"/>
                      <w:color w:val="000000"/>
                      <w:kern w:val="21"/>
                      <w:sz w:val="21"/>
                      <w:szCs w:val="21"/>
                      <w:highlight w:val="none"/>
                      <w:lang w:val="en-US" w:eastAsia="zh-CN"/>
                    </w:rPr>
                    <w:t>ED21D</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ZMK</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eastAsia="宋体" w:cs="Times New Roman"/>
                      <w:color w:val="000000"/>
                      <w:kern w:val="21"/>
                      <w:sz w:val="21"/>
                      <w:szCs w:val="21"/>
                      <w:highlight w:val="none"/>
                      <w:lang w:val="en-US" w:eastAsia="zh-CN"/>
                    </w:rPr>
                    <w:t>直线塔</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51</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GDLDJ1</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电缆终端杆</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18</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42" w:type="pct"/>
                  <w:tcBorders>
                    <w:tl2br w:val="nil"/>
                    <w:tr2bl w:val="nil"/>
                  </w:tcBorders>
                  <w:noWrap/>
                  <w:tcMar>
                    <w:top w:w="15" w:type="dxa"/>
                    <w:left w:w="15" w:type="dxa"/>
                    <w:right w:w="15" w:type="dxa"/>
                  </w:tcMar>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5" w:leftChars="0" w:right="-105" w:rightChars="-50" w:hanging="425"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p>
              </w:tc>
              <w:tc>
                <w:tcPr>
                  <w:tcW w:w="99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GDLDJ2</w:t>
                  </w:r>
                </w:p>
              </w:tc>
              <w:tc>
                <w:tcPr>
                  <w:tcW w:w="933"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eastAsia"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电缆终端杆</w:t>
                  </w:r>
                </w:p>
              </w:tc>
              <w:tc>
                <w:tcPr>
                  <w:tcW w:w="828"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18</w:t>
                  </w:r>
                </w:p>
              </w:tc>
              <w:tc>
                <w:tcPr>
                  <w:tcW w:w="66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eastAsia="宋体" w:cs="Times New Roman"/>
                      <w:color w:val="000000"/>
                      <w:kern w:val="21"/>
                      <w:sz w:val="21"/>
                      <w:szCs w:val="21"/>
                      <w:highlight w:val="none"/>
                      <w:lang w:val="en-US" w:eastAsia="zh-CN"/>
                    </w:rPr>
                  </w:pPr>
                  <w:r>
                    <w:rPr>
                      <w:rFonts w:hint="eastAsia" w:ascii="Times New Roman" w:hAnsi="Times New Roman" w:cs="Times New Roman"/>
                      <w:color w:val="000000"/>
                      <w:kern w:val="21"/>
                      <w:sz w:val="21"/>
                      <w:szCs w:val="21"/>
                      <w:highlight w:val="none"/>
                      <w:lang w:val="en-US" w:eastAsia="zh-CN"/>
                    </w:rPr>
                    <w:t>1</w:t>
                  </w:r>
                </w:p>
              </w:tc>
            </w:tr>
          </w:tbl>
          <w:p>
            <w:pPr>
              <w:pStyle w:val="44"/>
              <w:bidi w:val="0"/>
              <w:rPr>
                <w:rFonts w:hint="default" w:ascii="Times New Roman" w:hAnsi="Times New Roman" w:eastAsia="宋体" w:cs="Times New Roman"/>
                <w:b/>
                <w:color w:val="000000"/>
                <w:kern w:val="2"/>
                <w:sz w:val="21"/>
                <w:szCs w:val="21"/>
                <w:highlight w:val="none"/>
                <w:u w:val="none" w:color="auto"/>
                <w:lang w:val="en-US" w:eastAsia="zh-CN" w:bidi="ar-SA"/>
              </w:rPr>
            </w:pPr>
            <w:r>
              <w:rPr>
                <w:rFonts w:hint="eastAsia" w:ascii="Times New Roman" w:hAnsi="Times New Roman" w:eastAsia="宋体" w:cs="Times New Roman"/>
                <w:b/>
                <w:color w:val="000000"/>
                <w:kern w:val="2"/>
                <w:sz w:val="21"/>
                <w:szCs w:val="21"/>
                <w:highlight w:val="none"/>
                <w:u w:val="none" w:color="auto"/>
                <w:lang w:val="en-US" w:eastAsia="zh-CN" w:bidi="ar-SA"/>
              </w:rPr>
              <w:t>表2-4 升压站-太保变220kV线路塔基坐标</w:t>
            </w:r>
          </w:p>
          <w:tbl>
            <w:tblPr>
              <w:tblStyle w:val="20"/>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816"/>
              <w:gridCol w:w="3238"/>
              <w:gridCol w:w="31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trPr>
              <w:tc>
                <w:tcPr>
                  <w:tcW w:w="1112"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18"/>
                      <w:szCs w:val="18"/>
                      <w:highlight w:val="none"/>
                      <w:lang w:val="en-US" w:eastAsia="zh-CN"/>
                    </w:rPr>
                  </w:pPr>
                  <w:r>
                    <w:rPr>
                      <w:rFonts w:hint="default" w:ascii="Times New Roman" w:hAnsi="Times New Roman" w:eastAsia="宋体" w:cs="Times New Roman"/>
                      <w:color w:val="000000"/>
                      <w:sz w:val="18"/>
                      <w:szCs w:val="18"/>
                      <w:highlight w:val="none"/>
                      <w:lang w:val="en-US" w:eastAsia="zh-CN"/>
                    </w:rPr>
                    <w:t>塔号</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18"/>
                      <w:szCs w:val="18"/>
                      <w:highlight w:val="none"/>
                      <w:lang w:val="en-US" w:eastAsia="zh-CN"/>
                    </w:rPr>
                  </w:pPr>
                  <w:r>
                    <w:rPr>
                      <w:rFonts w:hint="default" w:ascii="Times New Roman" w:hAnsi="Times New Roman" w:eastAsia="宋体" w:cs="Times New Roman"/>
                      <w:color w:val="000000"/>
                      <w:sz w:val="18"/>
                      <w:szCs w:val="18"/>
                      <w:highlight w:val="none"/>
                      <w:lang w:val="en-US" w:eastAsia="zh-CN"/>
                    </w:rPr>
                    <w:t>X坐标</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18"/>
                      <w:szCs w:val="18"/>
                      <w:highlight w:val="none"/>
                      <w:lang w:val="en-US" w:eastAsia="zh-CN"/>
                    </w:rPr>
                  </w:pPr>
                  <w:r>
                    <w:rPr>
                      <w:rFonts w:hint="default" w:ascii="Times New Roman" w:hAnsi="Times New Roman" w:eastAsia="宋体" w:cs="Times New Roman"/>
                      <w:color w:val="000000"/>
                      <w:sz w:val="18"/>
                      <w:szCs w:val="18"/>
                      <w:highlight w:val="none"/>
                      <w:lang w:val="en-US" w:eastAsia="zh-CN"/>
                    </w:rPr>
                    <w:t>Y坐标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425410.333</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5194015.184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425429.111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5193970.647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425683.5801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5193993.373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426110.682</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5193868.371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2"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426558.4436</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5193737.333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426954.3118</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5193621.45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2"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427253.6731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5193533.827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427647.214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5193418.643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4"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427977.3537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5193322.012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428344.1332</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5193214.661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428689.4944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w:t>
                  </w:r>
                  <w:r>
                    <w:rPr>
                      <w:rFonts w:hint="default" w:ascii="Times New Roman" w:hAnsi="Times New Roman" w:eastAsia="宋体" w:cs="Times New Roman"/>
                      <w:color w:val="000000"/>
                      <w:sz w:val="21"/>
                      <w:szCs w:val="21"/>
                      <w:highlight w:val="none"/>
                      <w:lang w:val="en-US" w:eastAsia="zh-CN"/>
                    </w:rPr>
                    <w:t>193113.576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429053.2223</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5193007.126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429364.501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5192916.009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429702.8021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5192816.99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429874.4445</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5192509.073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429943.9834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5192384.285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429954.5428</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5192228.644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429973.6819</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5191946.288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430044.0769</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5191513.057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430466.8663</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5191446.224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430608.9161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5191191.388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430802.2942</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5190844.466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430883.4838</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5190698.81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431101.9894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5190306.796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431245.1135</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5190050.029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431596.3153</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5189714.102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431891.1674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5189432.069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432170.1155</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5189165.258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432443.2542</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5188903.991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432753.2454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5188607.48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31#</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433045.9491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5188327.51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433303.4865</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5188081.169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33#</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433559.7318</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5187836.065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433849.555</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5187558.88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434091.2814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5187327.631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36#</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434339.3406</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5187090.358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434398.5506</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5186844.389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38#</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434476.0177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5186522.588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39#</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434588.5893</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5186054.933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434662.069</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5185749.676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41#</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434767.3827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5185312.16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42#</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434856.3186</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5184942.686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43#</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434950.8661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5184549.96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44#</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435046.5869</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5184152.308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435129.2114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5183809.078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46#</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435216.5028</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5183446.42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47#</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435286.7014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5183154.785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48#</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435372.1327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5182799.883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49#</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435457.5439</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5182445.082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435698.2457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5182302.037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51#</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435966.44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5182142.655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52#</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436197.6925</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5182005.229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436449.1434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5181855.792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54#</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436715.2236</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5181697.675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55#</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436990.3117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5181534.188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56#</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437223.2834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5181395.738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57#</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437283.1675</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5181067.187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58#</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437354.0067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5180678.534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59#</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437408.1519</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5180381.445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437462.4887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5180083.336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61#</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437790.1837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5180130.162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62#</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438037.831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5180165.544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63#</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438112.534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5179817.478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64#</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438178.4251</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5179510.493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438244.6427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5179201.978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66#</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438304.5909</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5178922.683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67#</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438564.8207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5178960.905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68#</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438929.8862</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5179014.519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69#</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439218.7784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5179056.952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439567.4746</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5179108.166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71#</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439803.5177</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5179142.826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440173.6326</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5179322.714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440455.6483</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5179459.793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74#</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440761.6496</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5179336.323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441021.734</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5179231.379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76#</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440982.7382</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5178989.3189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77#</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440861.7655</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5178757.3452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78#</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440874.7505</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5178619.496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81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79#</w:t>
                  </w:r>
                </w:p>
              </w:tc>
              <w:tc>
                <w:tcPr>
                  <w:tcW w:w="198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440720.4183</w:t>
                  </w:r>
                </w:p>
              </w:tc>
              <w:tc>
                <w:tcPr>
                  <w:tcW w:w="1903" w:type="pct"/>
                  <w:tcBorders>
                    <w:tl2br w:val="nil"/>
                    <w:tr2bl w:val="nil"/>
                  </w:tcBorders>
                  <w:noWrap/>
                  <w:vAlign w:val="bottom"/>
                </w:tcPr>
                <w:p>
                  <w:pPr>
                    <w:pStyle w:val="47"/>
                    <w:keepNext w:val="0"/>
                    <w:keepLines w:val="0"/>
                    <w:widowControl/>
                    <w:suppressLineNumbers w:val="0"/>
                    <w:spacing w:before="0" w:beforeAutospacing="0" w:after="0" w:afterAutospacing="0"/>
                    <w:ind w:left="0" w:right="0"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5178499.0532</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lang w:val="en-US" w:eastAsia="zh-CN"/>
              </w:rPr>
              <w:t>、</w:t>
            </w:r>
            <w:r>
              <w:rPr>
                <w:rFonts w:hint="eastAsia" w:cs="Times New Roman"/>
                <w:color w:val="000000"/>
                <w:sz w:val="24"/>
                <w:szCs w:val="24"/>
                <w:highlight w:val="none"/>
                <w:lang w:val="en-US" w:eastAsia="zh-CN"/>
              </w:rPr>
              <w:t>太保变间隔扩建</w:t>
            </w:r>
            <w:r>
              <w:rPr>
                <w:rFonts w:hint="default" w:ascii="Times New Roman" w:hAnsi="Times New Roman" w:eastAsia="宋体" w:cs="Times New Roman"/>
                <w:color w:val="000000"/>
                <w:sz w:val="24"/>
                <w:szCs w:val="24"/>
                <w:highlight w:val="none"/>
                <w:lang w:val="en-US" w:eastAsia="zh-CN"/>
              </w:rPr>
              <w:t>工程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color w:val="000000"/>
                <w:kern w:val="2"/>
                <w:sz w:val="21"/>
                <w:szCs w:val="21"/>
                <w:highlight w:val="none"/>
                <w:u w:val="none" w:color="auto"/>
                <w:lang w:val="en-US" w:eastAsia="zh-CN" w:bidi="ar-SA"/>
              </w:rPr>
            </w:pPr>
            <w:r>
              <w:rPr>
                <w:rFonts w:hint="default" w:ascii="Times New Roman" w:hAnsi="Times New Roman" w:eastAsia="宋体" w:cs="Times New Roman"/>
                <w:color w:val="000000"/>
                <w:sz w:val="24"/>
                <w:szCs w:val="24"/>
                <w:highlight w:val="none"/>
                <w:lang w:val="en-US" w:eastAsia="zh-CN"/>
              </w:rPr>
              <w:t>太保变电站现运行</w:t>
            </w:r>
            <w:r>
              <w:rPr>
                <w:rFonts w:hint="eastAsia"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lang w:val="en-US" w:eastAsia="zh-CN"/>
              </w:rPr>
              <w:t>×120MVA主变</w:t>
            </w:r>
            <w:r>
              <w:rPr>
                <w:rFonts w:hint="eastAsia" w:cs="Times New Roman"/>
                <w:color w:val="000000"/>
                <w:sz w:val="24"/>
                <w:szCs w:val="24"/>
                <w:highlight w:val="none"/>
                <w:lang w:val="en-US" w:eastAsia="zh-CN"/>
              </w:rPr>
              <w:t>，终期3台主变。</w:t>
            </w:r>
            <w:r>
              <w:rPr>
                <w:rFonts w:hint="default" w:ascii="Times New Roman" w:hAnsi="Times New Roman" w:eastAsia="宋体" w:cs="Times New Roman"/>
                <w:color w:val="000000"/>
                <w:sz w:val="24"/>
                <w:szCs w:val="24"/>
                <w:highlight w:val="none"/>
                <w:lang w:val="en-US" w:eastAsia="zh-CN"/>
              </w:rPr>
              <w:t>太保220kV变电站220kV侧已有出线4回</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现有主变进线1回</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220kV接线现状采用双母线接线，远期采用双母线接线。本</w:t>
            </w:r>
            <w:r>
              <w:rPr>
                <w:rFonts w:hint="eastAsia" w:ascii="Times New Roman" w:hAnsi="Times New Roman" w:eastAsia="宋体" w:cs="Times New Roman"/>
                <w:color w:val="000000"/>
                <w:sz w:val="24"/>
                <w:szCs w:val="24"/>
                <w:highlight w:val="none"/>
                <w:lang w:val="en-US" w:eastAsia="zh-CN"/>
              </w:rPr>
              <w:t>项目太保变</w:t>
            </w:r>
            <w:r>
              <w:rPr>
                <w:rFonts w:hint="default" w:ascii="Times New Roman" w:hAnsi="Times New Roman" w:eastAsia="宋体" w:cs="Times New Roman"/>
                <w:color w:val="000000"/>
                <w:sz w:val="24"/>
                <w:szCs w:val="24"/>
                <w:highlight w:val="none"/>
                <w:lang w:val="en-US" w:eastAsia="zh-CN"/>
              </w:rPr>
              <w:t>扩建1回220kV出线间隔，接入220kV配电装置原有西侧第2回间隔。太保220kV变电站建设规模见表2-5：</w:t>
            </w:r>
          </w:p>
          <w:p>
            <w:pPr>
              <w:pStyle w:val="44"/>
              <w:bidi w:val="0"/>
              <w:rPr>
                <w:rFonts w:hint="default" w:ascii="Times New Roman" w:hAnsi="Times New Roman" w:eastAsia="宋体" w:cs="Times New Roman"/>
                <w:b/>
                <w:color w:val="000000"/>
                <w:kern w:val="2"/>
                <w:sz w:val="21"/>
                <w:szCs w:val="21"/>
                <w:highlight w:val="none"/>
                <w:u w:val="none" w:color="auto"/>
                <w:lang w:val="en-US" w:eastAsia="zh-CN" w:bidi="ar-SA"/>
              </w:rPr>
            </w:pPr>
            <w:r>
              <w:rPr>
                <w:rFonts w:hint="default" w:ascii="Times New Roman" w:hAnsi="Times New Roman" w:eastAsia="宋体" w:cs="Times New Roman"/>
                <w:b/>
                <w:color w:val="000000"/>
                <w:kern w:val="2"/>
                <w:sz w:val="21"/>
                <w:szCs w:val="21"/>
                <w:highlight w:val="none"/>
                <w:u w:val="none" w:color="auto"/>
                <w:lang w:val="en-US" w:eastAsia="zh-CN" w:bidi="ar-SA"/>
              </w:rPr>
              <w:t>表2-</w:t>
            </w:r>
            <w:r>
              <w:rPr>
                <w:rFonts w:hint="eastAsia" w:ascii="Times New Roman" w:hAnsi="Times New Roman" w:eastAsia="宋体" w:cs="Times New Roman"/>
                <w:b/>
                <w:color w:val="000000"/>
                <w:kern w:val="2"/>
                <w:sz w:val="21"/>
                <w:szCs w:val="21"/>
                <w:highlight w:val="none"/>
                <w:u w:val="none" w:color="auto"/>
                <w:lang w:val="en-US" w:eastAsia="zh-CN" w:bidi="ar-SA"/>
              </w:rPr>
              <w:t>5  太保220kV变电站建设规模一览表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2542"/>
              <w:gridCol w:w="2666"/>
              <w:gridCol w:w="19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序号</w:t>
                  </w:r>
                </w:p>
              </w:tc>
              <w:tc>
                <w:tcPr>
                  <w:tcW w:w="1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名称</w:t>
                  </w:r>
                </w:p>
              </w:tc>
              <w:tc>
                <w:tcPr>
                  <w:tcW w:w="1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现状</w:t>
                  </w:r>
                </w:p>
              </w:tc>
              <w:tc>
                <w:tcPr>
                  <w:tcW w:w="11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本期扩建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1</w:t>
                  </w:r>
                </w:p>
              </w:tc>
              <w:tc>
                <w:tcPr>
                  <w:tcW w:w="1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主变压器容量及数量</w:t>
                  </w:r>
                </w:p>
              </w:tc>
              <w:tc>
                <w:tcPr>
                  <w:tcW w:w="1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sz w:val="21"/>
                      <w:szCs w:val="21"/>
                      <w:lang w:val="en-US" w:eastAsia="zh-CN"/>
                    </w:rPr>
                    <w:t>2</w:t>
                  </w:r>
                  <w:r>
                    <w:rPr>
                      <w:rFonts w:hint="default" w:ascii="Times New Roman" w:hAnsi="Times New Roman" w:cs="Times New Roman" w:eastAsiaTheme="minorEastAsia"/>
                      <w:color w:val="000000"/>
                      <w:sz w:val="21"/>
                      <w:szCs w:val="21"/>
                    </w:rPr>
                    <w:t>×120MVA</w:t>
                  </w:r>
                </w:p>
              </w:tc>
              <w:tc>
                <w:tcPr>
                  <w:tcW w:w="11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2</w:t>
                  </w:r>
                </w:p>
              </w:tc>
              <w:tc>
                <w:tcPr>
                  <w:tcW w:w="1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220kV进出线回路数</w:t>
                  </w:r>
                </w:p>
              </w:tc>
              <w:tc>
                <w:tcPr>
                  <w:tcW w:w="1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sz w:val="21"/>
                      <w:szCs w:val="21"/>
                    </w:rPr>
                    <w:t>主变进线1回，出线</w:t>
                  </w:r>
                  <w:r>
                    <w:rPr>
                      <w:rFonts w:hint="default" w:ascii="Times New Roman" w:hAnsi="Times New Roman" w:cs="Times New Roman" w:eastAsiaTheme="minorEastAsia"/>
                      <w:color w:val="000000"/>
                      <w:sz w:val="21"/>
                      <w:szCs w:val="21"/>
                      <w:lang w:val="en-US" w:eastAsia="zh-CN"/>
                    </w:rPr>
                    <w:t>4</w:t>
                  </w:r>
                  <w:r>
                    <w:rPr>
                      <w:rFonts w:hint="default" w:ascii="Times New Roman" w:hAnsi="Times New Roman" w:cs="Times New Roman" w:eastAsiaTheme="minorEastAsia"/>
                      <w:color w:val="000000"/>
                      <w:sz w:val="21"/>
                      <w:szCs w:val="21"/>
                    </w:rPr>
                    <w:t>回</w:t>
                  </w:r>
                </w:p>
              </w:tc>
              <w:tc>
                <w:tcPr>
                  <w:tcW w:w="11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出线一回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3</w:t>
                  </w:r>
                </w:p>
              </w:tc>
              <w:tc>
                <w:tcPr>
                  <w:tcW w:w="1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sz w:val="21"/>
                      <w:szCs w:val="21"/>
                      <w:lang w:val="en-US" w:eastAsia="zh-CN"/>
                    </w:rPr>
                    <w:t>66</w:t>
                  </w:r>
                  <w:r>
                    <w:rPr>
                      <w:rFonts w:hint="default" w:ascii="Times New Roman" w:hAnsi="Times New Roman" w:cs="Times New Roman" w:eastAsiaTheme="minorEastAsia"/>
                      <w:color w:val="000000"/>
                      <w:sz w:val="21"/>
                      <w:szCs w:val="21"/>
                    </w:rPr>
                    <w:t>kV进出线回路数</w:t>
                  </w:r>
                </w:p>
              </w:tc>
              <w:tc>
                <w:tcPr>
                  <w:tcW w:w="1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sz w:val="21"/>
                      <w:szCs w:val="21"/>
                    </w:rPr>
                    <w:t>主变进线1回，出线</w:t>
                  </w:r>
                  <w:r>
                    <w:rPr>
                      <w:rFonts w:hint="default" w:ascii="Times New Roman" w:hAnsi="Times New Roman" w:cs="Times New Roman" w:eastAsiaTheme="minorEastAsia"/>
                      <w:color w:val="000000"/>
                      <w:sz w:val="21"/>
                      <w:szCs w:val="21"/>
                      <w:lang w:val="en-US" w:eastAsia="zh-CN"/>
                    </w:rPr>
                    <w:t>7</w:t>
                  </w:r>
                  <w:r>
                    <w:rPr>
                      <w:rFonts w:hint="default" w:ascii="Times New Roman" w:hAnsi="Times New Roman" w:cs="Times New Roman" w:eastAsiaTheme="minorEastAsia"/>
                      <w:color w:val="000000"/>
                      <w:sz w:val="21"/>
                      <w:szCs w:val="21"/>
                    </w:rPr>
                    <w:t>回</w:t>
                  </w:r>
                </w:p>
              </w:tc>
              <w:tc>
                <w:tcPr>
                  <w:tcW w:w="11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4</w:t>
                  </w:r>
                </w:p>
              </w:tc>
              <w:tc>
                <w:tcPr>
                  <w:tcW w:w="1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sz w:val="21"/>
                      <w:szCs w:val="21"/>
                      <w:lang w:val="en-US" w:eastAsia="zh-CN"/>
                    </w:rPr>
                    <w:t>10</w:t>
                  </w:r>
                  <w:r>
                    <w:rPr>
                      <w:rFonts w:hint="default" w:ascii="Times New Roman" w:hAnsi="Times New Roman" w:cs="Times New Roman" w:eastAsiaTheme="minorEastAsia"/>
                      <w:color w:val="000000"/>
                      <w:sz w:val="21"/>
                      <w:szCs w:val="21"/>
                    </w:rPr>
                    <w:t>kV电容器</w:t>
                  </w:r>
                </w:p>
              </w:tc>
              <w:tc>
                <w:tcPr>
                  <w:tcW w:w="1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sz w:val="21"/>
                      <w:szCs w:val="21"/>
                      <w:lang w:val="en-US" w:eastAsia="zh-CN"/>
                    </w:rPr>
                    <w:t>24</w:t>
                  </w:r>
                  <w:r>
                    <w:rPr>
                      <w:rFonts w:hint="default" w:ascii="Times New Roman" w:hAnsi="Times New Roman" w:cs="Times New Roman" w:eastAsiaTheme="minorEastAsia"/>
                      <w:color w:val="000000"/>
                      <w:sz w:val="21"/>
                      <w:szCs w:val="21"/>
                    </w:rPr>
                    <w:t>Mvar</w:t>
                  </w:r>
                </w:p>
              </w:tc>
              <w:tc>
                <w:tcPr>
                  <w:tcW w:w="11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contextualSpacing/>
                    <w:jc w:val="center"/>
                    <w:textAlignment w:val="baseline"/>
                    <w:rPr>
                      <w:rFonts w:hint="default" w:ascii="Times New Roman" w:hAnsi="Times New Roman" w:cs="Times New Roman" w:eastAsiaTheme="minorEastAsia"/>
                      <w:color w:val="000000"/>
                      <w:kern w:val="21"/>
                      <w:sz w:val="21"/>
                      <w:szCs w:val="21"/>
                      <w:highlight w:val="none"/>
                      <w:lang w:val="en-US" w:eastAsia="zh-CN"/>
                    </w:rPr>
                  </w:pPr>
                  <w:r>
                    <w:rPr>
                      <w:rFonts w:hint="default" w:ascii="Times New Roman" w:hAnsi="Times New Roman" w:cs="Times New Roman" w:eastAsiaTheme="minorEastAsia"/>
                      <w:color w:val="000000"/>
                      <w:kern w:val="21"/>
                      <w:sz w:val="21"/>
                      <w:szCs w:val="21"/>
                      <w:highlight w:val="none"/>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四</w:t>
            </w:r>
            <w:r>
              <w:rPr>
                <w:rFonts w:hint="default" w:ascii="Times New Roman" w:hAnsi="Times New Roman" w:eastAsia="宋体" w:cs="Times New Roman"/>
                <w:b/>
                <w:bCs/>
                <w:color w:val="000000"/>
                <w:sz w:val="24"/>
                <w:szCs w:val="24"/>
                <w:highlight w:val="none"/>
                <w:lang w:val="en-US" w:eastAsia="zh-CN"/>
              </w:rPr>
              <w:t>、</w:t>
            </w:r>
            <w:r>
              <w:rPr>
                <w:rFonts w:hint="eastAsia" w:ascii="Times New Roman" w:hAnsi="Times New Roman" w:eastAsia="宋体" w:cs="Times New Roman"/>
                <w:b/>
                <w:bCs/>
                <w:color w:val="000000"/>
                <w:sz w:val="24"/>
                <w:szCs w:val="24"/>
                <w:highlight w:val="none"/>
                <w:lang w:val="en-US" w:eastAsia="zh-CN"/>
              </w:rPr>
              <w:t>临时工程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本项目工期较短，不设置临时施工营地，临时工程主要包括塔基施工区、</w:t>
            </w:r>
            <w:r>
              <w:rPr>
                <w:rFonts w:hint="eastAsia" w:cs="Times New Roman"/>
                <w:color w:val="000000"/>
                <w:sz w:val="24"/>
                <w:szCs w:val="24"/>
                <w:highlight w:val="none"/>
                <w:lang w:val="en-US" w:eastAsia="zh-CN"/>
              </w:rPr>
              <w:t>张牵</w:t>
            </w:r>
            <w:r>
              <w:rPr>
                <w:rFonts w:hint="default" w:ascii="Times New Roman" w:hAnsi="Times New Roman" w:eastAsia="宋体" w:cs="Times New Roman"/>
                <w:color w:val="000000"/>
                <w:sz w:val="24"/>
                <w:szCs w:val="24"/>
                <w:highlight w:val="none"/>
                <w:lang w:val="en-US" w:eastAsia="zh-CN"/>
              </w:rPr>
              <w:t>场地区以及施工便道区。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1、塔基区（含塔基施工区）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w:t>
            </w:r>
            <w:r>
              <w:rPr>
                <w:rFonts w:hint="eastAsia" w:cs="Times New Roman"/>
                <w:color w:val="000000"/>
                <w:sz w:val="24"/>
                <w:szCs w:val="24"/>
                <w:highlight w:val="none"/>
                <w:lang w:val="en-US" w:eastAsia="zh-CN"/>
              </w:rPr>
              <w:t>项目线路新建</w:t>
            </w:r>
            <w:r>
              <w:rPr>
                <w:rFonts w:hint="default" w:ascii="Times New Roman" w:hAnsi="Times New Roman" w:eastAsia="宋体" w:cs="Times New Roman"/>
                <w:color w:val="000000"/>
                <w:sz w:val="24"/>
                <w:szCs w:val="24"/>
                <w:highlight w:val="none"/>
                <w:lang w:val="en-US" w:eastAsia="zh-CN"/>
              </w:rPr>
              <w:t>杆塔79基，其中单回路直线塔56基，单回路耐张塔21基，单回路电缆终端杆2基</w:t>
            </w:r>
            <w:r>
              <w:rPr>
                <w:rFonts w:hint="eastAsia" w:cs="Times New Roman"/>
                <w:color w:val="000000"/>
                <w:sz w:val="24"/>
                <w:szCs w:val="24"/>
                <w:highlight w:val="none"/>
                <w:lang w:val="en-US" w:eastAsia="zh-CN"/>
              </w:rPr>
              <w:t>，基础区总占地面积5864.63m</w:t>
            </w:r>
            <w:r>
              <w:rPr>
                <w:rFonts w:hint="eastAsia" w:cs="Times New Roman"/>
                <w:color w:val="000000"/>
                <w:sz w:val="24"/>
                <w:szCs w:val="24"/>
                <w:highlight w:val="none"/>
                <w:vertAlign w:val="superscript"/>
                <w:lang w:val="en-US" w:eastAsia="zh-CN"/>
              </w:rPr>
              <w:t>2</w:t>
            </w:r>
            <w:r>
              <w:rPr>
                <w:rFonts w:hint="eastAsia" w:cs="Times New Roman"/>
                <w:color w:val="000000"/>
                <w:sz w:val="24"/>
                <w:szCs w:val="24"/>
                <w:highlight w:val="none"/>
                <w:lang w:val="en-US" w:eastAsia="zh-CN"/>
              </w:rPr>
              <w:t>，为永久占地。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塔基施工场地以单个塔基为单位进行布置。在塔基施工过程中每处塔基外围都有一处塔基施工场地</w:t>
            </w:r>
            <w:r>
              <w:rPr>
                <w:rFonts w:hint="eastAsia" w:cs="Times New Roman"/>
                <w:color w:val="000000"/>
                <w:sz w:val="24"/>
                <w:szCs w:val="24"/>
                <w:highlight w:val="none"/>
                <w:lang w:val="en-US" w:eastAsia="zh-CN"/>
              </w:rPr>
              <w:t>（含组塔区）</w:t>
            </w:r>
            <w:r>
              <w:rPr>
                <w:rFonts w:hint="eastAsia" w:ascii="Times New Roman" w:hAnsi="Times New Roman" w:eastAsia="宋体" w:cs="Times New Roman"/>
                <w:color w:val="000000"/>
                <w:sz w:val="24"/>
                <w:szCs w:val="24"/>
                <w:highlight w:val="none"/>
                <w:lang w:val="en-US" w:eastAsia="zh-CN"/>
              </w:rPr>
              <w:t>，用于临时堆置土方、砂石料、水、材料和工具等。塔基施工场地共79处，总占地面积110295.37m</w:t>
            </w:r>
            <w:r>
              <w:rPr>
                <w:rFonts w:hint="eastAsia"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，为临时占地。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塔基区（含塔基施工区）占地面积为</w:t>
            </w:r>
            <w:r>
              <w:rPr>
                <w:rFonts w:hint="eastAsia" w:cs="Times New Roman"/>
                <w:color w:val="000000"/>
                <w:sz w:val="24"/>
                <w:szCs w:val="24"/>
                <w:highlight w:val="none"/>
                <w:lang w:val="en-US" w:eastAsia="zh-CN"/>
              </w:rPr>
              <w:t>116160</w:t>
            </w:r>
            <w:r>
              <w:rPr>
                <w:rFonts w:hint="eastAsia" w:ascii="Times New Roman" w:hAnsi="Times New Roman" w:eastAsia="宋体" w:cs="Times New Roman"/>
                <w:color w:val="000000"/>
                <w:sz w:val="24"/>
                <w:szCs w:val="24"/>
                <w:highlight w:val="none"/>
                <w:lang w:val="en-US" w:eastAsia="zh-CN"/>
              </w:rPr>
              <w:t>m</w:t>
            </w:r>
            <w:r>
              <w:rPr>
                <w:rFonts w:hint="eastAsia" w:ascii="Times New Roman" w:hAnsi="Times New Roman" w:eastAsia="宋体" w:cs="Times New Roman"/>
                <w:color w:val="000000"/>
                <w:sz w:val="24"/>
                <w:szCs w:val="24"/>
                <w:highlight w:val="none"/>
                <w:vertAlign w:val="superscript"/>
                <w:lang w:val="en-US" w:eastAsia="zh-CN"/>
              </w:rPr>
              <w:t>2</w:t>
            </w:r>
            <w:r>
              <w:rPr>
                <w:rFonts w:hint="default" w:ascii="Times New Roman" w:hAnsi="Times New Roman" w:eastAsia="宋体"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2、</w:t>
            </w:r>
            <w:r>
              <w:rPr>
                <w:rFonts w:hint="eastAsia" w:cs="Times New Roman"/>
                <w:color w:val="000000"/>
                <w:sz w:val="24"/>
                <w:szCs w:val="24"/>
                <w:highlight w:val="none"/>
                <w:lang w:val="en-US" w:eastAsia="zh-CN"/>
              </w:rPr>
              <w:t>张牵</w:t>
            </w:r>
            <w:r>
              <w:rPr>
                <w:rFonts w:hint="default" w:ascii="Times New Roman" w:hAnsi="Times New Roman" w:eastAsia="宋体" w:cs="Times New Roman"/>
                <w:color w:val="000000"/>
                <w:sz w:val="24"/>
                <w:szCs w:val="24"/>
                <w:highlight w:val="none"/>
                <w:lang w:val="en-US" w:eastAsia="zh-CN"/>
              </w:rPr>
              <w:t>场地区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yellow"/>
                <w:lang w:val="en-US" w:eastAsia="zh-CN"/>
              </w:rPr>
            </w:pPr>
            <w:r>
              <w:rPr>
                <w:rFonts w:hint="default" w:ascii="Times New Roman" w:hAnsi="Times New Roman" w:eastAsia="宋体" w:cs="Times New Roman"/>
                <w:color w:val="000000"/>
                <w:sz w:val="24"/>
                <w:szCs w:val="24"/>
                <w:highlight w:val="none"/>
                <w:lang w:val="en-US" w:eastAsia="zh-CN"/>
              </w:rPr>
              <w:t>为便于架线安装施工，送出线路沿线需设置</w:t>
            </w:r>
            <w:r>
              <w:rPr>
                <w:rFonts w:hint="eastAsia" w:cs="Times New Roman"/>
                <w:color w:val="000000"/>
                <w:sz w:val="24"/>
                <w:szCs w:val="24"/>
                <w:highlight w:val="none"/>
                <w:lang w:val="en-US" w:eastAsia="zh-CN"/>
              </w:rPr>
              <w:t>张牵</w:t>
            </w:r>
            <w:r>
              <w:rPr>
                <w:rFonts w:hint="default" w:ascii="Times New Roman" w:hAnsi="Times New Roman" w:eastAsia="宋体" w:cs="Times New Roman"/>
                <w:color w:val="000000"/>
                <w:sz w:val="24"/>
                <w:szCs w:val="24"/>
                <w:highlight w:val="none"/>
                <w:lang w:val="en-US" w:eastAsia="zh-CN"/>
              </w:rPr>
              <w:t>场，</w:t>
            </w:r>
            <w:r>
              <w:rPr>
                <w:rFonts w:hint="eastAsia" w:cs="Times New Roman"/>
                <w:color w:val="000000"/>
                <w:sz w:val="24"/>
                <w:szCs w:val="24"/>
                <w:highlight w:val="none"/>
                <w:lang w:val="en-US" w:eastAsia="zh-CN"/>
              </w:rPr>
              <w:t>张牵</w:t>
            </w:r>
            <w:r>
              <w:rPr>
                <w:rFonts w:hint="default" w:ascii="Times New Roman" w:hAnsi="Times New Roman" w:eastAsia="宋体" w:cs="Times New Roman"/>
                <w:color w:val="000000"/>
                <w:sz w:val="24"/>
                <w:szCs w:val="24"/>
                <w:highlight w:val="none"/>
                <w:lang w:val="en-US" w:eastAsia="zh-CN"/>
              </w:rPr>
              <w:t>场应满足牵引机、张力机能直接运达到位，地形应平坦，能满足布置</w:t>
            </w:r>
            <w:r>
              <w:rPr>
                <w:rFonts w:hint="eastAsia" w:cs="Times New Roman"/>
                <w:color w:val="000000"/>
                <w:sz w:val="24"/>
                <w:szCs w:val="24"/>
                <w:highlight w:val="none"/>
                <w:lang w:val="en-US" w:eastAsia="zh-CN"/>
              </w:rPr>
              <w:t>张牵</w:t>
            </w:r>
            <w:r>
              <w:rPr>
                <w:rFonts w:hint="default" w:ascii="Times New Roman" w:hAnsi="Times New Roman" w:eastAsia="宋体" w:cs="Times New Roman"/>
                <w:color w:val="000000"/>
                <w:sz w:val="24"/>
                <w:szCs w:val="24"/>
                <w:highlight w:val="none"/>
                <w:lang w:val="en-US" w:eastAsia="zh-CN"/>
              </w:rPr>
              <w:t>设备、布置导线及施工操作等要求。根据现场踏勘并借鉴同类工程施工组织经验，本工程共设</w:t>
            </w:r>
            <w:r>
              <w:rPr>
                <w:rFonts w:hint="eastAsia" w:cs="Times New Roman"/>
                <w:color w:val="000000"/>
                <w:sz w:val="24"/>
                <w:szCs w:val="24"/>
                <w:highlight w:val="none"/>
                <w:lang w:val="en-US" w:eastAsia="zh-CN"/>
              </w:rPr>
              <w:t>20</w:t>
            </w:r>
            <w:r>
              <w:rPr>
                <w:rFonts w:hint="default" w:ascii="Times New Roman" w:hAnsi="Times New Roman" w:eastAsia="宋体" w:cs="Times New Roman"/>
                <w:color w:val="000000"/>
                <w:sz w:val="24"/>
                <w:szCs w:val="24"/>
                <w:highlight w:val="none"/>
                <w:lang w:val="en-US" w:eastAsia="zh-CN"/>
              </w:rPr>
              <w:t>处</w:t>
            </w:r>
            <w:r>
              <w:rPr>
                <w:rFonts w:hint="eastAsia" w:cs="Times New Roman"/>
                <w:color w:val="000000"/>
                <w:sz w:val="24"/>
                <w:szCs w:val="24"/>
                <w:highlight w:val="none"/>
                <w:lang w:val="en-US" w:eastAsia="zh-CN"/>
              </w:rPr>
              <w:t>张牵</w:t>
            </w:r>
            <w:r>
              <w:rPr>
                <w:rFonts w:hint="default" w:ascii="Times New Roman" w:hAnsi="Times New Roman" w:eastAsia="宋体" w:cs="Times New Roman"/>
                <w:color w:val="000000"/>
                <w:sz w:val="24"/>
                <w:szCs w:val="24"/>
                <w:highlight w:val="none"/>
                <w:lang w:val="en-US" w:eastAsia="zh-CN"/>
              </w:rPr>
              <w:t>场地，单个</w:t>
            </w:r>
            <w:r>
              <w:rPr>
                <w:rFonts w:hint="eastAsia" w:cs="Times New Roman"/>
                <w:color w:val="000000"/>
                <w:sz w:val="24"/>
                <w:szCs w:val="24"/>
                <w:highlight w:val="none"/>
                <w:lang w:val="en-US" w:eastAsia="zh-CN"/>
              </w:rPr>
              <w:t>张牵</w:t>
            </w:r>
            <w:r>
              <w:rPr>
                <w:rFonts w:hint="default" w:ascii="Times New Roman" w:hAnsi="Times New Roman" w:eastAsia="宋体" w:cs="Times New Roman"/>
                <w:color w:val="000000"/>
                <w:sz w:val="24"/>
                <w:szCs w:val="24"/>
                <w:highlight w:val="none"/>
                <w:lang w:val="en-US" w:eastAsia="zh-CN"/>
              </w:rPr>
              <w:t>场地面积为</w:t>
            </w:r>
            <w:r>
              <w:rPr>
                <w:rFonts w:hint="eastAsia" w:cs="Times New Roman"/>
                <w:color w:val="000000"/>
                <w:sz w:val="24"/>
                <w:szCs w:val="24"/>
                <w:highlight w:val="none"/>
                <w:lang w:val="en-US" w:eastAsia="zh-CN"/>
              </w:rPr>
              <w:t>546</w:t>
            </w:r>
            <w:r>
              <w:rPr>
                <w:rFonts w:hint="default" w:ascii="Times New Roman" w:hAnsi="Times New Roman" w:eastAsia="宋体" w:cs="Times New Roman"/>
                <w:color w:val="000000"/>
                <w:sz w:val="24"/>
                <w:szCs w:val="24"/>
                <w:highlight w:val="none"/>
                <w:lang w:val="en-US" w:eastAsia="zh-CN"/>
              </w:rPr>
              <w:t>m</w:t>
            </w:r>
            <w:r>
              <w:rPr>
                <w:rFonts w:hint="default" w:ascii="Times New Roman" w:hAnsi="Times New Roman" w:eastAsia="宋体" w:cs="Times New Roman"/>
                <w:color w:val="000000"/>
                <w:sz w:val="24"/>
                <w:szCs w:val="24"/>
                <w:highlight w:val="none"/>
                <w:vertAlign w:val="superscript"/>
                <w:lang w:val="en-US" w:eastAsia="zh-CN"/>
              </w:rPr>
              <w:t>2</w:t>
            </w:r>
            <w:r>
              <w:rPr>
                <w:rFonts w:hint="default" w:ascii="Times New Roman" w:hAnsi="Times New Roman" w:eastAsia="宋体" w:cs="Times New Roman"/>
                <w:color w:val="000000"/>
                <w:sz w:val="24"/>
                <w:szCs w:val="24"/>
                <w:highlight w:val="none"/>
                <w:lang w:val="en-US" w:eastAsia="zh-CN"/>
              </w:rPr>
              <w:t>，占地面积为</w:t>
            </w:r>
            <w:r>
              <w:rPr>
                <w:rFonts w:hint="eastAsia" w:cs="Times New Roman"/>
                <w:color w:val="000000"/>
                <w:sz w:val="24"/>
                <w:szCs w:val="24"/>
                <w:highlight w:val="none"/>
                <w:lang w:val="en-US" w:eastAsia="zh-CN"/>
              </w:rPr>
              <w:t>10920</w:t>
            </w:r>
            <w:r>
              <w:rPr>
                <w:rFonts w:hint="default" w:ascii="Times New Roman" w:hAnsi="Times New Roman" w:eastAsia="宋体" w:cs="Times New Roman"/>
                <w:color w:val="000000"/>
                <w:sz w:val="24"/>
                <w:szCs w:val="24"/>
                <w:highlight w:val="none"/>
                <w:lang w:val="en-US" w:eastAsia="zh-CN"/>
              </w:rPr>
              <w:t>m</w:t>
            </w:r>
            <w:r>
              <w:rPr>
                <w:rFonts w:hint="default" w:ascii="Times New Roman" w:hAnsi="Times New Roman" w:eastAsia="宋体" w:cs="Times New Roman"/>
                <w:color w:val="000000"/>
                <w:sz w:val="24"/>
                <w:szCs w:val="24"/>
                <w:highlight w:val="none"/>
                <w:vertAlign w:val="superscript"/>
                <w:lang w:val="en-US" w:eastAsia="zh-CN"/>
              </w:rPr>
              <w:t>2</w:t>
            </w:r>
            <w:r>
              <w:rPr>
                <w:rFonts w:hint="eastAsia" w:cs="Times New Roman"/>
                <w:color w:val="000000"/>
                <w:sz w:val="24"/>
                <w:szCs w:val="24"/>
                <w:highlight w:val="none"/>
                <w:lang w:val="en-US" w:eastAsia="zh-CN"/>
              </w:rPr>
              <w:t>，为</w:t>
            </w:r>
            <w:r>
              <w:rPr>
                <w:rFonts w:hint="eastAsia" w:ascii="Times New Roman" w:hAnsi="Times New Roman" w:eastAsia="宋体" w:cs="Times New Roman"/>
                <w:color w:val="000000"/>
                <w:sz w:val="24"/>
                <w:szCs w:val="24"/>
                <w:highlight w:val="none"/>
                <w:lang w:val="en-US" w:eastAsia="zh-CN"/>
              </w:rPr>
              <w:t>临时占地。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3、施工便道区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项目</w:t>
            </w:r>
            <w:r>
              <w:rPr>
                <w:rFonts w:hint="default" w:ascii="Times New Roman" w:hAnsi="Times New Roman" w:eastAsia="宋体" w:cs="Times New Roman"/>
                <w:color w:val="000000"/>
                <w:sz w:val="24"/>
                <w:szCs w:val="24"/>
                <w:highlight w:val="none"/>
                <w:lang w:val="en-US" w:eastAsia="zh-CN"/>
              </w:rPr>
              <w:t>施工过程中施工便道尽量利用既有道路，部分地段乡村道路条件不具备时需新建临时便道连接各施工区，以满足施工需要。根据现场勘查，本</w:t>
            </w:r>
            <w:r>
              <w:rPr>
                <w:rFonts w:hint="eastAsia" w:ascii="Times New Roman" w:hAnsi="Times New Roman" w:eastAsia="宋体" w:cs="Times New Roman"/>
                <w:color w:val="000000"/>
                <w:sz w:val="24"/>
                <w:szCs w:val="24"/>
                <w:highlight w:val="none"/>
                <w:lang w:val="en-US" w:eastAsia="zh-CN"/>
              </w:rPr>
              <w:t>项目</w:t>
            </w:r>
            <w:r>
              <w:rPr>
                <w:rFonts w:hint="default" w:ascii="Times New Roman" w:hAnsi="Times New Roman" w:eastAsia="宋体" w:cs="Times New Roman"/>
                <w:color w:val="000000"/>
                <w:sz w:val="24"/>
                <w:szCs w:val="24"/>
                <w:highlight w:val="none"/>
                <w:lang w:val="en-US" w:eastAsia="zh-CN"/>
              </w:rPr>
              <w:t>施工沿线均有伴行的县道或乡村道路，部分施工区无通行道路时，需新建临时便道以满足机械及人员到场作业，本</w:t>
            </w:r>
            <w:r>
              <w:rPr>
                <w:rFonts w:hint="eastAsia" w:ascii="Times New Roman" w:hAnsi="Times New Roman" w:eastAsia="宋体" w:cs="Times New Roman"/>
                <w:color w:val="000000"/>
                <w:sz w:val="24"/>
                <w:szCs w:val="24"/>
                <w:highlight w:val="none"/>
                <w:lang w:val="en-US" w:eastAsia="zh-CN"/>
              </w:rPr>
              <w:t>项目</w:t>
            </w:r>
            <w:r>
              <w:rPr>
                <w:rFonts w:hint="default" w:ascii="Times New Roman" w:hAnsi="Times New Roman" w:eastAsia="宋体" w:cs="Times New Roman"/>
                <w:color w:val="000000"/>
                <w:sz w:val="24"/>
                <w:szCs w:val="24"/>
                <w:highlight w:val="none"/>
                <w:lang w:val="en-US" w:eastAsia="zh-CN"/>
              </w:rPr>
              <w:t>需新建施工便道21.40335km，路面宽</w:t>
            </w:r>
            <w:r>
              <w:rPr>
                <w:rFonts w:hint="eastAsia" w:ascii="Times New Roman" w:hAnsi="Times New Roman" w:eastAsia="宋体" w:cs="Times New Roman"/>
                <w:color w:val="000000"/>
                <w:sz w:val="24"/>
                <w:szCs w:val="24"/>
                <w:highlight w:val="none"/>
                <w:lang w:val="en-US" w:eastAsia="zh-CN"/>
              </w:rPr>
              <w:t>6</w:t>
            </w:r>
            <w:r>
              <w:rPr>
                <w:rFonts w:hint="default" w:ascii="Times New Roman" w:hAnsi="Times New Roman" w:eastAsia="宋体" w:cs="Times New Roman"/>
                <w:color w:val="000000"/>
                <w:sz w:val="24"/>
                <w:szCs w:val="24"/>
                <w:highlight w:val="none"/>
                <w:lang w:val="en-US" w:eastAsia="zh-CN"/>
              </w:rPr>
              <w:t>m，以连通分散的施工区与既有伴行道路。新建施工便道总占地面积128420.1m</w:t>
            </w:r>
            <w:r>
              <w:rPr>
                <w:rFonts w:hint="default"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，为临时占地。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五、土石方工程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本工程建设期间动用土石方总量为</w:t>
            </w:r>
            <w:r>
              <w:rPr>
                <w:rFonts w:hint="eastAsia" w:cs="Times New Roman"/>
                <w:color w:val="000000"/>
                <w:sz w:val="24"/>
                <w:szCs w:val="24"/>
                <w:highlight w:val="none"/>
                <w:lang w:val="en-US" w:eastAsia="zh-CN"/>
              </w:rPr>
              <w:t>81206</w:t>
            </w:r>
            <w:r>
              <w:rPr>
                <w:rFonts w:hint="default" w:ascii="Times New Roman" w:hAnsi="Times New Roman" w:eastAsia="宋体" w:cs="Times New Roman"/>
                <w:color w:val="000000"/>
                <w:sz w:val="24"/>
                <w:szCs w:val="24"/>
                <w:highlight w:val="none"/>
                <w:lang w:val="en-US" w:eastAsia="zh-CN"/>
              </w:rPr>
              <w:t>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，挖方总量为</w:t>
            </w:r>
            <w:r>
              <w:rPr>
                <w:rFonts w:hint="eastAsia" w:ascii="Times New Roman" w:hAnsi="Times New Roman" w:cs="Times New Roman"/>
                <w:color w:val="000000"/>
                <w:sz w:val="24"/>
                <w:szCs w:val="24"/>
                <w:highlight w:val="none"/>
                <w:lang w:val="en-US" w:eastAsia="zh-CN"/>
              </w:rPr>
              <w:t>81206</w:t>
            </w:r>
            <w:r>
              <w:rPr>
                <w:rFonts w:hint="default" w:ascii="Times New Roman" w:hAnsi="Times New Roman" w:eastAsia="宋体" w:cs="Times New Roman"/>
                <w:color w:val="000000"/>
                <w:sz w:val="24"/>
                <w:szCs w:val="24"/>
                <w:highlight w:val="none"/>
                <w:lang w:val="en-US" w:eastAsia="zh-CN"/>
              </w:rPr>
              <w:t>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（表土剥离</w:t>
            </w:r>
            <w:r>
              <w:rPr>
                <w:rFonts w:hint="eastAsia" w:ascii="Times New Roman" w:hAnsi="Times New Roman" w:cs="Times New Roman"/>
                <w:color w:val="000000"/>
                <w:sz w:val="24"/>
                <w:szCs w:val="24"/>
                <w:highlight w:val="none"/>
                <w:lang w:val="en-US" w:eastAsia="zh-CN"/>
              </w:rPr>
              <w:t>80890</w:t>
            </w:r>
            <w:r>
              <w:rPr>
                <w:rFonts w:hint="default" w:ascii="Times New Roman" w:hAnsi="Times New Roman" w:eastAsia="宋体" w:cs="Times New Roman"/>
                <w:color w:val="000000"/>
                <w:sz w:val="24"/>
                <w:szCs w:val="24"/>
                <w:highlight w:val="none"/>
                <w:lang w:val="en-US" w:eastAsia="zh-CN"/>
              </w:rPr>
              <w:t>m</w:t>
            </w:r>
            <w:r>
              <w:rPr>
                <w:rFonts w:hint="default" w:ascii="Times New Roman" w:hAnsi="Times New Roman" w:eastAsia="宋体" w:cs="Times New Roman"/>
                <w:color w:val="000000"/>
                <w:sz w:val="24"/>
                <w:szCs w:val="24"/>
                <w:highlight w:val="none"/>
                <w:vertAlign w:val="superscript"/>
                <w:lang w:val="en-US" w:eastAsia="zh-CN"/>
              </w:rPr>
              <w:t>3</w:t>
            </w:r>
            <w:r>
              <w:rPr>
                <w:rFonts w:hint="eastAsia" w:cs="Times New Roman"/>
                <w:color w:val="000000"/>
                <w:sz w:val="24"/>
                <w:szCs w:val="24"/>
                <w:highlight w:val="none"/>
                <w:vertAlign w:val="baseline"/>
                <w:lang w:val="en-US" w:eastAsia="zh-CN"/>
              </w:rPr>
              <w:t>，基础开挖</w:t>
            </w:r>
            <w:r>
              <w:rPr>
                <w:rFonts w:hint="eastAsia" w:ascii="Times New Roman" w:hAnsi="Times New Roman" w:cs="Times New Roman"/>
                <w:color w:val="000000"/>
                <w:sz w:val="24"/>
                <w:szCs w:val="24"/>
                <w:highlight w:val="none"/>
                <w:lang w:val="en-US" w:eastAsia="zh-CN"/>
              </w:rPr>
              <w:t>316</w:t>
            </w:r>
            <w:r>
              <w:rPr>
                <w:rFonts w:hint="default" w:ascii="Times New Roman" w:hAnsi="Times New Roman" w:eastAsia="宋体" w:cs="Times New Roman"/>
                <w:color w:val="000000"/>
                <w:sz w:val="24"/>
                <w:szCs w:val="24"/>
                <w:highlight w:val="none"/>
                <w:lang w:val="en-US" w:eastAsia="zh-CN"/>
              </w:rPr>
              <w:t>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），填方总量</w:t>
            </w:r>
            <w:r>
              <w:rPr>
                <w:rFonts w:hint="eastAsia" w:ascii="Times New Roman" w:hAnsi="Times New Roman" w:cs="Times New Roman"/>
                <w:color w:val="000000"/>
                <w:sz w:val="24"/>
                <w:szCs w:val="24"/>
                <w:highlight w:val="none"/>
                <w:lang w:val="en-US" w:eastAsia="zh-CN"/>
              </w:rPr>
              <w:t>81206</w:t>
            </w:r>
            <w:r>
              <w:rPr>
                <w:rFonts w:hint="default" w:ascii="Times New Roman" w:hAnsi="Times New Roman" w:eastAsia="宋体" w:cs="Times New Roman"/>
                <w:color w:val="000000"/>
                <w:sz w:val="24"/>
                <w:szCs w:val="24"/>
                <w:highlight w:val="none"/>
                <w:lang w:val="en-US" w:eastAsia="zh-CN"/>
              </w:rPr>
              <w:t>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，无外购土，无弃方，开挖土方和剥离表土全部回覆利用，不设置永久弃渣场。</w:t>
            </w:r>
          </w:p>
          <w:p>
            <w:pPr>
              <w:pStyle w:val="44"/>
              <w:bidi w:val="0"/>
              <w:rPr>
                <w:rFonts w:hint="default" w:ascii="Times New Roman" w:hAnsi="Times New Roman" w:eastAsia="宋体" w:cs="Times New Roman"/>
                <w:b/>
                <w:color w:val="000000"/>
                <w:kern w:val="2"/>
                <w:sz w:val="21"/>
                <w:szCs w:val="21"/>
                <w:highlight w:val="none"/>
                <w:u w:val="none" w:color="auto"/>
                <w:lang w:val="en-US" w:eastAsia="zh-CN" w:bidi="ar-SA"/>
              </w:rPr>
            </w:pPr>
            <w:r>
              <w:rPr>
                <w:rFonts w:hint="default" w:ascii="Times New Roman" w:hAnsi="Times New Roman" w:eastAsia="宋体" w:cs="Times New Roman"/>
                <w:b/>
                <w:color w:val="000000"/>
                <w:kern w:val="2"/>
                <w:sz w:val="21"/>
                <w:szCs w:val="21"/>
                <w:highlight w:val="none"/>
                <w:u w:val="none" w:color="auto"/>
                <w:lang w:val="en-US" w:eastAsia="zh-CN" w:bidi="ar-SA"/>
              </w:rPr>
              <w:t>表2-</w:t>
            </w:r>
            <w:r>
              <w:rPr>
                <w:rFonts w:hint="eastAsia" w:ascii="Times New Roman" w:hAnsi="Times New Roman" w:eastAsia="宋体" w:cs="Times New Roman"/>
                <w:b/>
                <w:color w:val="000000"/>
                <w:kern w:val="2"/>
                <w:sz w:val="21"/>
                <w:szCs w:val="21"/>
                <w:highlight w:val="none"/>
                <w:u w:val="none" w:color="auto"/>
                <w:lang w:val="en-US" w:eastAsia="zh-CN" w:bidi="ar-SA"/>
              </w:rPr>
              <w:t xml:space="preserve">6  </w:t>
            </w:r>
            <w:r>
              <w:rPr>
                <w:rFonts w:hint="default" w:ascii="Times New Roman" w:hAnsi="Times New Roman" w:eastAsia="宋体" w:cs="Times New Roman"/>
                <w:b/>
                <w:color w:val="000000"/>
                <w:kern w:val="2"/>
                <w:sz w:val="21"/>
                <w:szCs w:val="21"/>
                <w:highlight w:val="none"/>
                <w:u w:val="none" w:color="auto"/>
                <w:lang w:val="en-US" w:eastAsia="zh-CN" w:bidi="ar-SA"/>
              </w:rPr>
              <w:t>土石方平衡表</w:t>
            </w:r>
            <w:r>
              <w:rPr>
                <w:rFonts w:hint="eastAsia" w:ascii="Times New Roman" w:hAnsi="Times New Roman" w:eastAsia="宋体" w:cs="Times New Roman"/>
                <w:b/>
                <w:color w:val="000000"/>
                <w:kern w:val="2"/>
                <w:sz w:val="21"/>
                <w:szCs w:val="21"/>
                <w:highlight w:val="none"/>
                <w:u w:val="none" w:color="auto"/>
                <w:lang w:val="en-US" w:eastAsia="zh-CN" w:bidi="ar-SA"/>
              </w:rPr>
              <w:t>（单位：m</w:t>
            </w:r>
            <w:r>
              <w:rPr>
                <w:rFonts w:hint="eastAsia" w:ascii="Times New Roman" w:hAnsi="Times New Roman" w:eastAsia="宋体" w:cs="Times New Roman"/>
                <w:b/>
                <w:color w:val="000000"/>
                <w:kern w:val="2"/>
                <w:sz w:val="21"/>
                <w:szCs w:val="21"/>
                <w:highlight w:val="none"/>
                <w:u w:val="none" w:color="auto"/>
                <w:vertAlign w:val="superscript"/>
                <w:lang w:val="en-US" w:eastAsia="zh-CN" w:bidi="ar-SA"/>
              </w:rPr>
              <w:t>3</w:t>
            </w:r>
            <w:r>
              <w:rPr>
                <w:rFonts w:hint="eastAsia" w:ascii="Times New Roman" w:hAnsi="Times New Roman" w:eastAsia="宋体" w:cs="Times New Roman"/>
                <w:b/>
                <w:color w:val="000000"/>
                <w:kern w:val="2"/>
                <w:sz w:val="21"/>
                <w:szCs w:val="21"/>
                <w:highlight w:val="none"/>
                <w:u w:val="none" w:color="auto"/>
                <w:lang w:val="en-US" w:eastAsia="zh-CN" w:bidi="ar-SA"/>
              </w:rPr>
              <w:t>）</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63"/>
              <w:gridCol w:w="2144"/>
              <w:gridCol w:w="1670"/>
              <w:gridCol w:w="17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883" w:type="pct"/>
                  <w:gridSpan w:val="2"/>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bookmarkStart w:id="44" w:name="_Toc18801"/>
                  <w:r>
                    <w:rPr>
                      <w:rFonts w:hint="default" w:ascii="Times New Roman" w:hAnsi="Times New Roman" w:eastAsia="宋体" w:cs="Times New Roman"/>
                      <w:color w:val="000000"/>
                      <w:sz w:val="21"/>
                      <w:szCs w:val="21"/>
                      <w:highlight w:val="none"/>
                      <w:lang w:val="en-US" w:eastAsia="zh-CN"/>
                    </w:rPr>
                    <w:t>项目名称</w:t>
                  </w:r>
                </w:p>
              </w:tc>
              <w:tc>
                <w:tcPr>
                  <w:tcW w:w="102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挖方</w:t>
                  </w:r>
                </w:p>
              </w:tc>
              <w:tc>
                <w:tcPr>
                  <w:tcW w:w="109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填方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3" w:type="pct"/>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c>
                <w:tcPr>
                  <w:tcW w:w="102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c>
                <w:tcPr>
                  <w:tcW w:w="109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0"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塔基区（含塔基施工区）</w:t>
                  </w:r>
                </w:p>
              </w:tc>
              <w:tc>
                <w:tcPr>
                  <w:tcW w:w="131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表土剥离</w:t>
                  </w:r>
                </w:p>
              </w:tc>
              <w:tc>
                <w:tcPr>
                  <w:tcW w:w="10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33088</w:t>
                  </w:r>
                </w:p>
              </w:tc>
              <w:tc>
                <w:tcPr>
                  <w:tcW w:w="10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33088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c>
                <w:tcPr>
                  <w:tcW w:w="131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基础开挖</w:t>
                  </w:r>
                </w:p>
              </w:tc>
              <w:tc>
                <w:tcPr>
                  <w:tcW w:w="10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316</w:t>
                  </w:r>
                </w:p>
              </w:tc>
              <w:tc>
                <w:tcPr>
                  <w:tcW w:w="10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316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c>
                <w:tcPr>
                  <w:tcW w:w="131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小计</w:t>
                  </w:r>
                </w:p>
              </w:tc>
              <w:tc>
                <w:tcPr>
                  <w:tcW w:w="10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33404</w:t>
                  </w:r>
                </w:p>
              </w:tc>
              <w:tc>
                <w:tcPr>
                  <w:tcW w:w="10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33404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0"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张牵</w:t>
                  </w:r>
                  <w:r>
                    <w:rPr>
                      <w:rFonts w:hint="default" w:ascii="Times New Roman" w:hAnsi="Times New Roman" w:eastAsia="宋体" w:cs="Times New Roman"/>
                      <w:color w:val="000000"/>
                      <w:sz w:val="21"/>
                      <w:szCs w:val="21"/>
                      <w:highlight w:val="none"/>
                      <w:lang w:val="en-US" w:eastAsia="zh-CN"/>
                    </w:rPr>
                    <w:t>场地区</w:t>
                  </w:r>
                </w:p>
              </w:tc>
              <w:tc>
                <w:tcPr>
                  <w:tcW w:w="131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表土剥离</w:t>
                  </w:r>
                </w:p>
              </w:tc>
              <w:tc>
                <w:tcPr>
                  <w:tcW w:w="10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9276</w:t>
                  </w:r>
                </w:p>
              </w:tc>
              <w:tc>
                <w:tcPr>
                  <w:tcW w:w="1093" w:type="pct"/>
                  <w:tcBorders>
                    <w:tl2br w:val="nil"/>
                    <w:tr2bl w:val="nil"/>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sz w:val="21"/>
                      <w:szCs w:val="21"/>
                      <w:highlight w:val="none"/>
                      <w:lang w:val="en-US" w:eastAsia="zh-CN"/>
                    </w:rPr>
                    <w:t>9276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c>
                <w:tcPr>
                  <w:tcW w:w="131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小计</w:t>
                  </w:r>
                </w:p>
              </w:tc>
              <w:tc>
                <w:tcPr>
                  <w:tcW w:w="10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9276</w:t>
                  </w:r>
                </w:p>
              </w:tc>
              <w:tc>
                <w:tcPr>
                  <w:tcW w:w="1093" w:type="pct"/>
                  <w:tcBorders>
                    <w:tl2br w:val="nil"/>
                    <w:tr2bl w:val="nil"/>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sz w:val="21"/>
                      <w:szCs w:val="21"/>
                      <w:highlight w:val="none"/>
                      <w:lang w:val="en-US" w:eastAsia="zh-CN"/>
                    </w:rPr>
                    <w:t>9276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0"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施工便道区</w:t>
                  </w:r>
                </w:p>
              </w:tc>
              <w:tc>
                <w:tcPr>
                  <w:tcW w:w="131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表土剥离</w:t>
                  </w:r>
                </w:p>
              </w:tc>
              <w:tc>
                <w:tcPr>
                  <w:tcW w:w="10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38526</w:t>
                  </w:r>
                </w:p>
              </w:tc>
              <w:tc>
                <w:tcPr>
                  <w:tcW w:w="10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38526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c>
                <w:tcPr>
                  <w:tcW w:w="131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小计</w:t>
                  </w:r>
                </w:p>
              </w:tc>
              <w:tc>
                <w:tcPr>
                  <w:tcW w:w="10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38526</w:t>
                  </w:r>
                </w:p>
              </w:tc>
              <w:tc>
                <w:tcPr>
                  <w:tcW w:w="10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38526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883"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合计</w:t>
                  </w:r>
                </w:p>
              </w:tc>
              <w:tc>
                <w:tcPr>
                  <w:tcW w:w="10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81206</w:t>
                  </w:r>
                </w:p>
              </w:tc>
              <w:tc>
                <w:tcPr>
                  <w:tcW w:w="10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81206</w:t>
                  </w:r>
                </w:p>
              </w:tc>
            </w:tr>
            <w:bookmarkEnd w:id="44"/>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六、工程占地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本工程项目建设区占地为永久占地</w:t>
            </w:r>
            <w:r>
              <w:rPr>
                <w:rFonts w:hint="eastAsia" w:cs="Times New Roman"/>
                <w:color w:val="000000" w:themeColor="text1"/>
                <w:sz w:val="24"/>
                <w:szCs w:val="24"/>
                <w:highlight w:val="none"/>
                <w:lang w:val="en-US" w:eastAsia="zh-CN"/>
                <w14:textFill>
                  <w14:solidFill>
                    <w14:schemeClr w14:val="tx1"/>
                  </w14:solidFill>
                </w14:textFill>
              </w:rPr>
              <w:t>（租地）</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和临时占地，其中包括塔基区（含塔基施工区）、</w:t>
            </w:r>
            <w:r>
              <w:rPr>
                <w:rFonts w:hint="eastAsia" w:cs="Times New Roman"/>
                <w:color w:val="000000" w:themeColor="text1"/>
                <w:sz w:val="24"/>
                <w:szCs w:val="24"/>
                <w:highlight w:val="none"/>
                <w:lang w:val="en-US" w:eastAsia="zh-CN"/>
                <w14:textFill>
                  <w14:solidFill>
                    <w14:schemeClr w14:val="tx1"/>
                  </w14:solidFill>
                </w14:textFill>
              </w:rPr>
              <w:t>张牵</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场地区和施工便道区。项目总占地面积为255500.</w:t>
            </w:r>
            <w:r>
              <w:rPr>
                <w:rFonts w:hint="eastAsia"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，其中塔基区（含塔基施工区）116160m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张牵</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场地区10920m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，施工便道区128420.1m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，永久占地</w:t>
            </w:r>
            <w:r>
              <w:rPr>
                <w:rFonts w:hint="eastAsia" w:cs="Times New Roman"/>
                <w:color w:val="000000" w:themeColor="text1"/>
                <w:sz w:val="24"/>
                <w:szCs w:val="24"/>
                <w:highlight w:val="none"/>
                <w:lang w:val="en-US" w:eastAsia="zh-CN"/>
                <w14:textFill>
                  <w14:solidFill>
                    <w14:schemeClr w14:val="tx1"/>
                  </w14:solidFill>
                </w14:textFill>
              </w:rPr>
              <w:t>（租地）</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5864.63m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，临时占地249635.47m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占地类型均为耕地，耕地涉及一般耕地与基本农田。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根据《</w:t>
            </w:r>
            <w:r>
              <w:rPr>
                <w:rFonts w:hint="default" w:cs="Times New Roman"/>
                <w:color w:val="000000" w:themeColor="text1"/>
                <w:sz w:val="24"/>
                <w:szCs w:val="24"/>
                <w:highlight w:val="none"/>
                <w:lang w:val="en-US" w:eastAsia="zh-CN"/>
                <w14:textFill>
                  <w14:solidFill>
                    <w14:schemeClr w14:val="tx1"/>
                  </w14:solidFill>
                </w14:textFill>
              </w:rPr>
              <w:t>黑龙江省自然资源厅黑龙江省发展和改革委员会关于简化用地管理加快电网建设的通知</w:t>
            </w:r>
            <w:r>
              <w:rPr>
                <w:rFonts w:hint="eastAsia" w:cs="Times New Roman"/>
                <w:color w:val="000000" w:themeColor="text1"/>
                <w:sz w:val="24"/>
                <w:szCs w:val="24"/>
                <w:highlight w:val="none"/>
                <w:lang w:val="en-US" w:eastAsia="zh-CN"/>
                <w14:textFill>
                  <w14:solidFill>
                    <w14:schemeClr w14:val="tx1"/>
                  </w14:solidFill>
                </w14:textFill>
              </w:rPr>
              <w:t>》（黑自然资函〔2018〕46号）中“四、电网线路（通信等）塔基、线杆用地，要通过优化调整线路布局，尽量少占或者不占耕地，经与当地农村经济组织及农民协商达成协议后，通过土地流转、协议补偿等方式直接使用，在工程使用期结束后恢复原地类”规定，本项目占地已与农民签订补偿协议，因协议数量较多，故仅附部分补偿协议作为代表说明（详见附件）。</w:t>
            </w:r>
          </w:p>
          <w:p>
            <w:pPr>
              <w:keepNext w:val="0"/>
              <w:keepLines w:val="0"/>
              <w:pageBreakBefore w:val="0"/>
              <w:kinsoku/>
              <w:wordWrap/>
              <w:overflowPunct/>
              <w:topLinePunct w:val="0"/>
              <w:autoSpaceDE/>
              <w:autoSpaceDN/>
              <w:bidi w:val="0"/>
              <w:adjustRightInd/>
              <w:snapToGrid/>
              <w:spacing w:line="240" w:lineRule="auto"/>
              <w:ind w:right="0" w:firstLine="422" w:firstLineChars="200"/>
              <w:contextualSpacing/>
              <w:jc w:val="center"/>
              <w:textAlignment w:val="auto"/>
              <w:rPr>
                <w:rFonts w:hint="default" w:ascii="Times New Roman" w:hAnsi="Times New Roman" w:eastAsia="宋体" w:cs="Times New Roman"/>
                <w:b/>
                <w:color w:val="FF0000"/>
                <w:sz w:val="21"/>
                <w:szCs w:val="21"/>
                <w:highlight w:val="none"/>
                <w:lang w:val="en-US" w:eastAsia="zh-CN"/>
              </w:rPr>
            </w:pPr>
            <w:r>
              <w:rPr>
                <w:rFonts w:hint="default" w:ascii="Times New Roman" w:hAnsi="Times New Roman" w:eastAsia="宋体" w:cs="Times New Roman"/>
                <w:b/>
                <w:color w:val="FF0000"/>
                <w:sz w:val="21"/>
                <w:szCs w:val="21"/>
                <w:highlight w:val="none"/>
                <w:lang w:val="en-US" w:eastAsia="zh-CN"/>
              </w:rPr>
              <w:t>表2-</w:t>
            </w:r>
            <w:r>
              <w:rPr>
                <w:rFonts w:hint="eastAsia" w:eastAsia="宋体" w:cs="Times New Roman"/>
                <w:b/>
                <w:color w:val="FF0000"/>
                <w:sz w:val="21"/>
                <w:szCs w:val="21"/>
                <w:highlight w:val="none"/>
                <w:lang w:val="en-US" w:eastAsia="zh-CN"/>
              </w:rPr>
              <w:t>7</w:t>
            </w:r>
            <w:r>
              <w:rPr>
                <w:rFonts w:hint="eastAsia" w:ascii="Times New Roman" w:hAnsi="Times New Roman" w:eastAsia="宋体" w:cs="Times New Roman"/>
                <w:b/>
                <w:color w:val="FF0000"/>
                <w:sz w:val="21"/>
                <w:szCs w:val="21"/>
                <w:highlight w:val="none"/>
                <w:lang w:val="en-US" w:eastAsia="zh-CN"/>
              </w:rPr>
              <w:t xml:space="preserve">  </w:t>
            </w:r>
            <w:r>
              <w:rPr>
                <w:rFonts w:hint="eastAsia" w:cs="Times New Roman"/>
                <w:b/>
                <w:color w:val="FF0000"/>
                <w:sz w:val="21"/>
                <w:szCs w:val="21"/>
                <w:highlight w:val="none"/>
                <w:lang w:val="en-US" w:eastAsia="zh-CN"/>
              </w:rPr>
              <w:t>工程占地</w:t>
            </w:r>
            <w:r>
              <w:rPr>
                <w:rFonts w:hint="eastAsia" w:eastAsia="宋体" w:cs="Times New Roman"/>
                <w:b/>
                <w:color w:val="FF0000"/>
                <w:sz w:val="21"/>
                <w:szCs w:val="21"/>
                <w:highlight w:val="none"/>
                <w:lang w:val="en-US" w:eastAsia="zh-CN"/>
              </w:rPr>
              <w:t>一览表</w:t>
            </w:r>
            <w:r>
              <w:rPr>
                <w:rFonts w:hint="eastAsia" w:cs="Times New Roman"/>
                <w:b/>
                <w:color w:val="FF0000"/>
                <w:sz w:val="21"/>
                <w:szCs w:val="21"/>
                <w:highlight w:val="none"/>
                <w:lang w:val="en-US" w:eastAsia="zh-CN"/>
              </w:rPr>
              <w:t>（</w:t>
            </w:r>
            <w:r>
              <w:rPr>
                <w:rFonts w:hint="default" w:ascii="Times New Roman" w:hAnsi="Times New Roman" w:eastAsia="宋体" w:cs="Times New Roman"/>
                <w:b/>
                <w:bCs w:val="0"/>
                <w:color w:val="FF0000"/>
                <w:sz w:val="21"/>
                <w:szCs w:val="21"/>
                <w:highlight w:val="none"/>
              </w:rPr>
              <w:t>单位：m</w:t>
            </w:r>
            <w:r>
              <w:rPr>
                <w:rFonts w:hint="default" w:ascii="Times New Roman" w:hAnsi="Times New Roman" w:eastAsia="宋体" w:cs="Times New Roman"/>
                <w:b/>
                <w:bCs w:val="0"/>
                <w:color w:val="FF0000"/>
                <w:sz w:val="21"/>
                <w:szCs w:val="21"/>
                <w:highlight w:val="none"/>
                <w:vertAlign w:val="superscript"/>
              </w:rPr>
              <w:t>2</w:t>
            </w:r>
            <w:r>
              <w:rPr>
                <w:rFonts w:hint="eastAsia" w:cs="Times New Roman"/>
                <w:b/>
                <w:color w:val="FF0000"/>
                <w:sz w:val="21"/>
                <w:szCs w:val="21"/>
                <w:highlight w:val="none"/>
                <w:lang w:val="en-US" w:eastAsia="zh-CN"/>
              </w:rPr>
              <w:t>）</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30" w:type="dxa"/>
                <w:bottom w:w="0" w:type="dxa"/>
                <w:right w:w="30" w:type="dxa"/>
              </w:tblCellMar>
            </w:tblPr>
            <w:tblGrid>
              <w:gridCol w:w="2444"/>
              <w:gridCol w:w="1048"/>
              <w:gridCol w:w="1130"/>
              <w:gridCol w:w="1179"/>
              <w:gridCol w:w="1181"/>
              <w:gridCol w:w="117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246" w:hRule="atLeast"/>
                <w:jc w:val="center"/>
              </w:trPr>
              <w:tc>
                <w:tcPr>
                  <w:tcW w:w="1497"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FF0000"/>
                      <w:kern w:val="0"/>
                      <w:sz w:val="21"/>
                      <w:szCs w:val="21"/>
                      <w:highlight w:val="none"/>
                    </w:rPr>
                  </w:pPr>
                  <w:r>
                    <w:rPr>
                      <w:rFonts w:hint="default" w:ascii="Times New Roman" w:hAnsi="Times New Roman" w:cs="Times New Roman"/>
                      <w:b/>
                      <w:color w:val="FF0000"/>
                      <w:kern w:val="0"/>
                      <w:sz w:val="21"/>
                      <w:szCs w:val="21"/>
                      <w:highlight w:val="none"/>
                    </w:rPr>
                    <w:t>名称</w:t>
                  </w:r>
                </w:p>
              </w:tc>
              <w:tc>
                <w:tcPr>
                  <w:tcW w:w="1334" w:type="pct"/>
                  <w:gridSpan w:val="2"/>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FF0000"/>
                      <w:kern w:val="0"/>
                      <w:sz w:val="21"/>
                      <w:szCs w:val="21"/>
                      <w:highlight w:val="none"/>
                    </w:rPr>
                  </w:pPr>
                  <w:r>
                    <w:rPr>
                      <w:rFonts w:hint="default" w:ascii="Times New Roman" w:hAnsi="Times New Roman" w:cs="Times New Roman"/>
                      <w:b/>
                      <w:color w:val="FF0000"/>
                      <w:kern w:val="0"/>
                      <w:sz w:val="21"/>
                      <w:szCs w:val="21"/>
                      <w:highlight w:val="none"/>
                    </w:rPr>
                    <w:t>占地性质</w:t>
                  </w:r>
                </w:p>
              </w:tc>
              <w:tc>
                <w:tcPr>
                  <w:tcW w:w="1445" w:type="pct"/>
                  <w:gridSpan w:val="2"/>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color w:val="FF0000"/>
                      <w:kern w:val="0"/>
                      <w:sz w:val="21"/>
                      <w:szCs w:val="21"/>
                      <w:highlight w:val="none"/>
                      <w:lang w:val="en-US" w:eastAsia="zh-CN"/>
                    </w:rPr>
                  </w:pPr>
                  <w:r>
                    <w:rPr>
                      <w:rFonts w:hint="eastAsia" w:ascii="Times New Roman" w:hAnsi="Times New Roman" w:cs="Times New Roman"/>
                      <w:b/>
                      <w:color w:val="FF0000"/>
                      <w:kern w:val="0"/>
                      <w:sz w:val="21"/>
                      <w:szCs w:val="21"/>
                      <w:highlight w:val="none"/>
                      <w:lang w:val="en-US" w:eastAsia="zh-CN"/>
                    </w:rPr>
                    <w:t>占地类型</w:t>
                  </w:r>
                </w:p>
              </w:tc>
              <w:tc>
                <w:tcPr>
                  <w:tcW w:w="722"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FF0000"/>
                      <w:kern w:val="0"/>
                      <w:sz w:val="21"/>
                      <w:szCs w:val="21"/>
                      <w:highlight w:val="none"/>
                      <w:lang w:val="en-US" w:eastAsia="zh-CN"/>
                    </w:rPr>
                  </w:pPr>
                  <w:r>
                    <w:rPr>
                      <w:rFonts w:hint="eastAsia" w:ascii="Times New Roman" w:hAnsi="Times New Roman" w:cs="Times New Roman"/>
                      <w:b/>
                      <w:color w:val="FF0000"/>
                      <w:kern w:val="0"/>
                      <w:sz w:val="21"/>
                      <w:szCs w:val="21"/>
                      <w:highlight w:val="none"/>
                      <w:lang w:val="en-US" w:eastAsia="zh-CN"/>
                    </w:rPr>
                    <w:t>合计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246" w:hRule="atLeast"/>
                <w:jc w:val="center"/>
              </w:trPr>
              <w:tc>
                <w:tcPr>
                  <w:tcW w:w="149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FF0000"/>
                      <w:kern w:val="0"/>
                      <w:sz w:val="21"/>
                      <w:szCs w:val="21"/>
                      <w:highlight w:val="none"/>
                    </w:rPr>
                  </w:pPr>
                </w:p>
              </w:tc>
              <w:tc>
                <w:tcPr>
                  <w:tcW w:w="64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FF0000"/>
                      <w:kern w:val="0"/>
                      <w:sz w:val="21"/>
                      <w:szCs w:val="21"/>
                      <w:highlight w:val="none"/>
                    </w:rPr>
                  </w:pPr>
                  <w:r>
                    <w:rPr>
                      <w:rFonts w:hint="default" w:ascii="Times New Roman" w:hAnsi="Times New Roman" w:eastAsia="宋体" w:cs="Times New Roman"/>
                      <w:b/>
                      <w:bCs/>
                      <w:color w:val="FF0000"/>
                      <w:lang w:val="en-US" w:eastAsia="zh-CN"/>
                    </w:rPr>
                    <w:t>永久占地</w:t>
                  </w:r>
                </w:p>
              </w:tc>
              <w:tc>
                <w:tcPr>
                  <w:tcW w:w="69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FF0000"/>
                      <w:kern w:val="0"/>
                      <w:sz w:val="21"/>
                      <w:szCs w:val="21"/>
                      <w:highlight w:val="none"/>
                    </w:rPr>
                  </w:pPr>
                  <w:r>
                    <w:rPr>
                      <w:rFonts w:hint="default" w:ascii="Times New Roman" w:hAnsi="Times New Roman" w:eastAsia="宋体" w:cs="Times New Roman"/>
                      <w:b/>
                      <w:bCs/>
                      <w:color w:val="FF0000"/>
                      <w:lang w:val="en-US" w:eastAsia="zh-CN"/>
                    </w:rPr>
                    <w:t>临时占地</w:t>
                  </w:r>
                </w:p>
              </w:tc>
              <w:tc>
                <w:tcPr>
                  <w:tcW w:w="72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FF0000"/>
                      <w:kern w:val="0"/>
                      <w:sz w:val="21"/>
                      <w:szCs w:val="21"/>
                      <w:highlight w:val="none"/>
                      <w:lang w:val="en-US" w:eastAsia="zh-CN"/>
                    </w:rPr>
                  </w:pPr>
                  <w:r>
                    <w:rPr>
                      <w:rFonts w:hint="eastAsia" w:ascii="Times New Roman" w:hAnsi="Times New Roman" w:cs="Times New Roman"/>
                      <w:b/>
                      <w:bCs/>
                      <w:color w:val="FF0000"/>
                      <w:kern w:val="0"/>
                      <w:sz w:val="21"/>
                      <w:szCs w:val="21"/>
                      <w:highlight w:val="none"/>
                      <w:lang w:val="en-US" w:eastAsia="zh-CN"/>
                    </w:rPr>
                    <w:t>基本农田</w:t>
                  </w:r>
                </w:p>
              </w:tc>
              <w:tc>
                <w:tcPr>
                  <w:tcW w:w="72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FF0000"/>
                      <w:kern w:val="0"/>
                      <w:sz w:val="21"/>
                      <w:szCs w:val="21"/>
                      <w:highlight w:val="none"/>
                      <w:lang w:val="en-US" w:eastAsia="zh-CN"/>
                    </w:rPr>
                  </w:pPr>
                  <w:r>
                    <w:rPr>
                      <w:rFonts w:hint="eastAsia" w:ascii="Times New Roman" w:hAnsi="Times New Roman" w:cs="Times New Roman"/>
                      <w:b/>
                      <w:color w:val="FF0000"/>
                      <w:kern w:val="0"/>
                      <w:sz w:val="21"/>
                      <w:szCs w:val="21"/>
                      <w:highlight w:val="none"/>
                      <w:lang w:val="en-US" w:eastAsia="zh-CN"/>
                    </w:rPr>
                    <w:t>一般耕地</w:t>
                  </w:r>
                </w:p>
              </w:tc>
              <w:tc>
                <w:tcPr>
                  <w:tcW w:w="72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color w:val="FF0000"/>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183" w:hRule="atLeast"/>
                <w:jc w:val="center"/>
              </w:trPr>
              <w:tc>
                <w:tcPr>
                  <w:tcW w:w="149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塔基区（含塔基施工区）</w:t>
                  </w:r>
                </w:p>
              </w:tc>
              <w:tc>
                <w:tcPr>
                  <w:tcW w:w="642"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5864.63</w:t>
                  </w:r>
                </w:p>
              </w:tc>
              <w:tc>
                <w:tcPr>
                  <w:tcW w:w="692"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110295.37</w:t>
                  </w:r>
                </w:p>
              </w:tc>
              <w:tc>
                <w:tcPr>
                  <w:tcW w:w="722" w:type="pct"/>
                  <w:tcBorders>
                    <w:bottom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80902</w:t>
                  </w:r>
                </w:p>
              </w:tc>
              <w:tc>
                <w:tcPr>
                  <w:tcW w:w="722" w:type="pct"/>
                  <w:tcBorders>
                    <w:bottom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35258</w:t>
                  </w:r>
                </w:p>
              </w:tc>
              <w:tc>
                <w:tcPr>
                  <w:tcW w:w="722" w:type="pct"/>
                  <w:tcBorders>
                    <w:bottom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116160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192" w:hRule="atLeast"/>
                <w:jc w:val="center"/>
              </w:trPr>
              <w:tc>
                <w:tcPr>
                  <w:tcW w:w="149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highlight w:val="none"/>
                      <w:lang w:val="en-GB"/>
                    </w:rPr>
                  </w:pPr>
                  <w:r>
                    <w:rPr>
                      <w:rFonts w:hint="default" w:ascii="Times New Roman" w:hAnsi="Times New Roman" w:eastAsia="宋体" w:cs="Times New Roman"/>
                      <w:color w:val="FF0000"/>
                      <w:sz w:val="21"/>
                      <w:szCs w:val="21"/>
                      <w:highlight w:val="none"/>
                      <w:lang w:val="en-US" w:eastAsia="zh-CN"/>
                    </w:rPr>
                    <w:t>牵张场地</w:t>
                  </w:r>
                </w:p>
              </w:tc>
              <w:tc>
                <w:tcPr>
                  <w:tcW w:w="642" w:type="pct"/>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692" w:type="pct"/>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10920</w:t>
                  </w:r>
                </w:p>
              </w:tc>
              <w:tc>
                <w:tcPr>
                  <w:tcW w:w="722" w:type="pct"/>
                  <w:tcBorders>
                    <w:top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7098</w:t>
                  </w:r>
                </w:p>
              </w:tc>
              <w:tc>
                <w:tcPr>
                  <w:tcW w:w="722" w:type="pct"/>
                  <w:tcBorders>
                    <w:top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3822</w:t>
                  </w:r>
                </w:p>
              </w:tc>
              <w:tc>
                <w:tcPr>
                  <w:tcW w:w="722" w:type="pct"/>
                  <w:tcBorders>
                    <w:top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10920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90" w:hRule="atLeast"/>
                <w:jc w:val="center"/>
              </w:trPr>
              <w:tc>
                <w:tcPr>
                  <w:tcW w:w="149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highlight w:val="none"/>
                      <w:lang w:val="en-GB"/>
                    </w:rPr>
                  </w:pPr>
                  <w:r>
                    <w:rPr>
                      <w:rFonts w:hint="default" w:ascii="Times New Roman" w:hAnsi="Times New Roman" w:eastAsia="宋体" w:cs="Times New Roman"/>
                      <w:color w:val="FF0000"/>
                      <w:sz w:val="21"/>
                      <w:szCs w:val="21"/>
                      <w:highlight w:val="none"/>
                      <w:lang w:val="en-US" w:eastAsia="zh-CN"/>
                    </w:rPr>
                    <w:t>施工便道</w:t>
                  </w:r>
                </w:p>
              </w:tc>
              <w:tc>
                <w:tcPr>
                  <w:tcW w:w="642" w:type="pct"/>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692" w:type="pct"/>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128420.1</w:t>
                  </w:r>
                </w:p>
              </w:tc>
              <w:tc>
                <w:tcPr>
                  <w:tcW w:w="722" w:type="pct"/>
                  <w:tcBorders>
                    <w:top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95357.63</w:t>
                  </w:r>
                </w:p>
              </w:tc>
              <w:tc>
                <w:tcPr>
                  <w:tcW w:w="722" w:type="pct"/>
                  <w:tcBorders>
                    <w:top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33062.47</w:t>
                  </w:r>
                </w:p>
              </w:tc>
              <w:tc>
                <w:tcPr>
                  <w:tcW w:w="722" w:type="pct"/>
                  <w:tcBorders>
                    <w:top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128420.1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20" w:hRule="atLeast"/>
                <w:jc w:val="center"/>
              </w:trPr>
              <w:tc>
                <w:tcPr>
                  <w:tcW w:w="149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highlight w:val="none"/>
                      <w:lang w:val="en-GB"/>
                    </w:rPr>
                  </w:pPr>
                  <w:r>
                    <w:rPr>
                      <w:rFonts w:hint="default" w:ascii="Times New Roman" w:hAnsi="Times New Roman" w:eastAsia="宋体" w:cs="Times New Roman"/>
                      <w:color w:val="FF0000"/>
                      <w:sz w:val="21"/>
                      <w:szCs w:val="21"/>
                      <w:highlight w:val="none"/>
                      <w:lang w:val="en-GB"/>
                    </w:rPr>
                    <w:t>合计</w:t>
                  </w:r>
                </w:p>
              </w:tc>
              <w:tc>
                <w:tcPr>
                  <w:tcW w:w="6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5864.63</w:t>
                  </w:r>
                </w:p>
              </w:tc>
              <w:tc>
                <w:tcPr>
                  <w:tcW w:w="6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249635.47</w:t>
                  </w:r>
                </w:p>
              </w:tc>
              <w:tc>
                <w:tcPr>
                  <w:tcW w:w="722"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183357.63</w:t>
                  </w:r>
                </w:p>
              </w:tc>
              <w:tc>
                <w:tcPr>
                  <w:tcW w:w="722"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72142.47</w:t>
                  </w:r>
                </w:p>
              </w:tc>
              <w:tc>
                <w:tcPr>
                  <w:tcW w:w="722"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255500.1</w:t>
                  </w:r>
                </w:p>
              </w:tc>
            </w:tr>
          </w:tbl>
          <w:p>
            <w:pPr>
              <w:keepNext w:val="0"/>
              <w:keepLines w:val="0"/>
              <w:pageBreakBefore w:val="0"/>
              <w:widowControl/>
              <w:numPr>
                <w:ilvl w:val="0"/>
                <w:numId w:val="2"/>
              </w:numPr>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劳动定员及制度</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施工期平均人数为</w:t>
            </w:r>
            <w:r>
              <w:rPr>
                <w:rFonts w:hint="eastAsia" w:ascii="Times New Roman" w:hAnsi="Times New Roman" w:eastAsia="宋体" w:cs="Times New Roman"/>
                <w:color w:val="000000"/>
                <w:sz w:val="24"/>
                <w:szCs w:val="24"/>
                <w:highlight w:val="none"/>
                <w:lang w:val="en-US" w:eastAsia="zh-CN"/>
              </w:rPr>
              <w:t>50</w:t>
            </w:r>
            <w:r>
              <w:rPr>
                <w:rFonts w:hint="default" w:ascii="Times New Roman" w:hAnsi="Times New Roman" w:eastAsia="宋体" w:cs="Times New Roman"/>
                <w:color w:val="000000"/>
                <w:sz w:val="24"/>
                <w:szCs w:val="24"/>
                <w:highlight w:val="none"/>
                <w:lang w:val="en-US" w:eastAsia="zh-CN"/>
              </w:rPr>
              <w:t>人</w:t>
            </w:r>
            <w:r>
              <w:rPr>
                <w:rFonts w:hint="eastAsia" w:ascii="Times New Roman" w:hAnsi="Times New Roman" w:eastAsia="宋体" w:cs="Times New Roman"/>
                <w:color w:val="000000"/>
                <w:sz w:val="24"/>
                <w:szCs w:val="24"/>
                <w:highlight w:val="none"/>
                <w:lang w:val="en-US" w:eastAsia="zh-CN"/>
              </w:rPr>
              <w:t>，</w:t>
            </w:r>
            <w:r>
              <w:rPr>
                <w:rFonts w:hint="eastAsia" w:ascii="Times New Roman" w:hAnsi="Times New Roman" w:cs="Times New Roman"/>
                <w:color w:val="000000"/>
                <w:sz w:val="24"/>
                <w:szCs w:val="24"/>
                <w:highlight w:val="none"/>
                <w:lang w:val="en-US" w:eastAsia="zh-CN"/>
              </w:rPr>
              <w:t>运营期太保变电站仅</w:t>
            </w:r>
            <w:r>
              <w:rPr>
                <w:rFonts w:hint="eastAsia" w:cs="Times New Roman"/>
                <w:color w:val="000000"/>
                <w:sz w:val="24"/>
                <w:szCs w:val="24"/>
                <w:highlight w:val="none"/>
                <w:lang w:val="en-US" w:eastAsia="zh-CN"/>
              </w:rPr>
              <w:t>在预留位置</w:t>
            </w:r>
            <w:r>
              <w:rPr>
                <w:rFonts w:hint="eastAsia" w:ascii="Times New Roman" w:hAnsi="Times New Roman" w:cs="Times New Roman"/>
                <w:color w:val="000000"/>
                <w:sz w:val="24"/>
                <w:szCs w:val="24"/>
                <w:highlight w:val="none"/>
                <w:lang w:val="en-US" w:eastAsia="zh-CN"/>
              </w:rPr>
              <w:t>扩建出线间隔，依托原有员工和工作制度，不新增人员。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09" w:hRule="atLeast"/>
          <w:jc w:val="center"/>
        </w:trPr>
        <w:tc>
          <w:tcPr>
            <w:tcW w:w="710" w:type="dxa"/>
            <w:noWrap w:val="0"/>
            <w:vAlign w:val="center"/>
          </w:tcPr>
          <w:p>
            <w:pPr>
              <w:adjustRightInd w:val="0"/>
              <w:snapToGrid w:val="0"/>
              <w:jc w:val="center"/>
              <w:rPr>
                <w:rFonts w:ascii="宋体" w:hAnsi="宋体" w:cs="宋体"/>
                <w:kern w:val="0"/>
                <w:sz w:val="24"/>
                <w:szCs w:val="24"/>
              </w:rPr>
            </w:pPr>
            <w:r>
              <w:rPr>
                <w:rFonts w:hint="eastAsia" w:ascii="宋体" w:hAnsi="宋体" w:cs="宋体"/>
                <w:kern w:val="0"/>
                <w:sz w:val="24"/>
                <w:szCs w:val="24"/>
              </w:rPr>
              <w:t>总平面及现场布置</w:t>
            </w:r>
          </w:p>
        </w:tc>
        <w:tc>
          <w:tcPr>
            <w:tcW w:w="83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eastAsia" w:ascii="Times New Roman" w:hAnsi="Times New Roman" w:eastAsia="宋体" w:cs="Times New Roman"/>
                <w:b/>
                <w:bCs/>
                <w:color w:val="000000"/>
                <w:sz w:val="24"/>
                <w:szCs w:val="24"/>
                <w:highlight w:val="none"/>
                <w:lang w:val="en-US" w:eastAsia="zh-CN"/>
              </w:rPr>
            </w:pPr>
            <w:r>
              <w:rPr>
                <w:rFonts w:hint="eastAsia" w:cs="Times New Roman"/>
                <w:b/>
                <w:bCs/>
                <w:color w:val="000000"/>
                <w:sz w:val="24"/>
                <w:szCs w:val="24"/>
                <w:highlight w:val="none"/>
                <w:lang w:val="en-US" w:eastAsia="zh-CN"/>
              </w:rPr>
              <w:t>八</w:t>
            </w:r>
            <w:r>
              <w:rPr>
                <w:rFonts w:hint="eastAsia" w:ascii="Times New Roman" w:hAnsi="Times New Roman" w:eastAsia="宋体" w:cs="Times New Roman"/>
                <w:b/>
                <w:bCs/>
                <w:color w:val="000000"/>
                <w:sz w:val="24"/>
                <w:szCs w:val="24"/>
                <w:highlight w:val="none"/>
                <w:lang w:val="en-US" w:eastAsia="zh-CN"/>
              </w:rPr>
              <w:t>、总平面布置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本项目线路由龙煤风电场升压站采用架空线路向南出线，至升压站南侧左转向东前行至升压站东南侧，右转向东南前行至兴业村东侧，右转向东南前行，经合发村西侧、跨过安邦河至永发村西南侧，右转向南前行至高丰村东侧，左转向东南前行，跨过哈同高速公路后，连续右转、左转绕过永久村至永久村南侧，右转向南前行至G211国道北侧，左转向东前行至金沙岗站北侧，连续左转、右转，依次跨过66千伏线路、普通铁路至太保变北侧，右转向南前行，跨过G211国道至福前铁路北侧，右转向西南方向前进至太保变东侧本期新建电缆终端杆，后转为电缆方式沿太保变围墙绕行至太保变南侧本期新建电缆终端杆，采用架空方式向北至太保变220千伏进线间隔止。选线避让住宅、学院、医院、办公楼、工厂等有公众居住、工作或学习的建筑物等电磁环境敏感目标。</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太保220kV变电站站区大门布置在站区西侧，由西侧进站道路引接，站内道路形成环状，宽4.0m，站内建筑为生产综合楼1栋，布置在西侧，220kV配电装置区布置在南侧，主变场区布置在站区中央。本项目太保220kV变电站共扩建1个间隔，为在现有220kV预留间隔内扩建，无需新增用地、扩建围墙等。</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本项目总平面布置分区明确，各区之间相连通，交通便利，总平面布置合理。</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cs="Times New Roman"/>
                <w:b/>
                <w:bCs/>
                <w:color w:val="000000"/>
                <w:sz w:val="24"/>
                <w:szCs w:val="24"/>
                <w:highlight w:val="none"/>
                <w:lang w:val="en-US" w:eastAsia="zh-CN"/>
              </w:rPr>
              <w:t>九</w:t>
            </w:r>
            <w:r>
              <w:rPr>
                <w:rFonts w:hint="eastAsia" w:ascii="Times New Roman" w:hAnsi="Times New Roman" w:eastAsia="宋体" w:cs="Times New Roman"/>
                <w:b/>
                <w:bCs/>
                <w:color w:val="000000"/>
                <w:sz w:val="24"/>
                <w:szCs w:val="24"/>
                <w:highlight w:val="none"/>
                <w:lang w:val="en-US" w:eastAsia="zh-CN"/>
              </w:rPr>
              <w:t>、</w:t>
            </w:r>
            <w:r>
              <w:rPr>
                <w:rFonts w:hint="default" w:ascii="Times New Roman" w:hAnsi="Times New Roman" w:eastAsia="宋体" w:cs="Times New Roman"/>
                <w:b/>
                <w:bCs/>
                <w:color w:val="000000"/>
                <w:sz w:val="24"/>
                <w:szCs w:val="24"/>
                <w:highlight w:val="none"/>
                <w:lang w:val="en-US" w:eastAsia="zh-CN"/>
              </w:rPr>
              <w:t>施工场地布置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根据本</w:t>
            </w:r>
            <w:r>
              <w:rPr>
                <w:rFonts w:hint="eastAsia" w:ascii="Times New Roman" w:hAnsi="Times New Roman" w:eastAsia="宋体" w:cs="Times New Roman"/>
                <w:color w:val="000000"/>
                <w:sz w:val="24"/>
                <w:szCs w:val="24"/>
                <w:highlight w:val="none"/>
                <w:lang w:val="en-US" w:eastAsia="zh-CN"/>
              </w:rPr>
              <w:t>项目</w:t>
            </w:r>
            <w:r>
              <w:rPr>
                <w:rFonts w:hint="default" w:ascii="Times New Roman" w:hAnsi="Times New Roman" w:eastAsia="宋体" w:cs="Times New Roman"/>
                <w:color w:val="000000"/>
                <w:sz w:val="24"/>
                <w:szCs w:val="24"/>
                <w:highlight w:val="none"/>
                <w:lang w:val="en-US" w:eastAsia="zh-CN"/>
              </w:rPr>
              <w:t>特点，在施工布置中考虑以下原则：</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（1）施工总布置遵循因地制宜、有利生产、方便生活、易于管理、安全可靠、经济适用的原则；</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（2）充分考虑</w:t>
            </w:r>
            <w:r>
              <w:rPr>
                <w:rFonts w:hint="eastAsia" w:ascii="Times New Roman" w:hAnsi="Times New Roman" w:eastAsia="宋体" w:cs="Times New Roman"/>
                <w:color w:val="000000"/>
                <w:sz w:val="24"/>
                <w:szCs w:val="24"/>
                <w:highlight w:val="none"/>
                <w:lang w:val="en-US" w:eastAsia="zh-CN"/>
              </w:rPr>
              <w:t>输变电</w:t>
            </w:r>
            <w:r>
              <w:rPr>
                <w:rFonts w:hint="default" w:ascii="Times New Roman" w:hAnsi="Times New Roman" w:eastAsia="宋体" w:cs="Times New Roman"/>
                <w:color w:val="000000"/>
                <w:sz w:val="24"/>
                <w:szCs w:val="24"/>
                <w:highlight w:val="none"/>
                <w:lang w:val="en-US" w:eastAsia="zh-CN"/>
              </w:rPr>
              <w:t>工程布置的特点；</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（3）工程施工期应避免环境污染，符合环保要求；</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（4）根据工程区地形地貌条件，施工布置力求紧凑、节约用地、统筹规划、合理布置施工设施和临建设施，尽可能做到永临结合。</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施工总平面布置应做到科学、合理，充分利用原有建筑物、构筑物、道路、管线为施工服务。</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施工现场布置应尽量靠近已有交通线路或即将修建的正式或临时交通线路，缩短运输距离。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施工现场围墙可采用连续封闭的轻钢结构预制装配式活动围挡，减少建筑垃圾，保护土地。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施工现场道路按照</w:t>
            </w:r>
            <w:r>
              <w:rPr>
                <w:rFonts w:hint="eastAsia" w:ascii="Times New Roman" w:hAnsi="Times New Roman" w:eastAsia="宋体" w:cs="Times New Roman"/>
                <w:color w:val="000000"/>
                <w:sz w:val="24"/>
                <w:szCs w:val="24"/>
                <w:highlight w:val="none"/>
                <w:lang w:val="en-US" w:eastAsia="zh-CN"/>
              </w:rPr>
              <w:t>现有</w:t>
            </w:r>
            <w:r>
              <w:rPr>
                <w:rFonts w:hint="default" w:ascii="Times New Roman" w:hAnsi="Times New Roman" w:eastAsia="宋体" w:cs="Times New Roman"/>
                <w:color w:val="000000"/>
                <w:sz w:val="24"/>
                <w:szCs w:val="24"/>
                <w:highlight w:val="none"/>
                <w:lang w:val="en-US" w:eastAsia="zh-CN"/>
              </w:rPr>
              <w:t>道路和临时道路相结合的原则布置。施工现场内形成环形通路，减少道路占用土地。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710" w:type="dxa"/>
            <w:noWrap w:val="0"/>
            <w:vAlign w:val="center"/>
          </w:tcPr>
          <w:p>
            <w:pPr>
              <w:adjustRightInd w:val="0"/>
              <w:snapToGrid w:val="0"/>
              <w:jc w:val="center"/>
              <w:rPr>
                <w:rFonts w:ascii="宋体" w:hAnsi="宋体" w:cs="宋体"/>
                <w:kern w:val="0"/>
                <w:sz w:val="24"/>
                <w:szCs w:val="24"/>
              </w:rPr>
            </w:pPr>
            <w:r>
              <w:rPr>
                <w:rFonts w:hint="eastAsia" w:ascii="宋体" w:hAnsi="宋体" w:cs="宋体"/>
                <w:kern w:val="0"/>
                <w:sz w:val="24"/>
                <w:szCs w:val="24"/>
              </w:rPr>
              <w:t>施工方案</w:t>
            </w:r>
          </w:p>
        </w:tc>
        <w:tc>
          <w:tcPr>
            <w:tcW w:w="83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cs="Times New Roman"/>
                <w:b/>
                <w:bCs/>
                <w:color w:val="000000"/>
                <w:sz w:val="24"/>
                <w:szCs w:val="24"/>
                <w:highlight w:val="none"/>
                <w:lang w:val="en-US" w:eastAsia="zh-CN"/>
              </w:rPr>
              <w:t>十</w:t>
            </w:r>
            <w:r>
              <w:rPr>
                <w:rFonts w:hint="eastAsia" w:ascii="Times New Roman" w:hAnsi="Times New Roman" w:eastAsia="宋体" w:cs="Times New Roman"/>
                <w:b/>
                <w:bCs/>
                <w:color w:val="000000"/>
                <w:sz w:val="24"/>
                <w:szCs w:val="24"/>
                <w:highlight w:val="none"/>
                <w:lang w:val="en-US" w:eastAsia="zh-CN"/>
              </w:rPr>
              <w:t>、</w:t>
            </w:r>
            <w:r>
              <w:rPr>
                <w:rFonts w:hint="default" w:ascii="Times New Roman" w:hAnsi="Times New Roman" w:eastAsia="宋体" w:cs="Times New Roman"/>
                <w:b/>
                <w:bCs/>
                <w:color w:val="000000"/>
                <w:sz w:val="24"/>
                <w:szCs w:val="24"/>
                <w:highlight w:val="none"/>
                <w:lang w:val="en-US" w:eastAsia="zh-CN"/>
              </w:rPr>
              <w:t>施工工艺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1、线路工程工艺流程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eastAsia="宋体" w:cs="Times New Roman"/>
                <w:color w:val="000000"/>
                <w:sz w:val="24"/>
                <w:szCs w:val="24"/>
                <w:highlight w:val="none"/>
                <w:lang w:val="en-US" w:eastAsia="zh-CN"/>
              </w:rPr>
            </w:pPr>
            <w:r>
              <w:rPr>
                <w:color w:val="000000"/>
              </w:rPr>
              <w:drawing>
                <wp:inline distT="0" distB="0" distL="114300" distR="114300">
                  <wp:extent cx="4395470" cy="1595120"/>
                  <wp:effectExtent l="0" t="0" r="5080" b="508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4"/>
                          <a:srcRect t="9497"/>
                          <a:stretch>
                            <a:fillRect/>
                          </a:stretch>
                        </pic:blipFill>
                        <pic:spPr>
                          <a:xfrm>
                            <a:off x="0" y="0"/>
                            <a:ext cx="4395470" cy="159512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b/>
                <w:color w:val="000000"/>
                <w:sz w:val="21"/>
                <w:szCs w:val="21"/>
              </w:rPr>
              <w:t>图</w:t>
            </w:r>
            <w:r>
              <w:rPr>
                <w:rFonts w:ascii="Times New Roman" w:hAnsi="Times New Roman"/>
                <w:b/>
                <w:color w:val="000000"/>
                <w:sz w:val="21"/>
                <w:szCs w:val="21"/>
              </w:rPr>
              <w:t>2-</w:t>
            </w:r>
            <w:r>
              <w:rPr>
                <w:rFonts w:hint="eastAsia" w:ascii="Times New Roman" w:hAnsi="Times New Roman"/>
                <w:b/>
                <w:color w:val="000000"/>
                <w:sz w:val="21"/>
                <w:szCs w:val="21"/>
                <w:lang w:val="en-US" w:eastAsia="zh-CN"/>
              </w:rPr>
              <w:t>3</w:t>
            </w:r>
            <w:r>
              <w:rPr>
                <w:rFonts w:ascii="Times New Roman" w:hAnsi="Times New Roman"/>
                <w:b/>
                <w:color w:val="000000"/>
                <w:sz w:val="21"/>
                <w:szCs w:val="21"/>
              </w:rPr>
              <w:t xml:space="preserve"> </w:t>
            </w:r>
            <w:r>
              <w:rPr>
                <w:rFonts w:hint="eastAsia"/>
                <w:b/>
                <w:color w:val="000000"/>
                <w:sz w:val="21"/>
                <w:szCs w:val="21"/>
                <w:lang w:val="en-US" w:eastAsia="zh-CN"/>
              </w:rPr>
              <w:t xml:space="preserve"> </w:t>
            </w:r>
            <w:r>
              <w:rPr>
                <w:rFonts w:hint="eastAsia" w:ascii="Times New Roman" w:hAnsi="Times New Roman"/>
                <w:b/>
                <w:color w:val="000000"/>
                <w:sz w:val="21"/>
                <w:szCs w:val="21"/>
              </w:rPr>
              <w:t>输电线路工艺流程图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输电线路施工主要包括：施工准备、基础施工、杆塔组立和线路架设（放线）等阶段组成。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（1）施工准备</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施工准备阶段主要是施工备料及临时道路的施工，本</w:t>
            </w:r>
            <w:r>
              <w:rPr>
                <w:rFonts w:hint="eastAsia" w:cs="Times New Roman"/>
                <w:color w:val="000000"/>
                <w:sz w:val="24"/>
                <w:szCs w:val="24"/>
                <w:highlight w:val="none"/>
                <w:lang w:val="en-US" w:eastAsia="zh-CN"/>
              </w:rPr>
              <w:t>项目</w:t>
            </w:r>
            <w:r>
              <w:rPr>
                <w:rFonts w:hint="default" w:ascii="Times New Roman" w:hAnsi="Times New Roman" w:eastAsia="宋体" w:cs="Times New Roman"/>
                <w:color w:val="000000"/>
                <w:sz w:val="24"/>
                <w:szCs w:val="24"/>
                <w:highlight w:val="none"/>
                <w:lang w:val="en-US" w:eastAsia="zh-CN"/>
              </w:rPr>
              <w:t>线路交通比较方便，材料运输尽量利用已有公路。</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lang w:val="en-US" w:eastAsia="zh-CN"/>
              </w:rPr>
              <w:t>基础施工</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fldChar w:fldCharType="begin"/>
            </w:r>
            <w:r>
              <w:rPr>
                <w:rFonts w:hint="default" w:ascii="Times New Roman" w:hAnsi="Times New Roman" w:eastAsia="宋体" w:cs="Times New Roman"/>
                <w:color w:val="000000"/>
                <w:sz w:val="24"/>
                <w:szCs w:val="24"/>
                <w:highlight w:val="none"/>
                <w:lang w:val="en-US" w:eastAsia="zh-CN"/>
              </w:rPr>
              <w:instrText xml:space="preserve"> = 1 \* GB3 </w:instrText>
            </w:r>
            <w:r>
              <w:rPr>
                <w:rFonts w:hint="default" w:ascii="Times New Roman" w:hAnsi="Times New Roman" w:eastAsia="宋体" w:cs="Times New Roman"/>
                <w:color w:val="000000"/>
                <w:sz w:val="24"/>
                <w:szCs w:val="24"/>
                <w:highlight w:val="none"/>
                <w:lang w:val="en-US" w:eastAsia="zh-CN"/>
              </w:rPr>
              <w:fldChar w:fldCharType="separate"/>
            </w:r>
            <w:r>
              <w:rPr>
                <w:rFonts w:hint="default" w:ascii="Times New Roman" w:hAnsi="Times New Roman" w:eastAsia="宋体" w:cs="Times New Roman"/>
                <w:color w:val="000000"/>
                <w:sz w:val="24"/>
                <w:szCs w:val="24"/>
                <w:highlight w:val="none"/>
                <w:lang w:val="en-US" w:eastAsia="zh-CN"/>
              </w:rPr>
              <w:t>①</w:t>
            </w:r>
            <w:r>
              <w:rPr>
                <w:rFonts w:hint="default" w:ascii="Times New Roman" w:hAnsi="Times New Roman" w:eastAsia="宋体" w:cs="Times New Roman"/>
                <w:color w:val="000000"/>
                <w:sz w:val="24"/>
                <w:szCs w:val="24"/>
                <w:highlight w:val="none"/>
                <w:lang w:val="en-US" w:eastAsia="zh-CN"/>
              </w:rPr>
              <w:fldChar w:fldCharType="end"/>
            </w:r>
            <w:r>
              <w:rPr>
                <w:rFonts w:hint="default" w:ascii="Times New Roman" w:hAnsi="Times New Roman" w:eastAsia="宋体" w:cs="Times New Roman"/>
                <w:color w:val="000000"/>
                <w:sz w:val="24"/>
                <w:szCs w:val="24"/>
                <w:highlight w:val="none"/>
                <w:lang w:val="en-US" w:eastAsia="zh-CN"/>
              </w:rPr>
              <w:t>基坑开挖</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基坑开挖采用人工开挖配合机械开挖方式，基坑开挖深度在2.0m-3.0m之间。施工时先以机械开挖基槽，再辅助人工修整基础边坡基槽底。</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②浇筑混凝土基础及养护</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在挖好的基坑放置钢筋笼，支好钢模板后，进行混凝土浇筑。基础混凝土采用机械搅拌，机械振捣。基础施工时，做碎石垫层或素混凝土。根据采用基础型式的不同，转角塔基础顶高出地面20cm，直线塔基础顶高出地面30cm。在基础浇筑后进行人工或自然养护。</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③基坑回填</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待混凝土达到一定测试混凝土强度后，拆除基础模板，进行土方回填。基坑回填采取分层夯实，每回填300mm厚度夯实一次。坑口的地面上应筑防沉层，防沉层的上部边宽不得小于坑口边宽，其高度根据土质夯实程度确定，一般为300～500mm。经过沉降后及时补填夯实，坑口回填土不低</w:t>
            </w:r>
            <w:r>
              <w:rPr>
                <w:rFonts w:hint="eastAsia" w:ascii="Times New Roman" w:hAnsi="Times New Roman" w:eastAsia="宋体" w:cs="Times New Roman"/>
                <w:color w:val="000000"/>
                <w:sz w:val="24"/>
                <w:szCs w:val="24"/>
                <w:highlight w:val="none"/>
                <w:lang w:val="en-US" w:eastAsia="zh-CN"/>
              </w:rPr>
              <w:t>于</w:t>
            </w:r>
            <w:r>
              <w:rPr>
                <w:rFonts w:hint="default" w:ascii="Times New Roman" w:hAnsi="Times New Roman" w:eastAsia="宋体" w:cs="Times New Roman"/>
                <w:color w:val="000000"/>
                <w:sz w:val="24"/>
                <w:szCs w:val="24"/>
                <w:highlight w:val="none"/>
                <w:lang w:val="en-US" w:eastAsia="zh-CN"/>
              </w:rPr>
              <w:t>地面。</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（2）</w:t>
            </w:r>
            <w:r>
              <w:rPr>
                <w:rFonts w:hint="eastAsia" w:cs="Times New Roman"/>
                <w:color w:val="000000"/>
                <w:sz w:val="24"/>
                <w:szCs w:val="24"/>
                <w:highlight w:val="none"/>
                <w:lang w:val="en-US" w:eastAsia="zh-CN"/>
              </w:rPr>
              <w:t>杆</w:t>
            </w:r>
            <w:r>
              <w:rPr>
                <w:rFonts w:hint="default" w:ascii="Times New Roman" w:hAnsi="Times New Roman" w:eastAsia="宋体" w:cs="Times New Roman"/>
                <w:color w:val="000000"/>
                <w:sz w:val="24"/>
                <w:szCs w:val="24"/>
                <w:highlight w:val="none"/>
                <w:lang w:val="en-US" w:eastAsia="zh-CN"/>
              </w:rPr>
              <w:t>塔</w:t>
            </w:r>
            <w:r>
              <w:rPr>
                <w:rFonts w:hint="eastAsia" w:cs="Times New Roman"/>
                <w:color w:val="000000"/>
                <w:sz w:val="24"/>
                <w:szCs w:val="24"/>
                <w:highlight w:val="none"/>
                <w:lang w:val="en-US" w:eastAsia="zh-CN"/>
              </w:rPr>
              <w:t>组立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杆塔安装施工采用分解组塔的施工方法。在实际施工过程中，根据铁塔的形式、高度、重量以及施工场地、施工设备等施工现场情况，确定正装分解组塔或倒装分解组塔。利用支立抱杆，吊装铁塔构件，抱杆通过牵引绳的连接拉动，随铁塔高度的增高而上升，各个构件顶端和底部支脚利用螺栓连接。在跨越公路时采取两侧架设脚手架的措施进行跨越。</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lang w:val="en-US" w:eastAsia="zh-CN"/>
              </w:rPr>
              <w:t>架线</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挂导线采用牵引机、张力机，将架线施工的架空输电线路划分若干段，在每一段的一端布设导线轴、线轴架、主张力机及其他相关设备材料，组成一个作业场地，为张力场；在另一端设牵引绳、钢绳卷车、主牵引机及其他相关设备材料，组成另外一个作业场地，为牵引场。在两场之间的每基杆塔，包括直线杆塔和耐张杆塔上悬挂放线滑车，以沿线路牵放导引绳、牵引绳和导线而形成防线施工段。架线工程按一个前进方向沿施工段顺序施工。</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2、电缆工程施工工艺流程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FF0000"/>
                <w:sz w:val="24"/>
                <w:szCs w:val="24"/>
                <w:highlight w:val="none"/>
                <w:lang w:val="en-US" w:eastAsia="zh-CN"/>
              </w:rPr>
            </w:pPr>
            <w:r>
              <w:rPr>
                <w:color w:val="FF0000"/>
              </w:rPr>
              <w:drawing>
                <wp:inline distT="0" distB="0" distL="114300" distR="114300">
                  <wp:extent cx="5176520" cy="835660"/>
                  <wp:effectExtent l="0" t="0" r="5080" b="2540"/>
                  <wp:docPr id="1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
                          <pic:cNvPicPr>
                            <a:picLocks noChangeAspect="1"/>
                          </pic:cNvPicPr>
                        </pic:nvPicPr>
                        <pic:blipFill>
                          <a:blip r:embed="rId15"/>
                          <a:stretch>
                            <a:fillRect/>
                          </a:stretch>
                        </pic:blipFill>
                        <pic:spPr>
                          <a:xfrm>
                            <a:off x="0" y="0"/>
                            <a:ext cx="5176520" cy="83566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b/>
                <w:color w:val="000000" w:themeColor="text1"/>
                <w:sz w:val="21"/>
                <w:szCs w:val="21"/>
                <w14:textFill>
                  <w14:solidFill>
                    <w14:schemeClr w14:val="tx1"/>
                  </w14:solidFill>
                </w14:textFill>
              </w:rPr>
              <w:t>图</w:t>
            </w:r>
            <w:r>
              <w:rPr>
                <w:rFonts w:ascii="Times New Roman" w:hAnsi="Times New Roman"/>
                <w:b/>
                <w:color w:val="000000" w:themeColor="text1"/>
                <w:sz w:val="21"/>
                <w:szCs w:val="21"/>
                <w14:textFill>
                  <w14:solidFill>
                    <w14:schemeClr w14:val="tx1"/>
                  </w14:solidFill>
                </w14:textFill>
              </w:rPr>
              <w:t>2-</w:t>
            </w:r>
            <w:r>
              <w:rPr>
                <w:rFonts w:hint="eastAsia" w:ascii="Times New Roman" w:hAnsi="Times New Roman"/>
                <w:b/>
                <w:color w:val="000000" w:themeColor="text1"/>
                <w:sz w:val="21"/>
                <w:szCs w:val="21"/>
                <w:lang w:val="en-US" w:eastAsia="zh-CN"/>
                <w14:textFill>
                  <w14:solidFill>
                    <w14:schemeClr w14:val="tx1"/>
                  </w14:solidFill>
                </w14:textFill>
              </w:rPr>
              <w:t>4</w:t>
            </w:r>
            <w:r>
              <w:rPr>
                <w:rFonts w:ascii="Times New Roman" w:hAnsi="Times New Roman"/>
                <w:b/>
                <w:color w:val="000000" w:themeColor="text1"/>
                <w:sz w:val="21"/>
                <w:szCs w:val="21"/>
                <w14:textFill>
                  <w14:solidFill>
                    <w14:schemeClr w14:val="tx1"/>
                  </w14:solidFill>
                </w14:textFill>
              </w:rPr>
              <w:t xml:space="preserve"> </w:t>
            </w:r>
            <w:r>
              <w:rPr>
                <w:rFonts w:hint="eastAsia" w:ascii="Times New Roman" w:hAnsi="Times New Roman"/>
                <w:b/>
                <w:color w:val="000000" w:themeColor="text1"/>
                <w:sz w:val="21"/>
                <w:szCs w:val="21"/>
                <w:lang w:val="en-US" w:eastAsia="zh-CN"/>
                <w14:textFill>
                  <w14:solidFill>
                    <w14:schemeClr w14:val="tx1"/>
                  </w14:solidFill>
                </w14:textFill>
              </w:rPr>
              <w:t>电缆工程施工</w:t>
            </w:r>
            <w:r>
              <w:rPr>
                <w:rFonts w:hint="eastAsia" w:ascii="Times New Roman" w:hAnsi="Times New Roman"/>
                <w:b/>
                <w:color w:val="000000" w:themeColor="text1"/>
                <w:sz w:val="21"/>
                <w:szCs w:val="21"/>
                <w14:textFill>
                  <w14:solidFill>
                    <w14:schemeClr w14:val="tx1"/>
                  </w14:solidFill>
                </w14:textFill>
              </w:rPr>
              <w:t>期工艺流程图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电缆工程</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施工主要包括：</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测量放线；沟槽开挖；基底处理；电缆敷设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等阶段组成。</w:t>
            </w:r>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（1）测量放线</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根据设计中线及给定的座标、相对位置和高程准确地测定线路的中线、标高及开挖边线，经核对无误后方可进行施工。</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（2）沟槽开挖</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电缆沟埋深超过2米，计划采用机械开挖，然后预留20厘米进行人工清底，以防超挖。沟槽开挖宽度，应比设计宽度每侧加宽0.5米，以便于模板安装和基槽底排水;边坡放坡系数视现场土质情况而定。必要时应加挡土板作边坡支护。</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（3）基底处理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基底开挖后应视地下水情况设置排水明沟，如地下水丰富时，基底应留10~15cm用人工修整，必要时在浇筑垫层砼之前用碎石或石粉渣铺填一层后再施工垫层砼。</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（4）电缆敷设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本工程220kV电缆采用电缆沟槽并套保护管的方式敷设，电缆从塔入地打弯预留一段后进入沟槽敷设，沟槽内回填细沙，沟槽内电缆外套保护管。</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lang w:val="en-US" w:eastAsia="zh-CN"/>
              </w:rPr>
              <w:t>变电站间隔扩建工程施工流程</w:t>
            </w:r>
          </w:p>
          <w:p>
            <w:pPr>
              <w:pStyle w:val="49"/>
              <w:spacing w:line="360" w:lineRule="auto"/>
              <w:ind w:firstLine="480" w:firstLineChars="200"/>
              <w:jc w:val="both"/>
              <w:rPr>
                <w:rFonts w:ascii="Times New Roman" w:hAnsi="Times New Roman"/>
                <w:color w:val="000000"/>
              </w:rPr>
            </w:pPr>
            <w:r>
              <w:rPr>
                <w:rFonts w:ascii="Times New Roman" w:hAnsi="Times New Roman"/>
                <w:color w:val="000000"/>
              </w:rPr>
              <mc:AlternateContent>
                <mc:Choice Requires="wpc">
                  <w:drawing>
                    <wp:inline distT="0" distB="0" distL="114300" distR="114300">
                      <wp:extent cx="4314190" cy="948055"/>
                      <wp:effectExtent l="0" t="0" r="0" b="4445"/>
                      <wp:docPr id="8" name="画布 8"/>
                      <wp:cNvGraphicFramePr/>
                      <a:graphic xmlns:a="http://schemas.openxmlformats.org/drawingml/2006/main">
                        <a:graphicData uri="http://schemas.microsoft.com/office/word/2010/wordprocessingCanvas">
                          <wpc:wpc>
                            <wpc:bg>
                              <a:noFill/>
                            </wpc:bg>
                            <wpc:whole>
                              <a:ln>
                                <a:noFill/>
                              </a:ln>
                            </wpc:whole>
                            <wps:wsp>
                              <wps:cNvPr id="118" name="矩形 118"/>
                              <wps:cNvSpPr>
                                <a:spLocks noChangeArrowheads="1"/>
                              </wps:cNvSpPr>
                              <wps:spPr bwMode="auto">
                                <a:xfrm>
                                  <a:off x="1466850" y="610870"/>
                                  <a:ext cx="728980" cy="285750"/>
                                </a:xfrm>
                                <a:prstGeom prst="rect">
                                  <a:avLst/>
                                </a:prstGeom>
                                <a:solidFill>
                                  <a:srgbClr val="FFFFFF"/>
                                </a:solidFill>
                                <a:ln w="9525">
                                  <a:solidFill>
                                    <a:srgbClr val="000000"/>
                                  </a:solidFill>
                                  <a:miter lim="800000"/>
                                </a:ln>
                                <a:effectLst/>
                              </wps:spPr>
                              <wps:txb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lang w:val="en-US" w:eastAsia="zh-CN"/>
                                      </w:rPr>
                                    </w:pPr>
                                    <w:r>
                                      <w:rPr>
                                        <w:rFonts w:hint="eastAsia"/>
                                        <w:lang w:val="en-US" w:eastAsia="zh-CN"/>
                                      </w:rPr>
                                      <w:t>设备安装</w:t>
                                    </w:r>
                                  </w:p>
                                </w:txbxContent>
                              </wps:txbx>
                              <wps:bodyPr rot="0" vert="horz" wrap="square" lIns="91440" tIns="45720" rIns="91440" bIns="45720" anchor="t" anchorCtr="0" upright="1">
                                <a:noAutofit/>
                              </wps:bodyPr>
                            </wps:wsp>
                            <wps:wsp>
                              <wps:cNvPr id="119" name="矩形 119"/>
                              <wps:cNvSpPr>
                                <a:spLocks noChangeArrowheads="1"/>
                              </wps:cNvSpPr>
                              <wps:spPr bwMode="auto">
                                <a:xfrm>
                                  <a:off x="1433830" y="63500"/>
                                  <a:ext cx="810260" cy="272415"/>
                                </a:xfrm>
                                <a:prstGeom prst="rect">
                                  <a:avLst/>
                                </a:prstGeom>
                                <a:solidFill>
                                  <a:srgbClr val="FFFFFF"/>
                                </a:solidFill>
                                <a:ln w="9525">
                                  <a:solidFill>
                                    <a:srgbClr val="000000"/>
                                  </a:solidFill>
                                  <a:miter lim="800000"/>
                                </a:ln>
                                <a:effectLst/>
                              </wps:spPr>
                              <wps:txb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lang w:val="en-US" w:eastAsia="zh-CN"/>
                                      </w:rPr>
                                    </w:pPr>
                                    <w:r>
                                      <w:rPr>
                                        <w:rFonts w:hint="eastAsia"/>
                                      </w:rPr>
                                      <w:t>噪声</w:t>
                                    </w:r>
                                    <w:r>
                                      <w:rPr>
                                        <w:rFonts w:hint="eastAsia"/>
                                        <w:lang w:eastAsia="zh-CN"/>
                                      </w:rPr>
                                      <w:t>、</w:t>
                                    </w:r>
                                    <w:r>
                                      <w:rPr>
                                        <w:rFonts w:hint="eastAsia"/>
                                        <w:lang w:val="en-US" w:eastAsia="zh-CN"/>
                                      </w:rPr>
                                      <w:t>固废</w:t>
                                    </w:r>
                                  </w:p>
                                </w:txbxContent>
                              </wps:txbx>
                              <wps:bodyPr rot="0" vert="horz" wrap="square" lIns="91440" tIns="45720" rIns="91440" bIns="45720" anchor="t" anchorCtr="0" upright="1">
                                <a:noAutofit/>
                              </wps:bodyPr>
                            </wps:wsp>
                            <wps:wsp>
                              <wps:cNvPr id="121" name="直接箭头连接符 121"/>
                              <wps:cNvCnPr>
                                <a:cxnSpLocks noChangeShapeType="1"/>
                              </wps:cNvCnPr>
                              <wps:spPr bwMode="auto">
                                <a:xfrm flipH="1" flipV="1">
                                  <a:off x="1841500" y="346710"/>
                                  <a:ext cx="635" cy="261620"/>
                                </a:xfrm>
                                <a:prstGeom prst="straightConnector1">
                                  <a:avLst/>
                                </a:prstGeom>
                                <a:noFill/>
                                <a:ln w="9525">
                                  <a:solidFill>
                                    <a:srgbClr val="000000"/>
                                  </a:solidFill>
                                  <a:round/>
                                  <a:tailEnd type="triangle" w="med" len="med"/>
                                </a:ln>
                                <a:effectLst/>
                              </wps:spPr>
                              <wps:bodyPr/>
                            </wps:wsp>
                            <wps:wsp>
                              <wps:cNvPr id="128" name="直接箭头连接符 128"/>
                              <wps:cNvCnPr>
                                <a:cxnSpLocks noChangeShapeType="1"/>
                              </wps:cNvCnPr>
                              <wps:spPr bwMode="auto">
                                <a:xfrm>
                                  <a:off x="2202815" y="765810"/>
                                  <a:ext cx="590550" cy="0"/>
                                </a:xfrm>
                                <a:prstGeom prst="straightConnector1">
                                  <a:avLst/>
                                </a:prstGeom>
                                <a:noFill/>
                                <a:ln w="9525">
                                  <a:solidFill>
                                    <a:srgbClr val="000000"/>
                                  </a:solidFill>
                                  <a:round/>
                                  <a:tailEnd type="triangle" w="med" len="med"/>
                                </a:ln>
                                <a:effectLst/>
                              </wps:spPr>
                              <wps:bodyPr/>
                            </wps:wsp>
                            <wps:wsp>
                              <wps:cNvPr id="130" name="矩形 130"/>
                              <wps:cNvSpPr>
                                <a:spLocks noChangeArrowheads="1"/>
                              </wps:cNvSpPr>
                              <wps:spPr bwMode="auto">
                                <a:xfrm>
                                  <a:off x="2782570" y="621030"/>
                                  <a:ext cx="728980" cy="284480"/>
                                </a:xfrm>
                                <a:prstGeom prst="rect">
                                  <a:avLst/>
                                </a:prstGeom>
                                <a:solidFill>
                                  <a:srgbClr val="FFFFFF"/>
                                </a:solidFill>
                                <a:ln w="9525">
                                  <a:solidFill>
                                    <a:srgbClr val="000000"/>
                                  </a:solidFill>
                                  <a:miter lim="800000"/>
                                </a:ln>
                                <a:effectLst/>
                              </wps:spPr>
                              <wps:txb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rPr>
                                        <w:rFonts w:hint="eastAsia"/>
                                      </w:rPr>
                                      <w:t>交付使用</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74.65pt;width:339.7pt;" coordsize="4314190,948055" editas="canvas" o:gfxdata="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">
                      <o:lock v:ext="edit" aspectratio="f"/>
                      <v:shape id="_x0000_s1026" o:spid="_x0000_s1026" style="position:absolute;left:0;top:0;height:948055;width:4314190;" filled="f" stroked="f" coordsize="21600,21600" o:gfxdata="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">
                        <v:fill on="f" focussize="0,0"/>
                        <v:stroke on="f"/>
                        <v:imagedata o:title=""/>
                        <o:lock v:ext="edit" aspectratio="f"/>
                      </v:shape>
                      <v:rect id="_x0000_s1026" o:spid="_x0000_s1026" o:spt="1" style="position:absolute;left:1466850;top:610870;height:285750;width:728980;" fillcolor="#FFFFFF" filled="t" stroked="t" coordsize="21600,21600" o:gfxdata="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SgozK1QAAAAUBAAAPAAAAAAAAAAEAIAAA&#10;ACIAAABkcnMvZG93bnJldi54bWxQSwECFAAUAAAACACHTuJAe0gjgEgCAACWBAAADgAAAAAAAAAB&#10;ACAAAAAkAQAAZHJzL2Uyb0RvYy54bWxQSwUGAAAAAAYABgBZAQAA3gU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lang w:val="en-US" w:eastAsia="zh-CN"/>
                                </w:rPr>
                              </w:pPr>
                              <w:r>
                                <w:rPr>
                                  <w:rFonts w:hint="eastAsia"/>
                                  <w:lang w:val="en-US" w:eastAsia="zh-CN"/>
                                </w:rPr>
                                <w:t>设备安装</w:t>
                              </w:r>
                            </w:p>
                          </w:txbxContent>
                        </v:textbox>
                      </v:rect>
                      <v:rect id="_x0000_s1026" o:spid="_x0000_s1026" o:spt="1" style="position:absolute;left:1433830;top:63500;height:272415;width:810260;" fillcolor="#FFFFFF" filled="t" stroked="t" coordsize="21600,21600" o:gfxdata="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UoKMytUAAAAFAQAADwAAAAAAAAABACAA&#10;AAAiAAAAZHJzL2Rvd25yZXYueG1sUEsBAhQAFAAAAAgAh07iQMAW3+xJAgAAlQQAAA4AAAAAAAAA&#10;AQAgAAAAJAEAAGRycy9lMm9Eb2MueG1sUEsFBgAAAAAGAAYAWQEAAN8FA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lang w:val="en-US" w:eastAsia="zh-CN"/>
                                </w:rPr>
                              </w:pPr>
                              <w:r>
                                <w:rPr>
                                  <w:rFonts w:hint="eastAsia"/>
                                </w:rPr>
                                <w:t>噪声</w:t>
                              </w:r>
                              <w:r>
                                <w:rPr>
                                  <w:rFonts w:hint="eastAsia"/>
                                  <w:lang w:eastAsia="zh-CN"/>
                                </w:rPr>
                                <w:t>、</w:t>
                              </w:r>
                              <w:r>
                                <w:rPr>
                                  <w:rFonts w:hint="eastAsia"/>
                                  <w:lang w:val="en-US" w:eastAsia="zh-CN"/>
                                </w:rPr>
                                <w:t>固废</w:t>
                              </w:r>
                            </w:p>
                          </w:txbxContent>
                        </v:textbox>
                      </v:rect>
                      <v:shape id="_x0000_s1026" o:spid="_x0000_s1026" o:spt="32" type="#_x0000_t32" style="position:absolute;left:1841500;top:346710;flip:x y;height:261620;width:635;" filled="f" stroked="t" coordsize="21600,21600" o:gfxdata="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AThhadUAAAAFAQAADwAAAAAAAAABACAAAAAiAAAAZHJzL2Rvd25yZXYueG1sUEsBAhQA&#10;FAAAAAgAh07iQK3Nda8uAgAAHgQAAA4AAAAAAAAAAQAgAAAAJAEAAGRycy9lMm9Eb2MueG1sUEsF&#10;BgAAAAAGAAYAWQEAAMQFAAAAAA==&#10;">
                        <v:fill on="f" focussize="0,0"/>
                        <v:stroke color="#000000" joinstyle="round" endarrow="block"/>
                        <v:imagedata o:title=""/>
                        <o:lock v:ext="edit" aspectratio="f"/>
                      </v:shape>
                      <v:shape id="_x0000_s1026" o:spid="_x0000_s1026" o:spt="32" type="#_x0000_t32" style="position:absolute;left:2202815;top:765810;height:0;width:590550;" filled="f" stroked="t" coordsize="21600,21600" o:gfxdata="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g/nF6&#10;1wAAAAUBAAAPAAAAAAAAAAEAIAAAACIAAABkcnMvZG93bnJldi54bWxQSwECFAAUAAAACACHTuJA&#10;1ATRWiICAAAIBAAADgAAAAAAAAABACAAAAAmAQAAZHJzL2Uyb0RvYy54bWxQSwUGAAAAAAYABgBZ&#10;AQAAugUAAAAA&#10;">
                        <v:fill on="f" focussize="0,0"/>
                        <v:stroke color="#000000" joinstyle="round" endarrow="block"/>
                        <v:imagedata o:title=""/>
                        <o:lock v:ext="edit" aspectratio="f"/>
                      </v:shape>
                      <v:rect id="_x0000_s1026" o:spid="_x0000_s1026" o:spt="1" style="position:absolute;left:2782570;top:621030;height:284480;width:728980;" fillcolor="#FFFFFF" filled="t" stroked="t" coordsize="21600,21600" o:gfxdata="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UoKMytUAAAAFAQAADwAAAAAAAAABACAA&#10;AAAiAAAAZHJzL2Rvd25yZXYueG1sUEsBAhQAFAAAAAgAh07iQJx7CuBJAgAAlgQAAA4AAAAAAAAA&#10;AQAgAAAAJAEAAGRycy9lMm9Eb2MueG1sUEsFBgAAAAAGAAYAWQEAAN8FA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rPr>
                                  <w:rFonts w:hint="eastAsia"/>
                                </w:rPr>
                                <w:t>交付使用</w:t>
                              </w:r>
                            </w:p>
                          </w:txbxContent>
                        </v:textbox>
                      </v:rect>
                      <w10:wrap type="none"/>
                      <w10:anchorlock/>
                    </v:group>
                  </w:pict>
                </mc:Fallback>
              </mc:AlternateContent>
            </w:r>
          </w:p>
          <w:p>
            <w:pPr>
              <w:pStyle w:val="49"/>
              <w:spacing w:line="360" w:lineRule="auto"/>
              <w:jc w:val="center"/>
              <w:rPr>
                <w:rFonts w:ascii="Times New Roman" w:hAnsi="Times New Roman"/>
                <w:b/>
                <w:color w:val="000000"/>
                <w:sz w:val="21"/>
                <w:szCs w:val="21"/>
              </w:rPr>
            </w:pPr>
            <w:r>
              <w:rPr>
                <w:rFonts w:hint="eastAsia" w:ascii="Times New Roman" w:hAnsi="Times New Roman"/>
                <w:b/>
                <w:color w:val="000000"/>
                <w:sz w:val="21"/>
                <w:szCs w:val="21"/>
              </w:rPr>
              <w:t>图</w:t>
            </w:r>
            <w:r>
              <w:rPr>
                <w:rFonts w:ascii="Times New Roman" w:hAnsi="Times New Roman"/>
                <w:b/>
                <w:color w:val="000000"/>
                <w:sz w:val="21"/>
                <w:szCs w:val="21"/>
              </w:rPr>
              <w:t>2-</w:t>
            </w:r>
            <w:r>
              <w:rPr>
                <w:rFonts w:hint="eastAsia" w:ascii="Times New Roman" w:hAnsi="Times New Roman"/>
                <w:b/>
                <w:color w:val="000000"/>
                <w:sz w:val="21"/>
                <w:szCs w:val="21"/>
                <w:lang w:val="en-US" w:eastAsia="zh-CN"/>
              </w:rPr>
              <w:t>5</w:t>
            </w:r>
            <w:r>
              <w:rPr>
                <w:rFonts w:ascii="Times New Roman" w:hAnsi="Times New Roman"/>
                <w:b/>
                <w:color w:val="000000"/>
                <w:sz w:val="21"/>
                <w:szCs w:val="21"/>
              </w:rPr>
              <w:t xml:space="preserve"> </w:t>
            </w:r>
            <w:r>
              <w:rPr>
                <w:rFonts w:hint="eastAsia" w:ascii="Times New Roman" w:hAnsi="Times New Roman"/>
                <w:b/>
                <w:color w:val="000000"/>
                <w:sz w:val="21"/>
                <w:szCs w:val="21"/>
                <w:lang w:val="en-US" w:eastAsia="zh-CN"/>
              </w:rPr>
              <w:t>变电站间隔扩建</w:t>
            </w:r>
            <w:r>
              <w:rPr>
                <w:rFonts w:hint="eastAsia" w:ascii="Times New Roman" w:hAnsi="Times New Roman"/>
                <w:b/>
                <w:color w:val="000000"/>
                <w:sz w:val="21"/>
                <w:szCs w:val="21"/>
              </w:rPr>
              <w:t>施工期工艺流程图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本项目变电站间隔扩建在原有预留位置上，无土建工程主要为设备安装。本</w:t>
            </w:r>
            <w:r>
              <w:rPr>
                <w:rFonts w:hint="eastAsia" w:cs="Times New Roman"/>
                <w:color w:val="000000"/>
                <w:sz w:val="24"/>
                <w:szCs w:val="24"/>
                <w:highlight w:val="none"/>
                <w:lang w:val="en-US" w:eastAsia="zh-CN"/>
              </w:rPr>
              <w:t>项目</w:t>
            </w:r>
            <w:r>
              <w:rPr>
                <w:rFonts w:hint="eastAsia" w:ascii="Times New Roman" w:hAnsi="Times New Roman" w:eastAsia="宋体" w:cs="Times New Roman"/>
                <w:color w:val="000000"/>
                <w:sz w:val="24"/>
                <w:szCs w:val="24"/>
                <w:highlight w:val="none"/>
                <w:lang w:val="en-US" w:eastAsia="zh-CN"/>
              </w:rPr>
              <w:t>采用机械和人工结合完成设备的安装及调试，最后交付使用。</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十</w:t>
            </w:r>
            <w:r>
              <w:rPr>
                <w:rFonts w:hint="eastAsia" w:cs="Times New Roman"/>
                <w:b/>
                <w:bCs/>
                <w:color w:val="000000"/>
                <w:sz w:val="24"/>
                <w:szCs w:val="24"/>
                <w:highlight w:val="none"/>
                <w:lang w:val="en-US" w:eastAsia="zh-CN"/>
              </w:rPr>
              <w:t>一</w:t>
            </w:r>
            <w:r>
              <w:rPr>
                <w:rFonts w:hint="eastAsia" w:ascii="Times New Roman" w:hAnsi="Times New Roman" w:eastAsia="宋体" w:cs="Times New Roman"/>
                <w:b/>
                <w:bCs/>
                <w:color w:val="000000"/>
                <w:sz w:val="24"/>
                <w:szCs w:val="24"/>
                <w:highlight w:val="none"/>
                <w:lang w:val="en-US" w:eastAsia="zh-CN"/>
              </w:rPr>
              <w:t>、</w:t>
            </w:r>
            <w:r>
              <w:rPr>
                <w:rFonts w:hint="default" w:ascii="Times New Roman" w:hAnsi="Times New Roman" w:eastAsia="宋体" w:cs="Times New Roman"/>
                <w:b/>
                <w:bCs/>
                <w:color w:val="000000"/>
                <w:sz w:val="24"/>
                <w:szCs w:val="24"/>
                <w:highlight w:val="none"/>
                <w:lang w:val="en-US" w:eastAsia="zh-CN"/>
              </w:rPr>
              <w:t>施工时序</w:t>
            </w:r>
            <w:r>
              <w:rPr>
                <w:rFonts w:hint="eastAsia" w:ascii="Times New Roman" w:hAnsi="Times New Roman" w:eastAsia="宋体" w:cs="Times New Roman"/>
                <w:b/>
                <w:bCs/>
                <w:color w:val="000000"/>
                <w:sz w:val="24"/>
                <w:szCs w:val="24"/>
                <w:highlight w:val="none"/>
                <w:lang w:val="en-US" w:eastAsia="zh-CN"/>
              </w:rPr>
              <w:t>及建设周期</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应避免雨季集中施工，施工时根据天气预报，合理安排施工时序。施工进场前施工准备期，主要完成人员、设备、物资准备及进场，临时生活设施建设及场地平整。</w:t>
            </w:r>
            <w:r>
              <w:rPr>
                <w:rFonts w:hint="eastAsia" w:ascii="Times New Roman" w:hAnsi="Times New Roman" w:eastAsia="宋体" w:cs="Times New Roman"/>
                <w:color w:val="000000"/>
                <w:sz w:val="24"/>
                <w:szCs w:val="24"/>
                <w:highlight w:val="none"/>
                <w:lang w:val="en-US" w:eastAsia="zh-CN"/>
              </w:rPr>
              <w:t>合理安排场内交通道路、土建与机电安装的施工程序，使土建、安装工程施工进度做到连续、均匀有序的进行，以降低施工高峰强度，提高经济效益。结合以上原则及施工强度要求和</w:t>
            </w:r>
            <w:r>
              <w:rPr>
                <w:rFonts w:hint="eastAsia" w:cs="Times New Roman"/>
                <w:color w:val="000000"/>
                <w:sz w:val="24"/>
                <w:szCs w:val="24"/>
                <w:highlight w:val="none"/>
                <w:lang w:val="en-US" w:eastAsia="zh-CN"/>
              </w:rPr>
              <w:t>类比</w:t>
            </w:r>
            <w:r>
              <w:rPr>
                <w:rFonts w:hint="eastAsia" w:ascii="Times New Roman" w:hAnsi="Times New Roman" w:eastAsia="宋体" w:cs="Times New Roman"/>
                <w:color w:val="000000"/>
                <w:sz w:val="24"/>
                <w:szCs w:val="24"/>
                <w:highlight w:val="none"/>
                <w:lang w:val="en-US" w:eastAsia="zh-CN"/>
              </w:rPr>
              <w:t>输变电工程建设进度实际。</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ascii="宋体" w:hAnsi="宋体" w:cs="宋体"/>
                <w:kern w:val="0"/>
                <w:szCs w:val="21"/>
              </w:rPr>
            </w:pPr>
            <w:r>
              <w:rPr>
                <w:rFonts w:hint="default" w:ascii="Times New Roman" w:hAnsi="Times New Roman" w:eastAsia="宋体" w:cs="Times New Roman"/>
                <w:smallCaps w:val="0"/>
                <w:color w:val="auto"/>
                <w:spacing w:val="0"/>
                <w:w w:val="100"/>
                <w:position w:val="0"/>
                <w:sz w:val="24"/>
                <w:highlight w:val="none"/>
              </w:rPr>
              <w:t>建设周期：本项目计划于2</w:t>
            </w:r>
            <w:r>
              <w:rPr>
                <w:rFonts w:hint="default" w:ascii="Times New Roman" w:hAnsi="Times New Roman" w:eastAsia="宋体" w:cs="Times New Roman"/>
                <w:smallCaps w:val="0"/>
                <w:color w:val="auto"/>
                <w:spacing w:val="0"/>
                <w:w w:val="100"/>
                <w:position w:val="0"/>
                <w:sz w:val="24"/>
                <w:highlight w:val="none"/>
                <w:lang w:val="en-US" w:eastAsia="zh-CN"/>
              </w:rPr>
              <w:t>026</w:t>
            </w:r>
            <w:r>
              <w:rPr>
                <w:rFonts w:hint="default" w:ascii="Times New Roman" w:hAnsi="Times New Roman" w:eastAsia="宋体" w:cs="Times New Roman"/>
                <w:smallCaps w:val="0"/>
                <w:color w:val="auto"/>
                <w:spacing w:val="0"/>
                <w:w w:val="100"/>
                <w:position w:val="0"/>
                <w:sz w:val="24"/>
                <w:highlight w:val="none"/>
              </w:rPr>
              <w:t>年</w:t>
            </w:r>
            <w:r>
              <w:rPr>
                <w:rFonts w:hint="default" w:ascii="Times New Roman" w:hAnsi="Times New Roman" w:cs="Times New Roman"/>
                <w:smallCaps w:val="0"/>
                <w:color w:val="auto"/>
                <w:spacing w:val="0"/>
                <w:w w:val="100"/>
                <w:position w:val="0"/>
                <w:sz w:val="24"/>
                <w:highlight w:val="none"/>
                <w:lang w:val="en-US" w:eastAsia="zh-CN"/>
              </w:rPr>
              <w:t>3</w:t>
            </w:r>
            <w:r>
              <w:rPr>
                <w:rFonts w:hint="default" w:ascii="Times New Roman" w:hAnsi="Times New Roman" w:eastAsia="宋体" w:cs="Times New Roman"/>
                <w:smallCaps w:val="0"/>
                <w:color w:val="auto"/>
                <w:spacing w:val="0"/>
                <w:w w:val="100"/>
                <w:position w:val="0"/>
                <w:sz w:val="24"/>
                <w:highlight w:val="none"/>
              </w:rPr>
              <w:t>月开工，202</w:t>
            </w:r>
            <w:r>
              <w:rPr>
                <w:rFonts w:hint="default" w:ascii="Times New Roman" w:hAnsi="Times New Roman" w:eastAsia="宋体" w:cs="Times New Roman"/>
                <w:smallCaps w:val="0"/>
                <w:color w:val="auto"/>
                <w:spacing w:val="0"/>
                <w:w w:val="100"/>
                <w:position w:val="0"/>
                <w:sz w:val="24"/>
                <w:highlight w:val="none"/>
                <w:lang w:val="en-US" w:eastAsia="zh-CN"/>
              </w:rPr>
              <w:t>6</w:t>
            </w:r>
            <w:r>
              <w:rPr>
                <w:rFonts w:hint="default" w:ascii="Times New Roman" w:hAnsi="Times New Roman" w:eastAsia="宋体" w:cs="Times New Roman"/>
                <w:smallCaps w:val="0"/>
                <w:color w:val="auto"/>
                <w:spacing w:val="0"/>
                <w:w w:val="100"/>
                <w:position w:val="0"/>
                <w:sz w:val="24"/>
                <w:highlight w:val="none"/>
              </w:rPr>
              <w:t>年</w:t>
            </w:r>
            <w:r>
              <w:rPr>
                <w:rFonts w:hint="default" w:ascii="Times New Roman" w:hAnsi="Times New Roman" w:cs="Times New Roman"/>
                <w:smallCaps w:val="0"/>
                <w:color w:val="auto"/>
                <w:spacing w:val="0"/>
                <w:w w:val="100"/>
                <w:position w:val="0"/>
                <w:sz w:val="24"/>
                <w:highlight w:val="none"/>
                <w:lang w:val="en-US" w:eastAsia="zh-CN"/>
              </w:rPr>
              <w:t>5</w:t>
            </w:r>
            <w:r>
              <w:rPr>
                <w:rFonts w:hint="default" w:ascii="Times New Roman" w:hAnsi="Times New Roman" w:eastAsia="宋体" w:cs="Times New Roman"/>
                <w:smallCaps w:val="0"/>
                <w:color w:val="auto"/>
                <w:spacing w:val="0"/>
                <w:w w:val="100"/>
                <w:position w:val="0"/>
                <w:sz w:val="24"/>
                <w:highlight w:val="none"/>
              </w:rPr>
              <w:t>月底投产运行，建设总工期</w:t>
            </w:r>
            <w:r>
              <w:rPr>
                <w:rFonts w:hint="default" w:ascii="Times New Roman" w:hAnsi="Times New Roman" w:cs="Times New Roman"/>
                <w:smallCaps w:val="0"/>
                <w:color w:val="auto"/>
                <w:spacing w:val="0"/>
                <w:w w:val="100"/>
                <w:position w:val="0"/>
                <w:sz w:val="24"/>
                <w:highlight w:val="none"/>
                <w:lang w:val="en-US" w:eastAsia="zh-CN"/>
              </w:rPr>
              <w:t>3</w:t>
            </w:r>
            <w:r>
              <w:rPr>
                <w:rFonts w:hint="default" w:ascii="Times New Roman" w:hAnsi="Times New Roman" w:eastAsia="宋体" w:cs="Times New Roman"/>
                <w:smallCaps w:val="0"/>
                <w:color w:val="auto"/>
                <w:spacing w:val="0"/>
                <w:w w:val="100"/>
                <w:position w:val="0"/>
                <w:sz w:val="24"/>
                <w:highlight w:val="none"/>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9" w:hRule="atLeast"/>
          <w:jc w:val="center"/>
        </w:trPr>
        <w:tc>
          <w:tcPr>
            <w:tcW w:w="710" w:type="dxa"/>
            <w:noWrap w:val="0"/>
            <w:vAlign w:val="center"/>
          </w:tcPr>
          <w:p>
            <w:pPr>
              <w:adjustRightInd w:val="0"/>
              <w:snapToGrid w:val="0"/>
              <w:jc w:val="center"/>
              <w:rPr>
                <w:rFonts w:ascii="宋体" w:hAnsi="宋体" w:cs="宋体"/>
                <w:kern w:val="0"/>
                <w:sz w:val="24"/>
                <w:szCs w:val="24"/>
              </w:rPr>
            </w:pPr>
            <w:r>
              <w:rPr>
                <w:rFonts w:hint="eastAsia" w:ascii="宋体" w:hAnsi="宋体" w:cs="宋体"/>
                <w:kern w:val="0"/>
                <w:sz w:val="24"/>
                <w:szCs w:val="24"/>
              </w:rPr>
              <w:t>其他</w:t>
            </w:r>
          </w:p>
        </w:tc>
        <w:tc>
          <w:tcPr>
            <w:tcW w:w="8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480" w:firstLineChars="200"/>
              <w:jc w:val="center"/>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无</w:t>
            </w:r>
          </w:p>
        </w:tc>
      </w:tr>
    </w:tbl>
    <w:p>
      <w:pPr>
        <w:pStyle w:val="17"/>
        <w:jc w:val="center"/>
        <w:outlineLvl w:val="0"/>
        <w:rPr>
          <w:rFonts w:ascii="黑体" w:hAnsi="黑体" w:eastAsia="黑体"/>
          <w:snapToGrid w:val="0"/>
          <w:sz w:val="30"/>
          <w:szCs w:val="30"/>
        </w:rPr>
      </w:pPr>
      <w:r>
        <w:rPr>
          <w:rFonts w:eastAsia="仿宋_GB2312"/>
          <w:b/>
          <w:bCs/>
        </w:rPr>
        <w:br w:type="page"/>
      </w:r>
      <w:bookmarkStart w:id="45" w:name="_Toc5207"/>
      <w:r>
        <w:rPr>
          <w:rFonts w:hint="eastAsia" w:ascii="黑体" w:hAnsi="黑体" w:eastAsia="黑体"/>
          <w:snapToGrid w:val="0"/>
          <w:sz w:val="30"/>
          <w:szCs w:val="30"/>
        </w:rPr>
        <w:t>三、生态环境现状、保护目标及评价标准</w:t>
      </w:r>
      <w:bookmarkEnd w:id="45"/>
    </w:p>
    <w:tbl>
      <w:tblPr>
        <w:tblStyle w:val="20"/>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82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904" w:type="dxa"/>
            <w:noWrap w:val="0"/>
            <w:vAlign w:val="center"/>
          </w:tcPr>
          <w:p>
            <w:pPr>
              <w:adjustRightInd w:val="0"/>
              <w:snapToGrid w:val="0"/>
              <w:jc w:val="center"/>
              <w:rPr>
                <w:rFonts w:ascii="宋体" w:hAnsi="宋体" w:cs="宋体"/>
                <w:kern w:val="0"/>
                <w:sz w:val="24"/>
                <w:szCs w:val="24"/>
              </w:rPr>
            </w:pPr>
            <w:r>
              <w:rPr>
                <w:rFonts w:hint="eastAsia" w:ascii="宋体" w:hAnsi="宋体" w:cs="宋体"/>
                <w:kern w:val="0"/>
                <w:sz w:val="24"/>
                <w:szCs w:val="24"/>
              </w:rPr>
              <w:t>生态环境现状</w:t>
            </w:r>
          </w:p>
        </w:tc>
        <w:tc>
          <w:tcPr>
            <w:tcW w:w="8253"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b/>
                <w:bCs/>
                <w:spacing w:val="0"/>
                <w:w w:val="100"/>
                <w:kern w:val="0"/>
                <w:position w:val="0"/>
                <w:sz w:val="24"/>
                <w:szCs w:val="24"/>
                <w:lang w:val="en-US" w:eastAsia="zh-CN"/>
              </w:rPr>
            </w:pPr>
            <w:r>
              <w:rPr>
                <w:rFonts w:hint="eastAsia" w:ascii="宋体" w:hAnsi="宋体" w:cs="宋体"/>
                <w:b/>
                <w:bCs/>
                <w:spacing w:val="0"/>
                <w:w w:val="100"/>
                <w:kern w:val="0"/>
                <w:position w:val="0"/>
                <w:sz w:val="24"/>
                <w:szCs w:val="24"/>
                <w:lang w:val="en-US" w:eastAsia="zh-CN"/>
              </w:rPr>
              <w:t>一</w:t>
            </w:r>
            <w:r>
              <w:rPr>
                <w:rFonts w:hint="eastAsia" w:ascii="宋体" w:hAnsi="宋体" w:eastAsia="宋体" w:cs="宋体"/>
                <w:b/>
                <w:bCs/>
                <w:spacing w:val="0"/>
                <w:w w:val="100"/>
                <w:kern w:val="0"/>
                <w:position w:val="0"/>
                <w:sz w:val="24"/>
                <w:szCs w:val="24"/>
                <w:lang w:val="en-US" w:eastAsia="zh-CN"/>
              </w:rPr>
              <w:t>、主体功能区规划</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根据《黑龙江省主体功能区规划》（黑政发〔2012〕29号）</w:t>
            </w:r>
            <w:r>
              <w:rPr>
                <w:rFonts w:hint="eastAsia" w:ascii="Times New Roman" w:hAnsi="Times New Roman" w:eastAsia="宋体" w:cs="Times New Roman"/>
                <w:color w:val="000000"/>
                <w:sz w:val="24"/>
                <w:szCs w:val="24"/>
                <w:highlight w:val="none"/>
                <w:lang w:val="en-US" w:eastAsia="zh-CN"/>
              </w:rPr>
              <w:t>，集贤县属于限值开发区域（国家农产品主产区）。我省国家农产品主产区主要位于农业生产条件较好的松嫩平原、三江平原和中部山区，以松嫩平原、三江平原农业综合开发试验区为主体。主要建设以优质粳稻为主的水稻产业带，以籽粒与青贮兼用玉米为主的专用玉米产业带，以高油高蛋白大豆为主的大豆产业带，以肉牛、奶牛、生猪为主的畜牧产品产业带以及马铃薯产业带。功能定位：以提供农产品为主体功能，保障农产品供给安全的重要区域。重要的商品粮生产基地、绿色食品生产基地、畜牧业生产基地和农产品深加工区、农业综合开发试验区、社会主义新农村建设的示范区。发展方向：建设农业综合开发试验区，保护耕地，集约开发，加强农业基础设施建设，显著提高农业综合生产能力、产业化水平、物资装备水平、支撑服务能力，提高农业生产效率，大力发展高产、高效、优质、安全的现代化大农业，保障农产品供给，确保国家粮食安全和食品安全；积极推进农业规模化水平，搞好绿色（有机）食品基地建设，发展农产品深加工，加大绿色（有机）食品和无公害农产品开发力度，拓展农村就业和增收空间，加强农村基础设施和公共服务设施建设，改善生产生活条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本项目为</w:t>
            </w:r>
            <w:r>
              <w:rPr>
                <w:rFonts w:hint="default" w:ascii="Times New Roman" w:hAnsi="Times New Roman" w:eastAsia="宋体" w:cs="Times New Roman"/>
                <w:color w:val="000000"/>
                <w:sz w:val="24"/>
                <w:szCs w:val="24"/>
                <w:highlight w:val="none"/>
                <w:lang w:val="en-US" w:eastAsia="zh-CN"/>
              </w:rPr>
              <w:t>龙煤双鸭山集贤200MW风力发电项目接网工程</w:t>
            </w:r>
            <w:r>
              <w:rPr>
                <w:rFonts w:hint="eastAsia" w:ascii="Times New Roman" w:hAnsi="Times New Roman" w:eastAsia="宋体" w:cs="Times New Roman"/>
                <w:color w:val="000000"/>
                <w:sz w:val="24"/>
                <w:szCs w:val="24"/>
                <w:highlight w:val="none"/>
                <w:lang w:val="en-US" w:eastAsia="zh-CN"/>
              </w:rPr>
              <w:t>项目，符合功能定位及发展方向。本项目建成后能够帮助集贤县风电场并网发电，提高当地电力供应能力，提高公共服务供给能力和水平，与《黑龙江省主体功能区规划》不矛盾，因此，本项目符合《黑龙江省主体功能区规划》的要求，</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b/>
                <w:bCs/>
                <w:spacing w:val="0"/>
                <w:w w:val="100"/>
                <w:kern w:val="0"/>
                <w:position w:val="0"/>
                <w:sz w:val="24"/>
                <w:szCs w:val="24"/>
                <w:lang w:val="en-US" w:eastAsia="zh-CN"/>
              </w:rPr>
            </w:pPr>
            <w:r>
              <w:rPr>
                <w:rFonts w:hint="eastAsia" w:ascii="宋体" w:hAnsi="宋体" w:eastAsia="宋体" w:cs="宋体"/>
                <w:b/>
                <w:bCs/>
                <w:spacing w:val="0"/>
                <w:w w:val="100"/>
                <w:kern w:val="0"/>
                <w:position w:val="0"/>
                <w:sz w:val="24"/>
                <w:szCs w:val="24"/>
                <w:lang w:val="en-US" w:eastAsia="zh-CN"/>
              </w:rPr>
              <w:t>二</w:t>
            </w:r>
            <w:r>
              <w:rPr>
                <w:rFonts w:hint="default" w:ascii="宋体" w:hAnsi="宋体" w:eastAsia="宋体" w:cs="宋体"/>
                <w:b/>
                <w:bCs/>
                <w:spacing w:val="0"/>
                <w:w w:val="100"/>
                <w:kern w:val="0"/>
                <w:position w:val="0"/>
                <w:sz w:val="24"/>
                <w:szCs w:val="24"/>
                <w:lang w:val="en-US" w:eastAsia="zh-CN"/>
              </w:rPr>
              <w:t>、黑龙江省生态功能区划</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根据《黑龙江省生态功能区划》，</w:t>
            </w:r>
            <w:r>
              <w:rPr>
                <w:rFonts w:hint="eastAsia" w:cs="Times New Roman"/>
                <w:kern w:val="0"/>
                <w:sz w:val="24"/>
                <w:szCs w:val="24"/>
                <w:lang w:val="en-US" w:eastAsia="zh-CN"/>
              </w:rPr>
              <w:t>本项目位于I-3三江平原农业与湿地生态区，I-3-2完达山山地针阔混交林与湿地生态亚区，I-3-2-3双鸭山—集贤矿业与林业、农业生态功能区，由双鸭山市和集贤县组成，面积4051平方公里。主要生态环境问题是矿山开采导致生态环境极为脆弱；资源超采严重；产业结构不合理，物能消耗高，产生较大的环境压力，生态环境敏感性为大部分地区土地沙漠化敏感性为高度敏感；土壤侵蚀敏感性为中度敏感，主要生态系统服务功能为土地沙漠化控制、土壤保持、矿、林、农业生产，保护措施与发展方向是加大对开采迹地的恢复工作，调整产业结构，加大城市环境基础设施建设</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本项目为</w:t>
            </w:r>
            <w:r>
              <w:rPr>
                <w:rFonts w:hint="default" w:ascii="Times New Roman" w:hAnsi="Times New Roman" w:eastAsia="宋体" w:cs="Times New Roman"/>
                <w:color w:val="000000"/>
                <w:sz w:val="24"/>
                <w:szCs w:val="24"/>
                <w:highlight w:val="none"/>
                <w:lang w:val="en-US" w:eastAsia="zh-CN"/>
              </w:rPr>
              <w:t>龙煤双鸭山集贤200MW风力发电项目接网工程</w:t>
            </w:r>
            <w:r>
              <w:rPr>
                <w:rFonts w:hint="eastAsia" w:ascii="Times New Roman" w:hAnsi="Times New Roman" w:eastAsia="宋体" w:cs="Times New Roman"/>
                <w:color w:val="000000"/>
                <w:sz w:val="24"/>
                <w:szCs w:val="24"/>
                <w:highlight w:val="none"/>
                <w:lang w:val="en-US" w:eastAsia="zh-CN"/>
              </w:rPr>
              <w:t>项目，建成后能够并网发电，大大减少了因火力发电项目建设对生态环境的破坏。本项目的建设不会破坏当地的生态系统、影响生物多样性。本项目施工期间加强监管、严格执行水土保持方案提出的措施及要求，临时占用的土地在施工结束后及时进行恢复。因此，本项目建设符合《黑龙江省生态功能区划》的要求。</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宋体" w:hAnsi="宋体" w:eastAsia="宋体" w:cs="宋体"/>
                <w:b/>
                <w:bCs/>
                <w:spacing w:val="0"/>
                <w:w w:val="100"/>
                <w:kern w:val="0"/>
                <w:position w:val="0"/>
                <w:sz w:val="24"/>
                <w:szCs w:val="24"/>
                <w:lang w:val="en-US" w:eastAsia="zh-CN"/>
              </w:rPr>
            </w:pPr>
            <w:r>
              <w:rPr>
                <w:rFonts w:hint="eastAsia" w:ascii="宋体" w:hAnsi="宋体" w:eastAsia="宋体" w:cs="宋体"/>
                <w:b/>
                <w:bCs/>
                <w:spacing w:val="0"/>
                <w:w w:val="100"/>
                <w:kern w:val="0"/>
                <w:position w:val="0"/>
                <w:sz w:val="24"/>
                <w:szCs w:val="24"/>
                <w:lang w:val="en-US" w:eastAsia="zh-CN"/>
              </w:rPr>
              <w:t>三</w:t>
            </w:r>
            <w:r>
              <w:rPr>
                <w:rFonts w:hint="default" w:ascii="宋体" w:hAnsi="宋体" w:eastAsia="宋体" w:cs="宋体"/>
                <w:b/>
                <w:bCs/>
                <w:spacing w:val="0"/>
                <w:w w:val="100"/>
                <w:kern w:val="0"/>
                <w:position w:val="0"/>
                <w:sz w:val="24"/>
                <w:szCs w:val="24"/>
                <w:lang w:val="en-US" w:eastAsia="zh-CN"/>
              </w:rPr>
              <w:t>、环境空气</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根据《2024年黑龙江省生态环境质量状况》，双鸭山市区环境空气执行《环境空气质量标准》（GB3095-2012）中二级标准。2024年，全省各项污染物平均浓度均达二级标准。13个城市中哈尔滨市和绥化市2个城市未达标，超标污染物均为PM</w:t>
            </w:r>
            <w:r>
              <w:rPr>
                <w:rFonts w:hint="eastAsia" w:ascii="Times New Roman" w:hAnsi="Times New Roman" w:eastAsia="宋体" w:cs="Times New Roman"/>
                <w:color w:val="000000"/>
                <w:sz w:val="24"/>
                <w:szCs w:val="24"/>
                <w:highlight w:val="none"/>
                <w:vertAlign w:val="subscript"/>
                <w:lang w:val="en-US" w:eastAsia="zh-CN"/>
              </w:rPr>
              <w:t>2.5</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全省PM</w:t>
            </w:r>
            <w:r>
              <w:rPr>
                <w:rFonts w:hint="default" w:ascii="Times New Roman" w:hAnsi="Times New Roman" w:eastAsia="宋体" w:cs="Times New Roman"/>
                <w:color w:val="000000"/>
                <w:sz w:val="24"/>
                <w:szCs w:val="24"/>
                <w:highlight w:val="none"/>
                <w:vertAlign w:val="subscript"/>
                <w:lang w:val="en-US" w:eastAsia="zh-CN"/>
              </w:rPr>
              <w:t>2.5</w:t>
            </w:r>
            <w:r>
              <w:rPr>
                <w:rFonts w:hint="default" w:ascii="Times New Roman" w:hAnsi="Times New Roman" w:eastAsia="宋体" w:cs="Times New Roman"/>
                <w:color w:val="000000"/>
                <w:sz w:val="24"/>
                <w:szCs w:val="24"/>
                <w:highlight w:val="none"/>
                <w:lang w:val="en-US" w:eastAsia="zh-CN"/>
              </w:rPr>
              <w:t>、PM</w:t>
            </w:r>
            <w:r>
              <w:rPr>
                <w:rFonts w:hint="default" w:ascii="Times New Roman" w:hAnsi="Times New Roman" w:eastAsia="宋体" w:cs="Times New Roman"/>
                <w:color w:val="000000"/>
                <w:sz w:val="24"/>
                <w:szCs w:val="24"/>
                <w:highlight w:val="none"/>
                <w:vertAlign w:val="subscript"/>
                <w:lang w:val="en-US" w:eastAsia="zh-CN"/>
              </w:rPr>
              <w:t>10</w:t>
            </w:r>
            <w:r>
              <w:rPr>
                <w:rFonts w:hint="default" w:ascii="Times New Roman" w:hAnsi="Times New Roman" w:eastAsia="宋体" w:cs="Times New Roman"/>
                <w:color w:val="000000"/>
                <w:sz w:val="24"/>
                <w:szCs w:val="24"/>
                <w:highlight w:val="none"/>
                <w:lang w:val="en-US" w:eastAsia="zh-CN"/>
              </w:rPr>
              <w:t>、SO</w:t>
            </w:r>
            <w:r>
              <w:rPr>
                <w:rFonts w:hint="default" w:ascii="Times New Roman" w:hAnsi="Times New Roman" w:eastAsia="宋体" w:cs="Times New Roman"/>
                <w:color w:val="000000"/>
                <w:sz w:val="24"/>
                <w:szCs w:val="24"/>
                <w:highlight w:val="none"/>
                <w:vertAlign w:val="subscript"/>
                <w:lang w:val="en-US" w:eastAsia="zh-CN"/>
              </w:rPr>
              <w:t>2</w:t>
            </w:r>
            <w:r>
              <w:rPr>
                <w:rFonts w:hint="default" w:ascii="Times New Roman" w:hAnsi="Times New Roman" w:eastAsia="宋体" w:cs="Times New Roman"/>
                <w:color w:val="000000"/>
                <w:sz w:val="24"/>
                <w:szCs w:val="24"/>
                <w:highlight w:val="none"/>
                <w:lang w:val="en-US" w:eastAsia="zh-CN"/>
              </w:rPr>
              <w:t>、NO</w:t>
            </w:r>
            <w:r>
              <w:rPr>
                <w:rFonts w:hint="default" w:ascii="Times New Roman" w:hAnsi="Times New Roman" w:eastAsia="宋体" w:cs="Times New Roman"/>
                <w:color w:val="000000"/>
                <w:sz w:val="24"/>
                <w:szCs w:val="24"/>
                <w:highlight w:val="none"/>
                <w:vertAlign w:val="subscript"/>
                <w:lang w:val="en-US" w:eastAsia="zh-CN"/>
              </w:rPr>
              <w:t>2</w:t>
            </w:r>
            <w:r>
              <w:rPr>
                <w:rFonts w:hint="default" w:ascii="Times New Roman" w:hAnsi="Times New Roman" w:eastAsia="宋体" w:cs="Times New Roman"/>
                <w:color w:val="000000"/>
                <w:sz w:val="24"/>
                <w:szCs w:val="24"/>
                <w:highlight w:val="none"/>
                <w:lang w:val="en-US" w:eastAsia="zh-CN"/>
              </w:rPr>
              <w:t>、CO和O</w:t>
            </w:r>
            <w:r>
              <w:rPr>
                <w:rFonts w:hint="default" w:ascii="Times New Roman" w:hAnsi="Times New Roman" w:eastAsia="宋体" w:cs="Times New Roman"/>
                <w:color w:val="000000"/>
                <w:sz w:val="24"/>
                <w:szCs w:val="24"/>
                <w:highlight w:val="none"/>
                <w:vertAlign w:val="subscript"/>
                <w:lang w:val="en-US" w:eastAsia="zh-CN"/>
              </w:rPr>
              <w:t>3</w:t>
            </w:r>
            <w:r>
              <w:rPr>
                <w:rFonts w:hint="default" w:ascii="Times New Roman" w:hAnsi="Times New Roman" w:eastAsia="宋体" w:cs="Times New Roman"/>
                <w:color w:val="000000"/>
                <w:sz w:val="24"/>
                <w:szCs w:val="24"/>
                <w:highlight w:val="none"/>
                <w:lang w:val="en-US" w:eastAsia="zh-CN"/>
              </w:rPr>
              <w:t>-8h平均浓度分别为28μg/m</w:t>
            </w:r>
            <w:r>
              <w:rPr>
                <w:rFonts w:hint="eastAsia"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、43μg/m</w:t>
            </w:r>
            <w:r>
              <w:rPr>
                <w:rFonts w:hint="eastAsia"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、8μg/m</w:t>
            </w:r>
            <w:r>
              <w:rPr>
                <w:rFonts w:hint="eastAsia"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、17μg/m</w:t>
            </w:r>
            <w:r>
              <w:rPr>
                <w:rFonts w:hint="eastAsia"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、0.9mg/m</w:t>
            </w:r>
            <w:r>
              <w:rPr>
                <w:rFonts w:hint="eastAsia"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和105μg/m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。与上年同期相比，除PM</w:t>
            </w:r>
            <w:r>
              <w:rPr>
                <w:rFonts w:hint="eastAsia" w:ascii="Times New Roman" w:hAnsi="Times New Roman" w:eastAsia="宋体" w:cs="Times New Roman"/>
                <w:color w:val="000000"/>
                <w:sz w:val="24"/>
                <w:szCs w:val="24"/>
                <w:highlight w:val="none"/>
                <w:vertAlign w:val="subscript"/>
                <w:lang w:val="en-US" w:eastAsia="zh-CN"/>
              </w:rPr>
              <w:t>2.5</w:t>
            </w:r>
            <w:r>
              <w:rPr>
                <w:rFonts w:hint="eastAsia" w:ascii="Times New Roman" w:hAnsi="Times New Roman" w:eastAsia="宋体" w:cs="Times New Roman"/>
                <w:color w:val="000000"/>
                <w:sz w:val="24"/>
                <w:szCs w:val="24"/>
                <w:highlight w:val="none"/>
                <w:lang w:val="en-US" w:eastAsia="zh-CN"/>
              </w:rPr>
              <w:t>浓度和PM</w:t>
            </w:r>
            <w:r>
              <w:rPr>
                <w:rFonts w:hint="eastAsia" w:ascii="Times New Roman" w:hAnsi="Times New Roman" w:eastAsia="宋体" w:cs="Times New Roman"/>
                <w:color w:val="000000"/>
                <w:sz w:val="24"/>
                <w:szCs w:val="24"/>
                <w:highlight w:val="none"/>
                <w:vertAlign w:val="subscript"/>
                <w:lang w:val="en-US" w:eastAsia="zh-CN"/>
              </w:rPr>
              <w:t>10</w:t>
            </w:r>
            <w:r>
              <w:rPr>
                <w:rFonts w:hint="eastAsia" w:ascii="Times New Roman" w:hAnsi="Times New Roman" w:eastAsia="宋体" w:cs="Times New Roman"/>
                <w:color w:val="000000"/>
                <w:sz w:val="24"/>
                <w:szCs w:val="24"/>
                <w:highlight w:val="none"/>
                <w:lang w:val="en-US" w:eastAsia="zh-CN"/>
              </w:rPr>
              <w:t>浓度同比上升外，其余4项污染物浓度同比均下降或不变。</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spacing w:val="0"/>
                <w:w w:val="100"/>
                <w:kern w:val="0"/>
                <w:position w:val="0"/>
                <w:sz w:val="21"/>
                <w:szCs w:val="21"/>
                <w:highlight w:val="none"/>
              </w:rPr>
            </w:pPr>
            <w:r>
              <w:rPr>
                <w:rFonts w:hint="default" w:ascii="Times New Roman" w:hAnsi="Times New Roman" w:eastAsia="宋体" w:cs="Times New Roman"/>
                <w:b/>
                <w:bCs/>
                <w:color w:val="auto"/>
                <w:spacing w:val="0"/>
                <w:w w:val="100"/>
                <w:kern w:val="0"/>
                <w:position w:val="0"/>
                <w:sz w:val="21"/>
                <w:szCs w:val="21"/>
                <w:highlight w:val="none"/>
              </w:rPr>
              <w:t>表3-1</w:t>
            </w:r>
            <w:r>
              <w:rPr>
                <w:rFonts w:hint="default" w:ascii="Times New Roman" w:hAnsi="Times New Roman" w:eastAsia="宋体" w:cs="Times New Roman"/>
                <w:b/>
                <w:bCs/>
                <w:color w:val="auto"/>
                <w:spacing w:val="0"/>
                <w:w w:val="100"/>
                <w:kern w:val="0"/>
                <w:position w:val="0"/>
                <w:sz w:val="21"/>
                <w:szCs w:val="21"/>
                <w:highlight w:val="none"/>
                <w:lang w:val="en-US" w:eastAsia="zh-CN"/>
              </w:rPr>
              <w:t xml:space="preserve">  全省</w:t>
            </w:r>
            <w:r>
              <w:rPr>
                <w:rFonts w:hint="default" w:ascii="Times New Roman" w:hAnsi="Times New Roman" w:eastAsia="宋体" w:cs="Times New Roman"/>
                <w:b/>
                <w:bCs/>
                <w:color w:val="auto"/>
                <w:spacing w:val="0"/>
                <w:w w:val="100"/>
                <w:kern w:val="0"/>
                <w:position w:val="0"/>
                <w:sz w:val="21"/>
                <w:szCs w:val="21"/>
                <w:highlight w:val="none"/>
              </w:rPr>
              <w:t>空气质量现状评价表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39"/>
              <w:gridCol w:w="1971"/>
              <w:gridCol w:w="1220"/>
              <w:gridCol w:w="1220"/>
              <w:gridCol w:w="918"/>
              <w:gridCol w:w="7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1859"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污染物</w:t>
                  </w:r>
                </w:p>
              </w:tc>
              <w:tc>
                <w:tcPr>
                  <w:tcW w:w="189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年评价指标</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现状浓度/（</w:t>
                  </w:r>
                  <w:r>
                    <w:rPr>
                      <w:rFonts w:hint="default" w:ascii="Times New Roman" w:hAnsi="Times New Roman" w:eastAsia="宋体" w:cs="Times New Roman"/>
                      <w:color w:val="000000"/>
                      <w:sz w:val="21"/>
                      <w:szCs w:val="21"/>
                      <w:highlight w:val="none"/>
                      <w:lang w:val="en-US" w:eastAsia="zh-CN"/>
                    </w:rPr>
                    <w:t>μg/m</w:t>
                  </w:r>
                  <w:r>
                    <w:rPr>
                      <w:rFonts w:hint="eastAsia" w:ascii="Times New Roman" w:hAnsi="Times New Roman" w:eastAsia="宋体" w:cs="Times New Roman"/>
                      <w:color w:val="000000"/>
                      <w:sz w:val="21"/>
                      <w:szCs w:val="21"/>
                      <w:highlight w:val="none"/>
                      <w:vertAlign w:val="superscript"/>
                      <w:lang w:val="en-US" w:eastAsia="zh-CN"/>
                    </w:rPr>
                    <w:t>3</w:t>
                  </w:r>
                  <w:r>
                    <w:rPr>
                      <w:rFonts w:hint="default" w:ascii="Times New Roman" w:hAnsi="Times New Roman" w:eastAsia="宋体" w:cs="Times New Roman"/>
                      <w:color w:val="auto"/>
                      <w:spacing w:val="0"/>
                      <w:w w:val="100"/>
                      <w:position w:val="0"/>
                      <w:sz w:val="21"/>
                      <w:szCs w:val="21"/>
                      <w:highlight w:val="none"/>
                    </w:rPr>
                    <w:t>）</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标准值/</w:t>
                  </w:r>
                </w:p>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w:t>
                  </w:r>
                  <w:r>
                    <w:rPr>
                      <w:rFonts w:hint="default" w:ascii="Times New Roman" w:hAnsi="Times New Roman" w:eastAsia="宋体" w:cs="Times New Roman"/>
                      <w:color w:val="000000"/>
                      <w:sz w:val="21"/>
                      <w:szCs w:val="21"/>
                      <w:highlight w:val="none"/>
                      <w:lang w:val="en-US" w:eastAsia="zh-CN"/>
                    </w:rPr>
                    <w:t>μg/m</w:t>
                  </w:r>
                  <w:r>
                    <w:rPr>
                      <w:rFonts w:hint="eastAsia" w:ascii="Times New Roman" w:hAnsi="Times New Roman" w:eastAsia="宋体" w:cs="Times New Roman"/>
                      <w:color w:val="000000"/>
                      <w:sz w:val="21"/>
                      <w:szCs w:val="21"/>
                      <w:highlight w:val="none"/>
                      <w:vertAlign w:val="superscript"/>
                      <w:lang w:val="en-US" w:eastAsia="zh-CN"/>
                    </w:rPr>
                    <w:t>3</w:t>
                  </w:r>
                  <w:r>
                    <w:rPr>
                      <w:rFonts w:hint="default" w:ascii="Times New Roman" w:hAnsi="Times New Roman" w:eastAsia="宋体" w:cs="Times New Roman"/>
                      <w:color w:val="auto"/>
                      <w:spacing w:val="0"/>
                      <w:w w:val="100"/>
                      <w:position w:val="0"/>
                      <w:sz w:val="21"/>
                      <w:szCs w:val="21"/>
                      <w:highlight w:val="none"/>
                    </w:rPr>
                    <w:t>）</w:t>
                  </w:r>
                </w:p>
              </w:tc>
              <w:tc>
                <w:tcPr>
                  <w:tcW w:w="88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占标率/（%）</w:t>
                  </w:r>
                </w:p>
              </w:tc>
              <w:tc>
                <w:tcPr>
                  <w:tcW w:w="736"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859"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细颗粒物（PM</w:t>
                  </w:r>
                  <w:r>
                    <w:rPr>
                      <w:rFonts w:hint="default" w:ascii="Times New Roman" w:hAnsi="Times New Roman" w:eastAsia="宋体" w:cs="Times New Roman"/>
                      <w:color w:val="auto"/>
                      <w:spacing w:val="0"/>
                      <w:w w:val="100"/>
                      <w:position w:val="0"/>
                      <w:sz w:val="21"/>
                      <w:szCs w:val="21"/>
                      <w:highlight w:val="none"/>
                      <w:vertAlign w:val="subscript"/>
                    </w:rPr>
                    <w:t>2.5</w:t>
                  </w:r>
                  <w:r>
                    <w:rPr>
                      <w:rFonts w:hint="default" w:ascii="Times New Roman" w:hAnsi="Times New Roman" w:eastAsia="宋体" w:cs="Times New Roman"/>
                      <w:color w:val="auto"/>
                      <w:spacing w:val="0"/>
                      <w:w w:val="100"/>
                      <w:position w:val="0"/>
                      <w:sz w:val="21"/>
                      <w:szCs w:val="21"/>
                      <w:highlight w:val="none"/>
                    </w:rPr>
                    <w:t>）</w:t>
                  </w:r>
                </w:p>
              </w:tc>
              <w:tc>
                <w:tcPr>
                  <w:tcW w:w="189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年平均质量浓度</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28</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35</w:t>
                  </w:r>
                </w:p>
              </w:tc>
              <w:tc>
                <w:tcPr>
                  <w:tcW w:w="88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80.0</w:t>
                  </w:r>
                </w:p>
              </w:tc>
              <w:tc>
                <w:tcPr>
                  <w:tcW w:w="736"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1859"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可吸入颗粒物（PM</w:t>
                  </w:r>
                  <w:r>
                    <w:rPr>
                      <w:rFonts w:hint="default" w:ascii="Times New Roman" w:hAnsi="Times New Roman" w:eastAsia="宋体" w:cs="Times New Roman"/>
                      <w:color w:val="auto"/>
                      <w:spacing w:val="0"/>
                      <w:w w:val="100"/>
                      <w:position w:val="0"/>
                      <w:sz w:val="21"/>
                      <w:szCs w:val="21"/>
                      <w:highlight w:val="none"/>
                      <w:vertAlign w:val="subscript"/>
                    </w:rPr>
                    <w:t>10</w:t>
                  </w:r>
                  <w:r>
                    <w:rPr>
                      <w:rFonts w:hint="default" w:ascii="Times New Roman" w:hAnsi="Times New Roman" w:eastAsia="宋体" w:cs="Times New Roman"/>
                      <w:color w:val="auto"/>
                      <w:spacing w:val="0"/>
                      <w:w w:val="100"/>
                      <w:position w:val="0"/>
                      <w:sz w:val="21"/>
                      <w:szCs w:val="21"/>
                      <w:highlight w:val="none"/>
                    </w:rPr>
                    <w:t>）</w:t>
                  </w:r>
                </w:p>
              </w:tc>
              <w:tc>
                <w:tcPr>
                  <w:tcW w:w="189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年平均质量浓度</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43</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70</w:t>
                  </w:r>
                </w:p>
              </w:tc>
              <w:tc>
                <w:tcPr>
                  <w:tcW w:w="88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61.4</w:t>
                  </w:r>
                </w:p>
              </w:tc>
              <w:tc>
                <w:tcPr>
                  <w:tcW w:w="736" w:type="dxa"/>
                  <w:tcBorders>
                    <w:tl2br w:val="nil"/>
                    <w:tr2bl w:val="nil"/>
                  </w:tcBorders>
                  <w:vAlign w:val="center"/>
                </w:tcPr>
                <w:p>
                  <w:pPr>
                    <w:spacing w:line="240" w:lineRule="auto"/>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859"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二氧化氮</w:t>
                  </w:r>
                </w:p>
              </w:tc>
              <w:tc>
                <w:tcPr>
                  <w:tcW w:w="189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年平均质量浓度</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17</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40</w:t>
                  </w:r>
                </w:p>
              </w:tc>
              <w:tc>
                <w:tcPr>
                  <w:tcW w:w="88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42.5</w:t>
                  </w:r>
                </w:p>
              </w:tc>
              <w:tc>
                <w:tcPr>
                  <w:tcW w:w="736" w:type="dxa"/>
                  <w:tcBorders>
                    <w:tl2br w:val="nil"/>
                    <w:tr2bl w:val="nil"/>
                  </w:tcBorders>
                  <w:vAlign w:val="center"/>
                </w:tcPr>
                <w:p>
                  <w:pPr>
                    <w:spacing w:line="240" w:lineRule="auto"/>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859"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二氧化硫</w:t>
                  </w:r>
                </w:p>
              </w:tc>
              <w:tc>
                <w:tcPr>
                  <w:tcW w:w="189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年平均质量浓度</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8</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60</w:t>
                  </w:r>
                </w:p>
              </w:tc>
              <w:tc>
                <w:tcPr>
                  <w:tcW w:w="88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13.3</w:t>
                  </w:r>
                </w:p>
              </w:tc>
              <w:tc>
                <w:tcPr>
                  <w:tcW w:w="736"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1859"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一氧化碳（</w:t>
                  </w:r>
                  <w:r>
                    <w:rPr>
                      <w:rFonts w:hint="default" w:ascii="Times New Roman" w:hAnsi="Times New Roman" w:eastAsia="宋体" w:cs="Times New Roman"/>
                      <w:color w:val="auto"/>
                      <w:spacing w:val="0"/>
                      <w:w w:val="100"/>
                      <w:position w:val="0"/>
                      <w:sz w:val="21"/>
                      <w:szCs w:val="21"/>
                      <w:highlight w:val="none"/>
                      <w:shd w:val="clear" w:color="auto" w:fill="FFFFFF"/>
                    </w:rPr>
                    <w:t>mg/m</w:t>
                  </w:r>
                  <w:r>
                    <w:rPr>
                      <w:rFonts w:hint="default" w:ascii="Times New Roman" w:hAnsi="Times New Roman" w:eastAsia="宋体" w:cs="Times New Roman"/>
                      <w:color w:val="auto"/>
                      <w:spacing w:val="0"/>
                      <w:w w:val="100"/>
                      <w:position w:val="0"/>
                      <w:sz w:val="21"/>
                      <w:szCs w:val="21"/>
                      <w:highlight w:val="none"/>
                      <w:shd w:val="clear" w:color="auto" w:fill="FFFFFF"/>
                      <w:vertAlign w:val="superscript"/>
                    </w:rPr>
                    <w:t>3</w:t>
                  </w:r>
                  <w:r>
                    <w:rPr>
                      <w:rFonts w:hint="default" w:ascii="Times New Roman" w:hAnsi="Times New Roman" w:eastAsia="宋体" w:cs="Times New Roman"/>
                      <w:color w:val="auto"/>
                      <w:spacing w:val="0"/>
                      <w:w w:val="100"/>
                      <w:position w:val="0"/>
                      <w:sz w:val="21"/>
                      <w:szCs w:val="21"/>
                      <w:highlight w:val="none"/>
                    </w:rPr>
                    <w:t>）</w:t>
                  </w:r>
                </w:p>
              </w:tc>
              <w:tc>
                <w:tcPr>
                  <w:tcW w:w="189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平均浓度第95百分位数</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0.9</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4.0</w:t>
                  </w:r>
                </w:p>
              </w:tc>
              <w:tc>
                <w:tcPr>
                  <w:tcW w:w="88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22.5</w:t>
                  </w:r>
                </w:p>
              </w:tc>
              <w:tc>
                <w:tcPr>
                  <w:tcW w:w="736"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1859"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臭氧</w:t>
                  </w:r>
                </w:p>
              </w:tc>
              <w:tc>
                <w:tcPr>
                  <w:tcW w:w="189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val="en-US" w:eastAsia="zh-CN"/>
                    </w:rPr>
                    <w:t>平均浓度第90百分位数</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105</w:t>
                  </w:r>
                </w:p>
              </w:tc>
              <w:tc>
                <w:tcPr>
                  <w:tcW w:w="117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160</w:t>
                  </w:r>
                </w:p>
              </w:tc>
              <w:tc>
                <w:tcPr>
                  <w:tcW w:w="880"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65.63</w:t>
                  </w:r>
                </w:p>
              </w:tc>
              <w:tc>
                <w:tcPr>
                  <w:tcW w:w="736" w:type="dxa"/>
                  <w:tcBorders>
                    <w:tl2br w:val="nil"/>
                    <w:tr2bl w:val="nil"/>
                  </w:tcBorders>
                  <w:vAlign w:val="center"/>
                </w:tcPr>
                <w:p>
                  <w:pPr>
                    <w:pStyle w:val="50"/>
                    <w:tabs>
                      <w:tab w:val="center" w:pos="4153"/>
                      <w:tab w:val="right" w:pos="8306"/>
                    </w:tabs>
                    <w:snapToGrid w:val="0"/>
                    <w:spacing w:beforeLines="0" w:afterLines="0" w:line="240" w:lineRule="auto"/>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达标</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2024年，13个城市的PM</w:t>
            </w:r>
            <w:r>
              <w:rPr>
                <w:rFonts w:hint="eastAsia" w:ascii="Times New Roman" w:hAnsi="Times New Roman" w:eastAsia="宋体" w:cs="Times New Roman"/>
                <w:color w:val="000000"/>
                <w:sz w:val="24"/>
                <w:szCs w:val="24"/>
                <w:highlight w:val="none"/>
                <w:vertAlign w:val="subscript"/>
                <w:lang w:val="en-US" w:eastAsia="zh-CN"/>
              </w:rPr>
              <w:t>2.5</w:t>
            </w:r>
            <w:r>
              <w:rPr>
                <w:rFonts w:hint="eastAsia" w:ascii="Times New Roman" w:hAnsi="Times New Roman" w:eastAsia="宋体" w:cs="Times New Roman"/>
                <w:color w:val="000000"/>
                <w:sz w:val="24"/>
                <w:szCs w:val="24"/>
                <w:highlight w:val="none"/>
                <w:lang w:val="en-US" w:eastAsia="zh-CN"/>
              </w:rPr>
              <w:t>年均浓度范围为18～43</w:t>
            </w:r>
            <w:r>
              <w:rPr>
                <w:rFonts w:hint="default" w:ascii="Times New Roman" w:hAnsi="Times New Roman" w:eastAsia="宋体" w:cs="Times New Roman"/>
                <w:color w:val="000000"/>
                <w:sz w:val="24"/>
                <w:szCs w:val="24"/>
                <w:highlight w:val="none"/>
                <w:lang w:val="en-US" w:eastAsia="zh-CN"/>
              </w:rPr>
              <w:t>μg/m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，PM</w:t>
            </w:r>
            <w:r>
              <w:rPr>
                <w:rFonts w:hint="eastAsia" w:ascii="Times New Roman" w:hAnsi="Times New Roman" w:eastAsia="宋体" w:cs="Times New Roman"/>
                <w:color w:val="000000"/>
                <w:sz w:val="24"/>
                <w:szCs w:val="24"/>
                <w:highlight w:val="none"/>
                <w:vertAlign w:val="subscript"/>
                <w:lang w:val="en-US" w:eastAsia="zh-CN"/>
              </w:rPr>
              <w:t>10</w:t>
            </w:r>
            <w:r>
              <w:rPr>
                <w:rFonts w:hint="eastAsia" w:ascii="Times New Roman" w:hAnsi="Times New Roman" w:eastAsia="宋体" w:cs="Times New Roman"/>
                <w:color w:val="000000"/>
                <w:sz w:val="24"/>
                <w:szCs w:val="24"/>
                <w:highlight w:val="none"/>
                <w:lang w:val="en-US" w:eastAsia="zh-CN"/>
              </w:rPr>
              <w:t>年均浓度范围为23～62</w:t>
            </w:r>
            <w:r>
              <w:rPr>
                <w:rFonts w:hint="default" w:ascii="Times New Roman" w:hAnsi="Times New Roman" w:eastAsia="宋体" w:cs="Times New Roman"/>
                <w:color w:val="000000"/>
                <w:sz w:val="24"/>
                <w:szCs w:val="24"/>
                <w:highlight w:val="none"/>
                <w:lang w:val="en-US" w:eastAsia="zh-CN"/>
              </w:rPr>
              <w:t>μg/m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，SO</w:t>
            </w:r>
            <w:r>
              <w:rPr>
                <w:rFonts w:hint="eastAsia" w:ascii="Times New Roman" w:hAnsi="Times New Roman" w:eastAsia="宋体" w:cs="Times New Roman"/>
                <w:color w:val="000000"/>
                <w:sz w:val="24"/>
                <w:szCs w:val="24"/>
                <w:highlight w:val="none"/>
                <w:vertAlign w:val="subscript"/>
                <w:lang w:val="en-US" w:eastAsia="zh-CN"/>
              </w:rPr>
              <w:t>2</w:t>
            </w:r>
            <w:r>
              <w:rPr>
                <w:rFonts w:hint="eastAsia" w:ascii="Times New Roman" w:hAnsi="Times New Roman" w:eastAsia="宋体" w:cs="Times New Roman"/>
                <w:color w:val="000000"/>
                <w:sz w:val="24"/>
                <w:szCs w:val="24"/>
                <w:highlight w:val="none"/>
                <w:lang w:val="en-US" w:eastAsia="zh-CN"/>
              </w:rPr>
              <w:t>年均浓度范围为6～14</w:t>
            </w:r>
            <w:r>
              <w:rPr>
                <w:rFonts w:hint="default" w:ascii="Times New Roman" w:hAnsi="Times New Roman" w:eastAsia="宋体" w:cs="Times New Roman"/>
                <w:color w:val="000000"/>
                <w:sz w:val="24"/>
                <w:szCs w:val="24"/>
                <w:highlight w:val="none"/>
                <w:lang w:val="en-US" w:eastAsia="zh-CN"/>
              </w:rPr>
              <w:t>μg/m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，NO</w:t>
            </w:r>
            <w:r>
              <w:rPr>
                <w:rFonts w:hint="eastAsia" w:ascii="Times New Roman" w:hAnsi="Times New Roman" w:eastAsia="宋体" w:cs="Times New Roman"/>
                <w:color w:val="000000"/>
                <w:sz w:val="24"/>
                <w:szCs w:val="24"/>
                <w:highlight w:val="none"/>
                <w:vertAlign w:val="subscript"/>
                <w:lang w:val="en-US" w:eastAsia="zh-CN"/>
              </w:rPr>
              <w:t>2</w:t>
            </w:r>
            <w:r>
              <w:rPr>
                <w:rFonts w:hint="eastAsia" w:ascii="Times New Roman" w:hAnsi="Times New Roman" w:eastAsia="宋体" w:cs="Times New Roman"/>
                <w:color w:val="000000"/>
                <w:sz w:val="24"/>
                <w:szCs w:val="24"/>
                <w:highlight w:val="none"/>
                <w:lang w:val="en-US" w:eastAsia="zh-CN"/>
              </w:rPr>
              <w:t>年均浓度范围为9～29</w:t>
            </w:r>
            <w:r>
              <w:rPr>
                <w:rFonts w:hint="default" w:ascii="Times New Roman" w:hAnsi="Times New Roman" w:eastAsia="宋体" w:cs="Times New Roman"/>
                <w:color w:val="000000"/>
                <w:sz w:val="24"/>
                <w:szCs w:val="24"/>
                <w:highlight w:val="none"/>
                <w:lang w:val="en-US" w:eastAsia="zh-CN"/>
              </w:rPr>
              <w:t>μg/m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，CO-95per浓度范围为0.6～1.1mg/m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，O</w:t>
            </w:r>
            <w:r>
              <w:rPr>
                <w:rFonts w:hint="eastAsia" w:ascii="Times New Roman" w:hAnsi="Times New Roman" w:eastAsia="宋体" w:cs="Times New Roman"/>
                <w:color w:val="000000"/>
                <w:sz w:val="24"/>
                <w:szCs w:val="24"/>
                <w:highlight w:val="none"/>
                <w:vertAlign w:val="subscript"/>
                <w:lang w:val="en-US" w:eastAsia="zh-CN"/>
              </w:rPr>
              <w:t>3</w:t>
            </w:r>
            <w:r>
              <w:rPr>
                <w:rFonts w:hint="eastAsia" w:ascii="Times New Roman" w:hAnsi="Times New Roman" w:eastAsia="宋体" w:cs="Times New Roman"/>
                <w:color w:val="000000"/>
                <w:sz w:val="24"/>
                <w:szCs w:val="24"/>
                <w:highlight w:val="none"/>
                <w:lang w:val="en-US" w:eastAsia="zh-CN"/>
              </w:rPr>
              <w:t>-8h-90per浓度范围为90～120</w:t>
            </w:r>
            <w:r>
              <w:rPr>
                <w:rFonts w:hint="default" w:ascii="Times New Roman" w:hAnsi="Times New Roman" w:eastAsia="宋体" w:cs="Times New Roman"/>
                <w:color w:val="000000"/>
                <w:sz w:val="24"/>
                <w:szCs w:val="24"/>
                <w:highlight w:val="none"/>
                <w:lang w:val="en-US" w:eastAsia="zh-CN"/>
              </w:rPr>
              <w:t>μg/m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。2024年双鸭山市空气基本污染物中PM</w:t>
            </w:r>
            <w:r>
              <w:rPr>
                <w:rFonts w:hint="eastAsia" w:ascii="Times New Roman" w:hAnsi="Times New Roman" w:eastAsia="宋体" w:cs="Times New Roman"/>
                <w:color w:val="000000"/>
                <w:sz w:val="24"/>
                <w:szCs w:val="24"/>
                <w:highlight w:val="none"/>
                <w:vertAlign w:val="subscript"/>
                <w:lang w:val="en-US" w:eastAsia="zh-CN"/>
              </w:rPr>
              <w:t>2.5</w:t>
            </w:r>
            <w:r>
              <w:rPr>
                <w:rFonts w:hint="eastAsia" w:ascii="Times New Roman" w:hAnsi="Times New Roman" w:eastAsia="宋体" w:cs="Times New Roman"/>
                <w:color w:val="000000"/>
                <w:sz w:val="24"/>
                <w:szCs w:val="24"/>
                <w:highlight w:val="none"/>
                <w:lang w:val="en-US" w:eastAsia="zh-CN"/>
              </w:rPr>
              <w:t>、PM</w:t>
            </w:r>
            <w:r>
              <w:rPr>
                <w:rFonts w:hint="eastAsia" w:ascii="Times New Roman" w:hAnsi="Times New Roman" w:eastAsia="宋体" w:cs="Times New Roman"/>
                <w:color w:val="000000"/>
                <w:sz w:val="24"/>
                <w:szCs w:val="24"/>
                <w:highlight w:val="none"/>
                <w:vertAlign w:val="subscript"/>
                <w:lang w:val="en-US" w:eastAsia="zh-CN"/>
              </w:rPr>
              <w:t>10</w:t>
            </w:r>
            <w:r>
              <w:rPr>
                <w:rFonts w:hint="eastAsia" w:ascii="Times New Roman" w:hAnsi="Times New Roman" w:eastAsia="宋体" w:cs="Times New Roman"/>
                <w:color w:val="000000"/>
                <w:sz w:val="24"/>
                <w:szCs w:val="24"/>
                <w:highlight w:val="none"/>
                <w:lang w:val="en-US" w:eastAsia="zh-CN"/>
              </w:rPr>
              <w:t>、SO</w:t>
            </w:r>
            <w:r>
              <w:rPr>
                <w:rFonts w:hint="eastAsia" w:ascii="Times New Roman" w:hAnsi="Times New Roman" w:eastAsia="宋体" w:cs="Times New Roman"/>
                <w:color w:val="000000"/>
                <w:sz w:val="24"/>
                <w:szCs w:val="24"/>
                <w:highlight w:val="none"/>
                <w:vertAlign w:val="subscript"/>
                <w:lang w:val="en-US" w:eastAsia="zh-CN"/>
              </w:rPr>
              <w:t>2</w:t>
            </w:r>
            <w:r>
              <w:rPr>
                <w:rFonts w:hint="eastAsia" w:ascii="Times New Roman" w:hAnsi="Times New Roman" w:eastAsia="宋体" w:cs="Times New Roman"/>
                <w:color w:val="000000"/>
                <w:sz w:val="24"/>
                <w:szCs w:val="24"/>
                <w:highlight w:val="none"/>
                <w:lang w:val="en-US" w:eastAsia="zh-CN"/>
              </w:rPr>
              <w:t>、NO</w:t>
            </w:r>
            <w:r>
              <w:rPr>
                <w:rFonts w:hint="eastAsia" w:ascii="Times New Roman" w:hAnsi="Times New Roman" w:eastAsia="宋体" w:cs="Times New Roman"/>
                <w:color w:val="000000"/>
                <w:sz w:val="24"/>
                <w:szCs w:val="24"/>
                <w:highlight w:val="none"/>
                <w:vertAlign w:val="subscript"/>
                <w:lang w:val="en-US" w:eastAsia="zh-CN"/>
              </w:rPr>
              <w:t>2</w:t>
            </w:r>
            <w:r>
              <w:rPr>
                <w:rFonts w:hint="eastAsia" w:ascii="Times New Roman" w:hAnsi="Times New Roman" w:eastAsia="宋体" w:cs="Times New Roman"/>
                <w:color w:val="000000"/>
                <w:sz w:val="24"/>
                <w:szCs w:val="24"/>
                <w:highlight w:val="none"/>
                <w:lang w:val="en-US" w:eastAsia="zh-CN"/>
              </w:rPr>
              <w:t>年平均质量浓度均满足《环境空气质量标准》（GB 3095-2012）及修改单中的二级标准浓度限值；CO第95百分位数日平均浓度、O</w:t>
            </w:r>
            <w:r>
              <w:rPr>
                <w:rFonts w:hint="eastAsia" w:ascii="Times New Roman" w:hAnsi="Times New Roman" w:eastAsia="宋体" w:cs="Times New Roman"/>
                <w:color w:val="000000"/>
                <w:sz w:val="24"/>
                <w:szCs w:val="24"/>
                <w:highlight w:val="none"/>
                <w:vertAlign w:val="subscript"/>
                <w:lang w:val="en-US" w:eastAsia="zh-CN"/>
              </w:rPr>
              <w:t>3</w:t>
            </w:r>
            <w:r>
              <w:rPr>
                <w:rFonts w:hint="eastAsia" w:ascii="Times New Roman" w:hAnsi="Times New Roman" w:eastAsia="宋体" w:cs="Times New Roman"/>
                <w:color w:val="000000"/>
                <w:sz w:val="24"/>
                <w:szCs w:val="24"/>
                <w:highlight w:val="none"/>
                <w:lang w:val="en-US" w:eastAsia="zh-CN"/>
              </w:rPr>
              <w:t>第90百分位数8h平均质量浓度均满足《环境空气质量标准》（GB 3095-2012）及修改单中的二级标准浓度限值。因此，本项目所在区域为达标区。</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b/>
                <w:bCs/>
                <w:spacing w:val="0"/>
                <w:w w:val="100"/>
                <w:kern w:val="0"/>
                <w:position w:val="0"/>
                <w:sz w:val="24"/>
                <w:szCs w:val="24"/>
                <w:lang w:val="en-US" w:eastAsia="zh-CN"/>
              </w:rPr>
            </w:pPr>
            <w:r>
              <w:rPr>
                <w:rFonts w:hint="eastAsia" w:ascii="宋体" w:hAnsi="宋体" w:eastAsia="宋体" w:cs="宋体"/>
                <w:b/>
                <w:bCs/>
                <w:spacing w:val="0"/>
                <w:w w:val="100"/>
                <w:kern w:val="0"/>
                <w:position w:val="0"/>
                <w:sz w:val="24"/>
                <w:szCs w:val="24"/>
                <w:lang w:val="en-US" w:eastAsia="zh-CN"/>
              </w:rPr>
              <w:t>四</w:t>
            </w:r>
            <w:r>
              <w:rPr>
                <w:rFonts w:hint="default" w:ascii="宋体" w:hAnsi="宋体" w:eastAsia="宋体" w:cs="宋体"/>
                <w:b/>
                <w:bCs/>
                <w:spacing w:val="0"/>
                <w:w w:val="100"/>
                <w:kern w:val="0"/>
                <w:position w:val="0"/>
                <w:sz w:val="24"/>
                <w:szCs w:val="24"/>
                <w:lang w:val="en-US" w:eastAsia="zh-CN"/>
              </w:rPr>
              <w:t>、地表水</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根据《全国重要江河湖泊水功能区划》（2011-2030年）和《2024年黑龙江省生态环境质量状况》，</w:t>
            </w:r>
            <w:r>
              <w:rPr>
                <w:rFonts w:hint="default" w:ascii="Times New Roman" w:hAnsi="Times New Roman" w:eastAsia="宋体" w:cs="Times New Roman"/>
                <w:color w:val="auto"/>
                <w:spacing w:val="0"/>
                <w:w w:val="100"/>
                <w:position w:val="0"/>
                <w:sz w:val="24"/>
                <w:szCs w:val="24"/>
                <w:highlight w:val="none"/>
                <w:u w:val="none"/>
                <w:lang w:val="en-US" w:eastAsia="zh-CN"/>
              </w:rPr>
              <w:t>本项目地表水为安邦河，属于黑龙江支流松花江右岸支流</w:t>
            </w:r>
            <w:r>
              <w:rPr>
                <w:rFonts w:hint="default" w:ascii="Times New Roman" w:hAnsi="Times New Roman" w:eastAsia="宋体" w:cs="Times New Roman"/>
                <w:color w:val="000000"/>
                <w:sz w:val="24"/>
                <w:szCs w:val="24"/>
                <w:highlight w:val="none"/>
                <w:lang w:val="en-US" w:eastAsia="zh-CN"/>
              </w:rPr>
              <w:t>。该段执行《地表水质量标准》（GB3838-2002）中的Ⅲ类标准。根据《2024年黑龙江省生态环境质量状况》，2024年，松花江水系的干流及51条支流共133个断面。水质状况为良好，其中Ⅱ类水质占14.3%，Ⅲ类水质占60.9%，IV类水质占16.5%，V类水质占6.8%，劣V类水质占1.5%，I～Ⅲ类水质比例为75.2%。与上年同期相比，I～Ⅲ类水质比例上升1.5个百分点，劣V类水质比例保持不变；2024年，黑龙江水系的干流及10条支流共26个断面，水质状况为轻度污染，其中Ⅱ类水质占3.8%，Ⅲ类水质占42.3%，IV类水质占53.8%，无劣V类水质断面，I～Ⅲ类水质比例为46.2%。与上年同期相比，I～Ⅲ类水质比例上升3.9个百分点，均无劣V类水质断面。符合《地表水环境质量标准》（GB3838-2002）Ⅲ类水质标准。</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b/>
                <w:bCs/>
                <w:spacing w:val="0"/>
                <w:w w:val="100"/>
                <w:kern w:val="0"/>
                <w:position w:val="0"/>
                <w:sz w:val="24"/>
                <w:szCs w:val="24"/>
                <w:lang w:val="en-US" w:eastAsia="zh-CN"/>
              </w:rPr>
            </w:pPr>
            <w:r>
              <w:rPr>
                <w:rFonts w:hint="eastAsia" w:ascii="宋体" w:hAnsi="宋体" w:eastAsia="宋体" w:cs="宋体"/>
                <w:b/>
                <w:bCs/>
                <w:spacing w:val="0"/>
                <w:w w:val="100"/>
                <w:kern w:val="0"/>
                <w:position w:val="0"/>
                <w:sz w:val="24"/>
                <w:szCs w:val="24"/>
                <w:lang w:val="en-US" w:eastAsia="zh-CN"/>
              </w:rPr>
              <w:t>五</w:t>
            </w:r>
            <w:r>
              <w:rPr>
                <w:rFonts w:hint="default" w:ascii="宋体" w:hAnsi="宋体" w:eastAsia="宋体" w:cs="宋体"/>
                <w:b/>
                <w:bCs/>
                <w:spacing w:val="0"/>
                <w:w w:val="100"/>
                <w:kern w:val="0"/>
                <w:position w:val="0"/>
                <w:sz w:val="24"/>
                <w:szCs w:val="24"/>
                <w:lang w:val="en-US" w:eastAsia="zh-CN"/>
              </w:rPr>
              <w:t>、声环境</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bookmarkStart w:id="46" w:name="_Hlk122088243"/>
            <w:r>
              <w:rPr>
                <w:rFonts w:hint="eastAsia" w:ascii="Times New Roman" w:hAnsi="Times New Roman" w:eastAsia="宋体" w:cs="Times New Roman"/>
                <w:color w:val="000000"/>
                <w:sz w:val="24"/>
                <w:szCs w:val="24"/>
                <w:highlight w:val="none"/>
                <w:lang w:val="en-US" w:eastAsia="zh-CN"/>
              </w:rPr>
              <w:t>根据《2024年黑龙江省生态环境质量状况》，2024年，全省13个城市区域昼间平均等效声级为53.6dB(A)，同比上升0.1dB(A)。城市区域昼间噪声总体水平等级划分为二级，评价为“较好”。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13个城市区域昼间平均等效声级范围为50.1~58.2dB(A)，其中最高值在牡丹江市，最低值在伊春市。</w:t>
            </w:r>
            <w:bookmarkEnd w:id="46"/>
          </w:p>
          <w:p>
            <w:pPr>
              <w:keepNext w:val="0"/>
              <w:keepLines w:val="0"/>
              <w:pageBreakBefore w:val="0"/>
              <w:widowControl/>
              <w:numPr>
                <w:ilvl w:val="0"/>
                <w:numId w:val="3"/>
              </w:numPr>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color w:val="000000"/>
                <w:sz w:val="24"/>
                <w:szCs w:val="24"/>
                <w:highlight w:val="none"/>
                <w:lang w:val="en-US" w:eastAsia="zh-CN"/>
              </w:rPr>
            </w:pPr>
            <w:r>
              <w:rPr>
                <w:rFonts w:hint="eastAsia" w:cs="Times New Roman"/>
                <w:color w:val="000000"/>
                <w:sz w:val="24"/>
                <w:szCs w:val="24"/>
                <w:highlight w:val="none"/>
                <w:lang w:val="en-US" w:eastAsia="zh-CN"/>
              </w:rPr>
              <w:t>监测数据的来源</w:t>
            </w:r>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本次评价委托黑龙江源宁环境检测有限公司于202</w:t>
            </w:r>
            <w:r>
              <w:rPr>
                <w:rFonts w:hint="eastAsia" w:cs="Times New Roman"/>
                <w:color w:val="000000"/>
                <w:sz w:val="24"/>
                <w:szCs w:val="24"/>
                <w:highlight w:val="none"/>
                <w:lang w:val="en-US" w:eastAsia="zh-CN"/>
              </w:rPr>
              <w:t>5</w:t>
            </w:r>
            <w:r>
              <w:rPr>
                <w:rFonts w:hint="eastAsia" w:ascii="Times New Roman" w:hAnsi="Times New Roman" w:eastAsia="宋体" w:cs="Times New Roman"/>
                <w:color w:val="000000"/>
                <w:sz w:val="24"/>
                <w:szCs w:val="24"/>
                <w:highlight w:val="none"/>
                <w:lang w:val="en-US" w:eastAsia="zh-CN"/>
              </w:rPr>
              <w:t>年</w:t>
            </w:r>
            <w:r>
              <w:rPr>
                <w:rFonts w:hint="eastAsia" w:cs="Times New Roman"/>
                <w:color w:val="000000"/>
                <w:sz w:val="24"/>
                <w:szCs w:val="24"/>
                <w:highlight w:val="none"/>
                <w:lang w:val="en-US" w:eastAsia="zh-CN"/>
              </w:rPr>
              <w:t>11</w:t>
            </w:r>
            <w:r>
              <w:rPr>
                <w:rFonts w:hint="eastAsia" w:ascii="Times New Roman" w:hAnsi="Times New Roman" w:eastAsia="宋体" w:cs="Times New Roman"/>
                <w:color w:val="000000"/>
                <w:sz w:val="24"/>
                <w:szCs w:val="24"/>
                <w:highlight w:val="none"/>
                <w:lang w:val="en-US" w:eastAsia="zh-CN"/>
              </w:rPr>
              <w:t>月</w:t>
            </w:r>
            <w:r>
              <w:rPr>
                <w:rFonts w:hint="eastAsia" w:cs="Times New Roman"/>
                <w:color w:val="000000"/>
                <w:sz w:val="24"/>
                <w:szCs w:val="24"/>
                <w:highlight w:val="none"/>
                <w:lang w:val="en-US" w:eastAsia="zh-CN"/>
              </w:rPr>
              <w:t>12</w:t>
            </w:r>
            <w:r>
              <w:rPr>
                <w:rFonts w:hint="eastAsia" w:ascii="Times New Roman" w:hAnsi="Times New Roman" w:eastAsia="宋体" w:cs="Times New Roman"/>
                <w:color w:val="000000"/>
                <w:sz w:val="24"/>
                <w:szCs w:val="24"/>
                <w:highlight w:val="none"/>
                <w:lang w:val="en-US" w:eastAsia="zh-CN"/>
              </w:rPr>
              <w:t>日-1</w:t>
            </w:r>
            <w:r>
              <w:rPr>
                <w:rFonts w:hint="eastAsia" w:cs="Times New Roman"/>
                <w:color w:val="000000"/>
                <w:sz w:val="24"/>
                <w:szCs w:val="24"/>
                <w:highlight w:val="none"/>
                <w:lang w:val="en-US" w:eastAsia="zh-CN"/>
              </w:rPr>
              <w:t>1</w:t>
            </w:r>
            <w:r>
              <w:rPr>
                <w:rFonts w:hint="eastAsia" w:ascii="Times New Roman" w:hAnsi="Times New Roman" w:eastAsia="宋体" w:cs="Times New Roman"/>
                <w:color w:val="000000"/>
                <w:sz w:val="24"/>
                <w:szCs w:val="24"/>
                <w:highlight w:val="none"/>
                <w:lang w:val="en-US" w:eastAsia="zh-CN"/>
              </w:rPr>
              <w:t>月1</w:t>
            </w:r>
            <w:r>
              <w:rPr>
                <w:rFonts w:hint="eastAsia" w:cs="Times New Roman"/>
                <w:color w:val="000000"/>
                <w:sz w:val="24"/>
                <w:szCs w:val="24"/>
                <w:highlight w:val="none"/>
                <w:lang w:val="en-US" w:eastAsia="zh-CN"/>
              </w:rPr>
              <w:t>3</w:t>
            </w:r>
            <w:r>
              <w:rPr>
                <w:rFonts w:hint="eastAsia" w:ascii="Times New Roman" w:hAnsi="Times New Roman" w:eastAsia="宋体" w:cs="Times New Roman"/>
                <w:color w:val="000000"/>
                <w:sz w:val="24"/>
                <w:szCs w:val="24"/>
                <w:highlight w:val="none"/>
                <w:lang w:val="en-US" w:eastAsia="zh-CN"/>
              </w:rPr>
              <w:t>日对项目所在区域的声环境质量现状进行监测</w:t>
            </w:r>
            <w:r>
              <w:rPr>
                <w:rFonts w:hint="eastAsia" w:cs="Times New Roman"/>
                <w:color w:val="000000"/>
                <w:sz w:val="24"/>
                <w:szCs w:val="24"/>
                <w:highlight w:val="none"/>
                <w:lang w:val="en-US" w:eastAsia="zh-CN"/>
              </w:rPr>
              <w:t>（报告编号</w:t>
            </w:r>
            <w:r>
              <w:rPr>
                <w:rFonts w:hint="eastAsia" w:ascii="Times New Roman" w:hAnsi="Times New Roman" w:eastAsia="宋体" w:cs="Times New Roman"/>
                <w:color w:val="000000"/>
                <w:sz w:val="24"/>
                <w:szCs w:val="24"/>
                <w:highlight w:val="none"/>
                <w:lang w:val="en-US" w:eastAsia="zh-CN"/>
              </w:rPr>
              <w:t>：黑源检字</w:t>
            </w:r>
            <w:r>
              <w:rPr>
                <w:rFonts w:hint="eastAsia"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2025】1114-01号）。</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2</w:t>
            </w:r>
            <w:r>
              <w:rPr>
                <w:rFonts w:hint="eastAsia" w:ascii="Times New Roman" w:hAnsi="Times New Roman" w:eastAsia="宋体" w:cs="Times New Roman"/>
                <w:color w:val="000000"/>
                <w:sz w:val="24"/>
                <w:szCs w:val="24"/>
                <w:highlight w:val="none"/>
                <w:lang w:val="en-US" w:eastAsia="zh-CN"/>
              </w:rPr>
              <w:t>、监测因子、监测点布设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zh-CN" w:eastAsia="zh-CN"/>
              </w:rPr>
            </w:pPr>
            <w:r>
              <w:rPr>
                <w:rFonts w:hint="default" w:ascii="Times New Roman" w:hAnsi="Times New Roman" w:eastAsia="宋体" w:cs="Times New Roman"/>
                <w:color w:val="000000"/>
                <w:sz w:val="24"/>
                <w:szCs w:val="24"/>
                <w:highlight w:val="none"/>
                <w:lang w:val="zh-CN" w:eastAsia="zh-CN"/>
              </w:rPr>
              <w:t>监测因子：连续等效A声级L</w:t>
            </w:r>
            <w:r>
              <w:rPr>
                <w:rFonts w:hint="eastAsia" w:ascii="Times New Roman" w:hAnsi="Times New Roman" w:eastAsia="宋体" w:cs="Times New Roman"/>
                <w:color w:val="000000"/>
                <w:sz w:val="24"/>
                <w:szCs w:val="24"/>
                <w:highlight w:val="none"/>
                <w:lang w:val="en-US" w:eastAsia="zh-CN"/>
              </w:rPr>
              <w:t>eq</w:t>
            </w:r>
            <w:r>
              <w:rPr>
                <w:rFonts w:hint="default" w:ascii="Times New Roman" w:hAnsi="Times New Roman" w:eastAsia="宋体" w:cs="Times New Roman"/>
                <w:color w:val="000000"/>
                <w:sz w:val="24"/>
                <w:szCs w:val="24"/>
                <w:highlight w:val="none"/>
                <w:lang w:val="zh-CN" w:eastAsia="zh-CN"/>
              </w:rPr>
              <w:t>(A)。</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zh-CN" w:eastAsia="zh-CN"/>
              </w:rPr>
            </w:pPr>
            <w:r>
              <w:rPr>
                <w:rFonts w:hint="default" w:ascii="Times New Roman" w:hAnsi="Times New Roman" w:eastAsia="宋体" w:cs="Times New Roman"/>
                <w:color w:val="000000"/>
                <w:sz w:val="24"/>
                <w:szCs w:val="24"/>
                <w:highlight w:val="none"/>
                <w:lang w:val="zh-CN" w:eastAsia="zh-CN"/>
              </w:rPr>
              <w:t>监测点位：</w:t>
            </w:r>
            <w:r>
              <w:rPr>
                <w:rFonts w:hint="eastAsia" w:ascii="Times New Roman" w:hAnsi="Times New Roman" w:eastAsia="宋体" w:cs="Times New Roman"/>
                <w:color w:val="000000"/>
                <w:sz w:val="24"/>
                <w:szCs w:val="24"/>
                <w:highlight w:val="none"/>
                <w:lang w:val="en-US" w:eastAsia="zh-CN"/>
              </w:rPr>
              <w:t>本项目无声环境保护目标，</w:t>
            </w:r>
            <w:r>
              <w:rPr>
                <w:rFonts w:hint="default" w:ascii="Times New Roman" w:hAnsi="Times New Roman" w:eastAsia="宋体" w:cs="Times New Roman"/>
                <w:color w:val="000000"/>
                <w:sz w:val="24"/>
                <w:szCs w:val="24"/>
                <w:highlight w:val="none"/>
                <w:lang w:val="zh-CN" w:eastAsia="zh-CN"/>
              </w:rPr>
              <w:t>本次噪声</w:t>
            </w:r>
            <w:r>
              <w:rPr>
                <w:rFonts w:hint="eastAsia" w:ascii="Times New Roman" w:hAnsi="Times New Roman" w:eastAsia="宋体" w:cs="Times New Roman"/>
                <w:color w:val="000000"/>
                <w:sz w:val="24"/>
                <w:szCs w:val="24"/>
                <w:highlight w:val="none"/>
                <w:lang w:val="en-US" w:eastAsia="zh-CN"/>
              </w:rPr>
              <w:t>变电站共布设4个监测点位；输电线路起点中点</w:t>
            </w:r>
            <w:r>
              <w:rPr>
                <w:rFonts w:hint="default" w:ascii="Times New Roman" w:hAnsi="Times New Roman" w:eastAsia="宋体" w:cs="Times New Roman"/>
                <w:color w:val="000000"/>
                <w:sz w:val="24"/>
                <w:szCs w:val="24"/>
                <w:highlight w:val="none"/>
                <w:lang w:val="zh-CN" w:eastAsia="zh-CN"/>
              </w:rPr>
              <w:t>设</w:t>
            </w:r>
            <w:r>
              <w:rPr>
                <w:rFonts w:hint="eastAsia" w:ascii="Times New Roman" w:hAnsi="Times New Roman" w:eastAsia="宋体"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lang w:val="zh-CN" w:eastAsia="zh-CN"/>
              </w:rPr>
              <w:t>个监测</w:t>
            </w:r>
            <w:r>
              <w:rPr>
                <w:rFonts w:hint="eastAsia" w:ascii="Times New Roman" w:hAnsi="Times New Roman" w:eastAsia="宋体" w:cs="Times New Roman"/>
                <w:color w:val="000000"/>
                <w:sz w:val="24"/>
                <w:szCs w:val="24"/>
                <w:highlight w:val="none"/>
                <w:lang w:val="en-US" w:eastAsia="zh-CN"/>
              </w:rPr>
              <w:t>点</w:t>
            </w:r>
            <w:r>
              <w:rPr>
                <w:rFonts w:hint="default" w:ascii="Times New Roman" w:hAnsi="Times New Roman" w:eastAsia="宋体" w:cs="Times New Roman"/>
                <w:color w:val="000000"/>
                <w:sz w:val="24"/>
                <w:szCs w:val="24"/>
                <w:highlight w:val="none"/>
                <w:lang w:val="zh-CN"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lang w:val="zh-CN" w:eastAsia="zh-CN"/>
              </w:rPr>
              <w:t>、</w:t>
            </w:r>
            <w:r>
              <w:rPr>
                <w:rFonts w:hint="eastAsia" w:ascii="Times New Roman" w:hAnsi="Times New Roman" w:eastAsia="宋体" w:cs="Times New Roman"/>
                <w:color w:val="000000"/>
                <w:sz w:val="24"/>
                <w:szCs w:val="24"/>
                <w:highlight w:val="none"/>
                <w:lang w:val="en-US" w:eastAsia="zh-CN"/>
              </w:rPr>
              <w:t>监测方法</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zh-CN" w:eastAsia="zh-CN"/>
              </w:rPr>
            </w:pP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zh-CN" w:eastAsia="zh-CN"/>
              </w:rPr>
              <w:t>声环境质量标准</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zh-CN" w:eastAsia="zh-CN"/>
              </w:rPr>
              <w:t>GB 3096-2008</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zh-CN" w:eastAsia="zh-CN"/>
              </w:rPr>
            </w:pPr>
            <w:r>
              <w:rPr>
                <w:rFonts w:hint="default" w:ascii="Times New Roman" w:hAnsi="Times New Roman" w:eastAsia="宋体" w:cs="Times New Roman"/>
                <w:color w:val="000000"/>
                <w:sz w:val="24"/>
                <w:szCs w:val="24"/>
                <w:highlight w:val="none"/>
                <w:lang w:val="zh-CN" w:eastAsia="zh-CN"/>
              </w:rPr>
              <w:t>《工业企业厂界环境噪声排放标准</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zh-CN" w:eastAsia="zh-CN"/>
              </w:rPr>
              <w:t>GB12348-2008</w:t>
            </w:r>
            <w:r>
              <w:rPr>
                <w:rFonts w:hint="eastAsia" w:ascii="Times New Roman" w:hAnsi="Times New Roman" w:eastAsia="宋体" w:cs="Times New Roman"/>
                <w:color w:val="000000"/>
                <w:sz w:val="24"/>
                <w:szCs w:val="24"/>
                <w:highlight w:val="none"/>
                <w:lang w:val="zh-CN" w:eastAsia="zh-CN"/>
              </w:rPr>
              <w:t>）</w:t>
            </w:r>
            <w:r>
              <w:rPr>
                <w:rFonts w:hint="default" w:ascii="Times New Roman" w:hAnsi="Times New Roman" w:eastAsia="宋体" w:cs="Times New Roman"/>
                <w:color w:val="000000"/>
                <w:sz w:val="24"/>
                <w:szCs w:val="24"/>
                <w:highlight w:val="none"/>
                <w:lang w:val="zh-CN"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val="zh-CN" w:eastAsia="zh-CN"/>
              </w:rPr>
              <w:t>、</w:t>
            </w:r>
            <w:r>
              <w:rPr>
                <w:rFonts w:hint="eastAsia" w:ascii="Times New Roman" w:hAnsi="Times New Roman" w:eastAsia="宋体" w:cs="Times New Roman"/>
                <w:color w:val="000000"/>
                <w:sz w:val="24"/>
                <w:szCs w:val="24"/>
                <w:highlight w:val="none"/>
                <w:lang w:val="en-US" w:eastAsia="zh-CN"/>
              </w:rPr>
              <w:t>监测结果与评价</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zh-CN" w:eastAsia="zh-CN"/>
              </w:rPr>
              <w:t>环境噪声监测结果详见表3-</w:t>
            </w:r>
            <w:r>
              <w:rPr>
                <w:rFonts w:hint="eastAsia"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lang w:val="zh-CN" w:eastAsia="zh-CN"/>
              </w:rPr>
              <w:t>。</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spacing w:val="0"/>
                <w:w w:val="100"/>
                <w:kern w:val="0"/>
                <w:position w:val="0"/>
                <w:sz w:val="21"/>
                <w:szCs w:val="21"/>
                <w:highlight w:val="none"/>
                <w:lang w:val="en-US" w:eastAsia="zh-CN"/>
              </w:rPr>
            </w:pPr>
            <w:r>
              <w:rPr>
                <w:rFonts w:hint="default" w:ascii="Times New Roman" w:hAnsi="Times New Roman" w:eastAsia="宋体" w:cs="Times New Roman"/>
                <w:b/>
                <w:bCs/>
                <w:color w:val="auto"/>
                <w:spacing w:val="0"/>
                <w:w w:val="100"/>
                <w:kern w:val="0"/>
                <w:position w:val="0"/>
                <w:sz w:val="21"/>
                <w:szCs w:val="21"/>
                <w:highlight w:val="none"/>
                <w:lang w:val="en-US" w:eastAsia="zh-CN"/>
              </w:rPr>
              <w:t>表3-</w:t>
            </w:r>
            <w:r>
              <w:rPr>
                <w:rFonts w:hint="eastAsia" w:cs="Times New Roman"/>
                <w:b/>
                <w:bCs/>
                <w:color w:val="auto"/>
                <w:spacing w:val="0"/>
                <w:w w:val="100"/>
                <w:kern w:val="0"/>
                <w:position w:val="0"/>
                <w:sz w:val="21"/>
                <w:szCs w:val="21"/>
                <w:highlight w:val="none"/>
                <w:lang w:val="en-US" w:eastAsia="zh-CN"/>
              </w:rPr>
              <w:t>2</w:t>
            </w:r>
            <w:r>
              <w:rPr>
                <w:rFonts w:hint="default" w:ascii="Times New Roman" w:hAnsi="Times New Roman" w:eastAsia="宋体" w:cs="Times New Roman"/>
                <w:b/>
                <w:bCs/>
                <w:color w:val="auto"/>
                <w:spacing w:val="0"/>
                <w:w w:val="100"/>
                <w:kern w:val="0"/>
                <w:position w:val="0"/>
                <w:sz w:val="21"/>
                <w:szCs w:val="21"/>
                <w:highlight w:val="none"/>
                <w:lang w:val="en-US" w:eastAsia="zh-CN"/>
              </w:rPr>
              <w:t xml:space="preserve">  噪声监测点位</w:t>
            </w:r>
          </w:p>
          <w:tbl>
            <w:tblPr>
              <w:tblStyle w:val="21"/>
              <w:tblpPr w:leftFromText="180" w:rightFromText="180" w:vertAnchor="text" w:horzAnchor="page" w:tblpX="85" w:tblpY="288"/>
              <w:tblOverlap w:val="never"/>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4"/>
              <w:gridCol w:w="2802"/>
              <w:gridCol w:w="1038"/>
              <w:gridCol w:w="1045"/>
              <w:gridCol w:w="1040"/>
              <w:gridCol w:w="10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blHeader/>
              </w:trPr>
              <w:tc>
                <w:tcPr>
                  <w:tcW w:w="66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检测点位</w:t>
                  </w:r>
                </w:p>
              </w:tc>
              <w:tc>
                <w:tcPr>
                  <w:tcW w:w="174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val="0"/>
                      <w:bCs w:val="0"/>
                      <w:color w:val="000000"/>
                      <w:sz w:val="21"/>
                      <w:szCs w:val="21"/>
                      <w:highlight w:val="none"/>
                      <w:vertAlign w:val="baseline"/>
                      <w:lang w:eastAsia="zh-CN"/>
                    </w:rPr>
                  </w:pPr>
                  <w:r>
                    <w:rPr>
                      <w:rFonts w:hint="default" w:ascii="Times New Roman" w:hAnsi="Times New Roman" w:eastAsia="宋体" w:cs="Times New Roman"/>
                      <w:b w:val="0"/>
                      <w:bCs w:val="0"/>
                      <w:color w:val="000000"/>
                      <w:sz w:val="21"/>
                      <w:szCs w:val="21"/>
                      <w:highlight w:val="none"/>
                      <w:vertAlign w:val="baseline"/>
                      <w:lang w:val="en-US" w:eastAsia="zh-CN"/>
                    </w:rPr>
                    <w:t>检测点位</w:t>
                  </w:r>
                </w:p>
              </w:tc>
              <w:tc>
                <w:tcPr>
                  <w:tcW w:w="12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202</w:t>
                  </w:r>
                  <w:r>
                    <w:rPr>
                      <w:rFonts w:hint="eastAsia" w:cs="Times New Roman"/>
                      <w:b w:val="0"/>
                      <w:bCs w:val="0"/>
                      <w:color w:val="000000"/>
                      <w:sz w:val="21"/>
                      <w:szCs w:val="21"/>
                      <w:highlight w:val="none"/>
                      <w:vertAlign w:val="baseline"/>
                      <w:lang w:val="en-US" w:eastAsia="zh-CN"/>
                    </w:rPr>
                    <w:t>5</w:t>
                  </w:r>
                  <w:r>
                    <w:rPr>
                      <w:rFonts w:hint="eastAsia" w:ascii="Times New Roman" w:hAnsi="Times New Roman" w:eastAsia="宋体" w:cs="Times New Roman"/>
                      <w:b w:val="0"/>
                      <w:bCs w:val="0"/>
                      <w:color w:val="000000"/>
                      <w:sz w:val="21"/>
                      <w:szCs w:val="21"/>
                      <w:highlight w:val="none"/>
                      <w:vertAlign w:val="baseline"/>
                      <w:lang w:val="en-US" w:eastAsia="zh-CN"/>
                    </w:rPr>
                    <w:t>.1</w:t>
                  </w:r>
                  <w:r>
                    <w:rPr>
                      <w:rFonts w:hint="eastAsia" w:cs="Times New Roman"/>
                      <w:b w:val="0"/>
                      <w:bCs w:val="0"/>
                      <w:color w:val="000000"/>
                      <w:sz w:val="21"/>
                      <w:szCs w:val="21"/>
                      <w:highlight w:val="none"/>
                      <w:vertAlign w:val="baseline"/>
                      <w:lang w:val="en-US" w:eastAsia="zh-CN"/>
                    </w:rPr>
                    <w:t>1</w:t>
                  </w:r>
                  <w:r>
                    <w:rPr>
                      <w:rFonts w:hint="eastAsia" w:ascii="Times New Roman" w:hAnsi="Times New Roman" w:eastAsia="宋体" w:cs="Times New Roman"/>
                      <w:b w:val="0"/>
                      <w:bCs w:val="0"/>
                      <w:color w:val="000000"/>
                      <w:sz w:val="21"/>
                      <w:szCs w:val="21"/>
                      <w:highlight w:val="none"/>
                      <w:vertAlign w:val="baseline"/>
                      <w:lang w:val="en-US" w:eastAsia="zh-CN"/>
                    </w:rPr>
                    <w:t>.1</w:t>
                  </w:r>
                  <w:r>
                    <w:rPr>
                      <w:rFonts w:hint="eastAsia" w:cs="Times New Roman"/>
                      <w:b w:val="0"/>
                      <w:bCs w:val="0"/>
                      <w:color w:val="000000"/>
                      <w:sz w:val="21"/>
                      <w:szCs w:val="21"/>
                      <w:highlight w:val="none"/>
                      <w:vertAlign w:val="baseline"/>
                      <w:lang w:val="en-US" w:eastAsia="zh-CN"/>
                    </w:rPr>
                    <w:t>2</w:t>
                  </w:r>
                </w:p>
              </w:tc>
              <w:tc>
                <w:tcPr>
                  <w:tcW w:w="129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202</w:t>
                  </w:r>
                  <w:r>
                    <w:rPr>
                      <w:rFonts w:hint="eastAsia" w:cs="Times New Roman"/>
                      <w:b w:val="0"/>
                      <w:bCs w:val="0"/>
                      <w:color w:val="000000"/>
                      <w:sz w:val="21"/>
                      <w:szCs w:val="21"/>
                      <w:highlight w:val="none"/>
                      <w:vertAlign w:val="baseline"/>
                      <w:lang w:val="en-US" w:eastAsia="zh-CN"/>
                    </w:rPr>
                    <w:t>511</w:t>
                  </w:r>
                  <w:r>
                    <w:rPr>
                      <w:rFonts w:hint="eastAsia" w:ascii="Times New Roman" w:hAnsi="Times New Roman" w:cs="Times New Roman"/>
                      <w:b w:val="0"/>
                      <w:bCs w:val="0"/>
                      <w:color w:val="000000"/>
                      <w:sz w:val="21"/>
                      <w:szCs w:val="21"/>
                      <w:highlight w:val="none"/>
                      <w:vertAlign w:val="baseline"/>
                      <w:lang w:val="en-US" w:eastAsia="zh-CN"/>
                    </w:rPr>
                    <w:t>.1</w:t>
                  </w:r>
                  <w:r>
                    <w:rPr>
                      <w:rFonts w:hint="eastAsia" w:cs="Times New Roman"/>
                      <w:b w:val="0"/>
                      <w:bCs w:val="0"/>
                      <w:color w:val="000000"/>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blHeader/>
              </w:trPr>
              <w:tc>
                <w:tcPr>
                  <w:tcW w:w="66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000000"/>
                      <w:sz w:val="21"/>
                      <w:szCs w:val="21"/>
                      <w:highlight w:val="none"/>
                    </w:rPr>
                  </w:pPr>
                </w:p>
              </w:tc>
              <w:tc>
                <w:tcPr>
                  <w:tcW w:w="174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000000"/>
                      <w:sz w:val="21"/>
                      <w:szCs w:val="21"/>
                      <w:highlight w:val="none"/>
                    </w:rPr>
                  </w:pPr>
                </w:p>
              </w:tc>
              <w:tc>
                <w:tcPr>
                  <w:tcW w:w="6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昼间</w:t>
                  </w:r>
                </w:p>
              </w:tc>
              <w:tc>
                <w:tcPr>
                  <w:tcW w:w="6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夜间</w:t>
                  </w:r>
                </w:p>
              </w:tc>
              <w:tc>
                <w:tcPr>
                  <w:tcW w:w="6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昼间</w:t>
                  </w:r>
                </w:p>
              </w:tc>
              <w:tc>
                <w:tcPr>
                  <w:tcW w:w="65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66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220</w:t>
                  </w:r>
                  <w:r>
                    <w:rPr>
                      <w:rFonts w:hint="default" w:ascii="Times New Roman" w:hAnsi="Times New Roman" w:cs="Times New Roman"/>
                      <w:color w:val="000000"/>
                      <w:sz w:val="21"/>
                      <w:szCs w:val="21"/>
                      <w:lang w:val="en-US" w:eastAsia="zh-CN"/>
                    </w:rPr>
                    <w:t>K</w:t>
                  </w:r>
                  <w:r>
                    <w:rPr>
                      <w:rFonts w:hint="default" w:ascii="Times New Roman" w:hAnsi="Times New Roman" w:eastAsia="宋体" w:cs="Times New Roman"/>
                      <w:color w:val="000000"/>
                      <w:sz w:val="21"/>
                      <w:szCs w:val="21"/>
                      <w:lang w:val="en-US" w:eastAsia="zh-CN"/>
                    </w:rPr>
                    <w:t>V输电线路</w:t>
                  </w:r>
                </w:p>
              </w:tc>
              <w:tc>
                <w:tcPr>
                  <w:tcW w:w="174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b w:val="0"/>
                      <w:bCs w:val="0"/>
                      <w:i w:val="0"/>
                      <w:color w:val="000000"/>
                      <w:kern w:val="0"/>
                      <w:sz w:val="21"/>
                      <w:szCs w:val="21"/>
                      <w:highlight w:val="none"/>
                      <w:u w:val="none"/>
                      <w:lang w:val="en-US" w:eastAsia="zh-CN" w:bidi="ar"/>
                    </w:rPr>
                  </w:pPr>
                  <w:r>
                    <w:rPr>
                      <w:rFonts w:hint="eastAsia" w:ascii="Times New Roman" w:hAnsi="Times New Roman" w:eastAsia="宋体" w:cs="Times New Roman"/>
                      <w:color w:val="000000"/>
                      <w:sz w:val="21"/>
                      <w:szCs w:val="21"/>
                      <w:lang w:val="en-US" w:eastAsia="zh-CN"/>
                    </w:rPr>
                    <w:t>线路起点线下</w:t>
                  </w:r>
                </w:p>
              </w:tc>
              <w:tc>
                <w:tcPr>
                  <w:tcW w:w="646"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43</w:t>
                  </w:r>
                </w:p>
              </w:tc>
              <w:tc>
                <w:tcPr>
                  <w:tcW w:w="649"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lang w:val="en-US" w:eastAsia="zh-CN"/>
                    </w:rPr>
                    <w:t>41</w:t>
                  </w:r>
                </w:p>
              </w:tc>
              <w:tc>
                <w:tcPr>
                  <w:tcW w:w="647"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42</w:t>
                  </w:r>
                </w:p>
              </w:tc>
              <w:tc>
                <w:tcPr>
                  <w:tcW w:w="651"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66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00"/>
                      <w:sz w:val="21"/>
                      <w:szCs w:val="21"/>
                      <w:lang w:val="en-US" w:eastAsia="zh-CN"/>
                    </w:rPr>
                  </w:pPr>
                </w:p>
              </w:tc>
              <w:tc>
                <w:tcPr>
                  <w:tcW w:w="174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b w:val="0"/>
                      <w:bCs w:val="0"/>
                      <w:i w:val="0"/>
                      <w:color w:val="000000"/>
                      <w:kern w:val="0"/>
                      <w:sz w:val="21"/>
                      <w:szCs w:val="21"/>
                      <w:highlight w:val="none"/>
                      <w:u w:val="none"/>
                      <w:lang w:val="en-US" w:eastAsia="zh-CN" w:bidi="ar"/>
                    </w:rPr>
                  </w:pPr>
                  <w:r>
                    <w:rPr>
                      <w:rFonts w:hint="default" w:ascii="Times New Roman" w:hAnsi="Times New Roman" w:eastAsia="宋体" w:cs="Times New Roman"/>
                      <w:color w:val="000000"/>
                      <w:sz w:val="21"/>
                      <w:szCs w:val="21"/>
                      <w:lang w:val="en-US" w:eastAsia="zh-CN"/>
                    </w:rPr>
                    <w:t>线路中点线下</w:t>
                  </w:r>
                </w:p>
              </w:tc>
              <w:tc>
                <w:tcPr>
                  <w:tcW w:w="646"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42</w:t>
                  </w:r>
                </w:p>
              </w:tc>
              <w:tc>
                <w:tcPr>
                  <w:tcW w:w="649"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41</w:t>
                  </w:r>
                </w:p>
              </w:tc>
              <w:tc>
                <w:tcPr>
                  <w:tcW w:w="647"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41</w:t>
                  </w:r>
                </w:p>
              </w:tc>
              <w:tc>
                <w:tcPr>
                  <w:tcW w:w="651"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66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220KV变电站</w:t>
                  </w:r>
                </w:p>
              </w:tc>
              <w:tc>
                <w:tcPr>
                  <w:tcW w:w="174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b w:val="0"/>
                      <w:bCs w:val="0"/>
                      <w:i w:val="0"/>
                      <w:color w:val="000000"/>
                      <w:kern w:val="0"/>
                      <w:sz w:val="21"/>
                      <w:szCs w:val="21"/>
                      <w:highlight w:val="none"/>
                      <w:u w:val="none"/>
                      <w:lang w:val="en-US" w:eastAsia="zh-CN" w:bidi="ar"/>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220kV变电站东侧厂界外1m</w:t>
                  </w:r>
                </w:p>
              </w:tc>
              <w:tc>
                <w:tcPr>
                  <w:tcW w:w="646"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36</w:t>
                  </w:r>
                </w:p>
              </w:tc>
              <w:tc>
                <w:tcPr>
                  <w:tcW w:w="649"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36</w:t>
                  </w:r>
                </w:p>
              </w:tc>
              <w:tc>
                <w:tcPr>
                  <w:tcW w:w="647"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36</w:t>
                  </w:r>
                </w:p>
              </w:tc>
              <w:tc>
                <w:tcPr>
                  <w:tcW w:w="651"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66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00"/>
                      <w:sz w:val="21"/>
                      <w:szCs w:val="21"/>
                      <w:lang w:val="en-US" w:eastAsia="zh-CN"/>
                    </w:rPr>
                  </w:pPr>
                </w:p>
              </w:tc>
              <w:tc>
                <w:tcPr>
                  <w:tcW w:w="174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b w:val="0"/>
                      <w:bCs w:val="0"/>
                      <w:i w:val="0"/>
                      <w:color w:val="000000"/>
                      <w:kern w:val="0"/>
                      <w:sz w:val="21"/>
                      <w:szCs w:val="21"/>
                      <w:highlight w:val="none"/>
                      <w:u w:val="none"/>
                      <w:lang w:val="en-US" w:eastAsia="zh-CN" w:bidi="ar"/>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220kV变电站南侧厂界外1m</w:t>
                  </w:r>
                </w:p>
              </w:tc>
              <w:tc>
                <w:tcPr>
                  <w:tcW w:w="646"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35</w:t>
                  </w:r>
                </w:p>
              </w:tc>
              <w:tc>
                <w:tcPr>
                  <w:tcW w:w="649"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35</w:t>
                  </w:r>
                </w:p>
              </w:tc>
              <w:tc>
                <w:tcPr>
                  <w:tcW w:w="647"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35</w:t>
                  </w:r>
                </w:p>
              </w:tc>
              <w:tc>
                <w:tcPr>
                  <w:tcW w:w="651"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66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00"/>
                      <w:sz w:val="21"/>
                      <w:szCs w:val="21"/>
                      <w:lang w:val="en-US" w:eastAsia="zh-CN"/>
                    </w:rPr>
                  </w:pPr>
                </w:p>
              </w:tc>
              <w:tc>
                <w:tcPr>
                  <w:tcW w:w="174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b w:val="0"/>
                      <w:bCs w:val="0"/>
                      <w:i w:val="0"/>
                      <w:color w:val="000000"/>
                      <w:kern w:val="0"/>
                      <w:sz w:val="21"/>
                      <w:szCs w:val="21"/>
                      <w:highlight w:val="none"/>
                      <w:u w:val="none"/>
                      <w:lang w:val="en-US" w:eastAsia="zh-CN" w:bidi="ar"/>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220kV变电站西侧厂界外1m</w:t>
                  </w:r>
                </w:p>
              </w:tc>
              <w:tc>
                <w:tcPr>
                  <w:tcW w:w="646"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37</w:t>
                  </w:r>
                </w:p>
              </w:tc>
              <w:tc>
                <w:tcPr>
                  <w:tcW w:w="649"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36</w:t>
                  </w:r>
                </w:p>
              </w:tc>
              <w:tc>
                <w:tcPr>
                  <w:tcW w:w="647"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36</w:t>
                  </w:r>
                </w:p>
              </w:tc>
              <w:tc>
                <w:tcPr>
                  <w:tcW w:w="651"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66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00"/>
                      <w:sz w:val="21"/>
                      <w:szCs w:val="21"/>
                      <w:lang w:val="en-US" w:eastAsia="zh-CN"/>
                    </w:rPr>
                  </w:pPr>
                </w:p>
              </w:tc>
              <w:tc>
                <w:tcPr>
                  <w:tcW w:w="174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b w:val="0"/>
                      <w:bCs w:val="0"/>
                      <w:i w:val="0"/>
                      <w:color w:val="000000"/>
                      <w:kern w:val="0"/>
                      <w:sz w:val="21"/>
                      <w:szCs w:val="21"/>
                      <w:highlight w:val="none"/>
                      <w:u w:val="none"/>
                      <w:lang w:val="en-US" w:eastAsia="zh-CN" w:bidi="ar"/>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220kV变电站北侧厂界外1m</w:t>
                  </w:r>
                </w:p>
              </w:tc>
              <w:tc>
                <w:tcPr>
                  <w:tcW w:w="646"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36</w:t>
                  </w:r>
                </w:p>
              </w:tc>
              <w:tc>
                <w:tcPr>
                  <w:tcW w:w="649"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35</w:t>
                  </w:r>
                </w:p>
              </w:tc>
              <w:tc>
                <w:tcPr>
                  <w:tcW w:w="647"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36</w:t>
                  </w:r>
                </w:p>
              </w:tc>
              <w:tc>
                <w:tcPr>
                  <w:tcW w:w="651" w:type="pct"/>
                  <w:tcBorders>
                    <w:tl2br w:val="nil"/>
                    <w:tr2bl w:val="nil"/>
                  </w:tcBorders>
                  <w:shd w:val="clear" w:color="auto" w:fill="auto"/>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lang w:val="en-US" w:eastAsia="zh-CN"/>
                    </w:rPr>
                    <w:t>35</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en-US" w:eastAsia="zh-CN"/>
              </w:rPr>
            </w:pPr>
            <w:r>
              <w:rPr>
                <w:rFonts w:hint="eastAsia" w:ascii="Times New Roman" w:hAnsi="Times New Roman" w:eastAsia="宋体" w:cs="Times New Roman"/>
                <w:color w:val="FF0000"/>
                <w:sz w:val="24"/>
                <w:szCs w:val="24"/>
                <w:highlight w:val="none"/>
                <w:lang w:val="en-US" w:eastAsia="zh-CN"/>
              </w:rPr>
              <w:t>本项目太保220kV变电站位于双鸭山经开区</w:t>
            </w:r>
            <w:r>
              <w:rPr>
                <w:rFonts w:hint="eastAsia" w:cs="Times New Roman"/>
                <w:color w:val="FF0000"/>
                <w:sz w:val="24"/>
                <w:szCs w:val="24"/>
                <w:highlight w:val="none"/>
                <w:lang w:val="en-US" w:eastAsia="zh-CN"/>
              </w:rPr>
              <w:t>，为3类声功能区，根据《双鸭山市环境保护局关于国网黑龙江省电力有限公司太保220千伏输变电新建工程竣工环境保护验收意见的函》（双环函〔2015〕91号），变电站站界执行2类区标准，综合考虑，本次环评变电站厂界噪声执行2类区标准；本项目输电线路部分处于</w:t>
            </w:r>
            <w:r>
              <w:rPr>
                <w:rFonts w:hint="eastAsia" w:ascii="Times New Roman" w:hAnsi="Times New Roman" w:eastAsia="宋体" w:cs="Times New Roman"/>
                <w:color w:val="FF0000"/>
                <w:sz w:val="24"/>
                <w:szCs w:val="24"/>
                <w:highlight w:val="none"/>
                <w:lang w:val="en-US" w:eastAsia="zh-CN"/>
              </w:rPr>
              <w:t>双鸭山</w:t>
            </w:r>
            <w:r>
              <w:rPr>
                <w:rFonts w:hint="eastAsia" w:cs="Times New Roman"/>
                <w:color w:val="FF0000"/>
                <w:sz w:val="24"/>
                <w:szCs w:val="24"/>
                <w:highlight w:val="none"/>
                <w:lang w:val="en-US" w:eastAsia="zh-CN"/>
              </w:rPr>
              <w:t>经开区（3类声环境功能区）内，部分处于未划分功能区的区域（农村区域，原则上执行1类区标准），本项目输电线路与声功能区的位置关系见附图，因此本项目输电线路位于经开区的部分执行3类区标准、位于其他地区的执行1类区标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zh-CN" w:eastAsia="zh-CN"/>
              </w:rPr>
              <w:t>根据监测结果</w:t>
            </w:r>
            <w:r>
              <w:rPr>
                <w:rFonts w:hint="eastAsia" w:ascii="Times New Roman" w:hAnsi="Times New Roman" w:eastAsia="宋体" w:cs="Times New Roman"/>
                <w:color w:val="FF0000"/>
                <w:sz w:val="24"/>
                <w:szCs w:val="24"/>
                <w:highlight w:val="none"/>
                <w:lang w:val="zh-CN" w:eastAsia="zh-CN"/>
              </w:rPr>
              <w:t>，2025年11月</w:t>
            </w:r>
            <w:r>
              <w:rPr>
                <w:rFonts w:hint="eastAsia" w:ascii="Times New Roman" w:hAnsi="Times New Roman" w:eastAsia="宋体" w:cs="Times New Roman"/>
                <w:color w:val="FF0000"/>
                <w:sz w:val="24"/>
                <w:szCs w:val="24"/>
                <w:highlight w:val="none"/>
                <w:lang w:val="en-US" w:eastAsia="zh-CN"/>
              </w:rPr>
              <w:t>12</w:t>
            </w:r>
            <w:r>
              <w:rPr>
                <w:rFonts w:hint="eastAsia" w:ascii="Times New Roman" w:hAnsi="Times New Roman" w:eastAsia="宋体" w:cs="Times New Roman"/>
                <w:color w:val="FF0000"/>
                <w:sz w:val="24"/>
                <w:szCs w:val="24"/>
                <w:highlight w:val="none"/>
                <w:lang w:val="zh-CN" w:eastAsia="zh-CN"/>
              </w:rPr>
              <w:t>日各监测点昼间噪声值在3</w:t>
            </w:r>
            <w:r>
              <w:rPr>
                <w:rFonts w:hint="eastAsia" w:cs="Times New Roman"/>
                <w:color w:val="FF0000"/>
                <w:sz w:val="24"/>
                <w:szCs w:val="24"/>
                <w:highlight w:val="none"/>
                <w:lang w:val="en-US" w:eastAsia="zh-CN"/>
              </w:rPr>
              <w:t>5</w:t>
            </w:r>
            <w:r>
              <w:rPr>
                <w:rFonts w:hint="eastAsia" w:ascii="Times New Roman" w:hAnsi="Times New Roman" w:eastAsia="宋体" w:cs="Times New Roman"/>
                <w:color w:val="FF0000"/>
                <w:sz w:val="24"/>
                <w:szCs w:val="24"/>
                <w:highlight w:val="none"/>
                <w:lang w:val="zh-CN" w:eastAsia="zh-CN"/>
              </w:rPr>
              <w:t>~</w:t>
            </w:r>
            <w:r>
              <w:rPr>
                <w:rFonts w:hint="eastAsia" w:cs="Times New Roman"/>
                <w:color w:val="FF0000"/>
                <w:sz w:val="24"/>
                <w:szCs w:val="24"/>
                <w:highlight w:val="none"/>
                <w:lang w:val="en-US" w:eastAsia="zh-CN"/>
              </w:rPr>
              <w:t>43</w:t>
            </w:r>
            <w:r>
              <w:rPr>
                <w:rFonts w:hint="eastAsia" w:ascii="Times New Roman" w:hAnsi="Times New Roman" w:eastAsia="宋体" w:cs="Times New Roman"/>
                <w:color w:val="FF0000"/>
                <w:sz w:val="24"/>
                <w:szCs w:val="24"/>
                <w:highlight w:val="none"/>
                <w:lang w:val="zh-CN" w:eastAsia="zh-CN"/>
              </w:rPr>
              <w:t>dB(A)之间，夜间噪声值在35~</w:t>
            </w:r>
            <w:r>
              <w:rPr>
                <w:rFonts w:hint="eastAsia" w:cs="Times New Roman"/>
                <w:color w:val="FF0000"/>
                <w:sz w:val="24"/>
                <w:szCs w:val="24"/>
                <w:highlight w:val="none"/>
                <w:lang w:val="en-US" w:eastAsia="zh-CN"/>
              </w:rPr>
              <w:t>41</w:t>
            </w:r>
            <w:r>
              <w:rPr>
                <w:rFonts w:hint="eastAsia" w:ascii="Times New Roman" w:hAnsi="Times New Roman" w:eastAsia="宋体" w:cs="Times New Roman"/>
                <w:color w:val="FF0000"/>
                <w:sz w:val="24"/>
                <w:szCs w:val="24"/>
                <w:highlight w:val="none"/>
                <w:lang w:val="zh-CN" w:eastAsia="zh-CN"/>
              </w:rPr>
              <w:t>dB(A)之间；2025年11月</w:t>
            </w:r>
            <w:r>
              <w:rPr>
                <w:rFonts w:hint="eastAsia" w:cs="Times New Roman"/>
                <w:color w:val="FF0000"/>
                <w:sz w:val="24"/>
                <w:szCs w:val="24"/>
                <w:highlight w:val="none"/>
                <w:lang w:val="en-US" w:eastAsia="zh-CN"/>
              </w:rPr>
              <w:t>13</w:t>
            </w:r>
            <w:r>
              <w:rPr>
                <w:rFonts w:hint="eastAsia" w:ascii="Times New Roman" w:hAnsi="Times New Roman" w:eastAsia="宋体" w:cs="Times New Roman"/>
                <w:color w:val="FF0000"/>
                <w:sz w:val="24"/>
                <w:szCs w:val="24"/>
                <w:highlight w:val="none"/>
                <w:lang w:val="zh-CN" w:eastAsia="zh-CN"/>
              </w:rPr>
              <w:t>日各监测点昼间噪声值在3</w:t>
            </w:r>
            <w:r>
              <w:rPr>
                <w:rFonts w:hint="eastAsia" w:cs="Times New Roman"/>
                <w:color w:val="FF0000"/>
                <w:sz w:val="24"/>
                <w:szCs w:val="24"/>
                <w:highlight w:val="none"/>
                <w:lang w:val="en-US" w:eastAsia="zh-CN"/>
              </w:rPr>
              <w:t>5</w:t>
            </w:r>
            <w:r>
              <w:rPr>
                <w:rFonts w:hint="eastAsia" w:ascii="Times New Roman" w:hAnsi="Times New Roman" w:eastAsia="宋体" w:cs="Times New Roman"/>
                <w:color w:val="FF0000"/>
                <w:sz w:val="24"/>
                <w:szCs w:val="24"/>
                <w:highlight w:val="none"/>
                <w:lang w:val="zh-CN" w:eastAsia="zh-CN"/>
              </w:rPr>
              <w:t>~</w:t>
            </w:r>
            <w:r>
              <w:rPr>
                <w:rFonts w:hint="eastAsia" w:cs="Times New Roman"/>
                <w:color w:val="FF0000"/>
                <w:sz w:val="24"/>
                <w:szCs w:val="24"/>
                <w:highlight w:val="none"/>
                <w:lang w:val="en-US" w:eastAsia="zh-CN"/>
              </w:rPr>
              <w:t>42</w:t>
            </w:r>
            <w:r>
              <w:rPr>
                <w:rFonts w:hint="eastAsia" w:ascii="Times New Roman" w:hAnsi="Times New Roman" w:eastAsia="宋体" w:cs="Times New Roman"/>
                <w:color w:val="FF0000"/>
                <w:sz w:val="24"/>
                <w:szCs w:val="24"/>
                <w:highlight w:val="none"/>
                <w:lang w:val="zh-CN" w:eastAsia="zh-CN"/>
              </w:rPr>
              <w:t>dB(A)之间，夜间噪声值在35~</w:t>
            </w:r>
            <w:r>
              <w:rPr>
                <w:rFonts w:hint="eastAsia" w:cs="Times New Roman"/>
                <w:color w:val="FF0000"/>
                <w:sz w:val="24"/>
                <w:szCs w:val="24"/>
                <w:highlight w:val="none"/>
                <w:lang w:val="en-US" w:eastAsia="zh-CN"/>
              </w:rPr>
              <w:t>41</w:t>
            </w:r>
            <w:r>
              <w:rPr>
                <w:rFonts w:hint="eastAsia" w:ascii="Times New Roman" w:hAnsi="Times New Roman" w:eastAsia="宋体" w:cs="Times New Roman"/>
                <w:color w:val="FF0000"/>
                <w:sz w:val="24"/>
                <w:szCs w:val="24"/>
                <w:highlight w:val="none"/>
                <w:lang w:val="zh-CN" w:eastAsia="zh-CN"/>
              </w:rPr>
              <w:t>dB(A)之间。</w:t>
            </w:r>
            <w:r>
              <w:rPr>
                <w:rFonts w:hint="eastAsia" w:ascii="Times New Roman" w:hAnsi="Times New Roman" w:eastAsia="宋体" w:cs="Times New Roman"/>
                <w:color w:val="FF0000"/>
                <w:sz w:val="24"/>
                <w:szCs w:val="24"/>
                <w:highlight w:val="none"/>
                <w:lang w:val="en-US" w:eastAsia="zh-CN"/>
              </w:rPr>
              <w:t>太保变电站</w:t>
            </w:r>
            <w:r>
              <w:rPr>
                <w:rFonts w:hint="eastAsia" w:cs="Times New Roman"/>
                <w:color w:val="FF0000"/>
                <w:sz w:val="24"/>
                <w:szCs w:val="24"/>
                <w:highlight w:val="none"/>
                <w:lang w:val="en-US" w:eastAsia="zh-CN"/>
              </w:rPr>
              <w:t>厂界</w:t>
            </w:r>
            <w:r>
              <w:rPr>
                <w:rFonts w:hint="eastAsia" w:ascii="Times New Roman" w:hAnsi="Times New Roman" w:eastAsia="宋体" w:cs="Times New Roman"/>
                <w:color w:val="FF0000"/>
                <w:sz w:val="24"/>
                <w:szCs w:val="24"/>
                <w:highlight w:val="none"/>
                <w:lang w:val="zh-CN" w:eastAsia="zh-CN"/>
              </w:rPr>
              <w:t>声环境</w:t>
            </w:r>
            <w:r>
              <w:rPr>
                <w:rFonts w:hint="default" w:ascii="Times New Roman" w:hAnsi="Times New Roman" w:eastAsia="宋体" w:cs="Times New Roman"/>
                <w:color w:val="FF0000"/>
                <w:sz w:val="24"/>
                <w:szCs w:val="24"/>
                <w:highlight w:val="none"/>
                <w:lang w:val="zh-CN" w:eastAsia="zh-CN"/>
              </w:rPr>
              <w:t>均满足《声环境质量标准》</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GB3096-2008</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中</w:t>
            </w:r>
            <w:r>
              <w:rPr>
                <w:rFonts w:hint="eastAsia" w:cs="Times New Roman"/>
                <w:color w:val="FF0000"/>
                <w:sz w:val="24"/>
                <w:szCs w:val="24"/>
                <w:highlight w:val="none"/>
                <w:lang w:val="en-US" w:eastAsia="zh-CN"/>
              </w:rPr>
              <w:t>2</w:t>
            </w:r>
            <w:r>
              <w:rPr>
                <w:rFonts w:hint="default" w:ascii="Times New Roman" w:hAnsi="Times New Roman" w:eastAsia="宋体" w:cs="Times New Roman"/>
                <w:color w:val="FF0000"/>
                <w:sz w:val="24"/>
                <w:szCs w:val="24"/>
                <w:highlight w:val="none"/>
                <w:lang w:val="zh-CN" w:eastAsia="zh-CN"/>
              </w:rPr>
              <w:t>类标准限值要求</w:t>
            </w:r>
            <w:r>
              <w:rPr>
                <w:rFonts w:hint="eastAsia" w:cs="Times New Roman"/>
                <w:color w:val="FF0000"/>
                <w:sz w:val="24"/>
                <w:szCs w:val="24"/>
                <w:highlight w:val="none"/>
                <w:lang w:val="zh-CN" w:eastAsia="zh-CN"/>
              </w:rPr>
              <w:t>；</w:t>
            </w:r>
            <w:r>
              <w:rPr>
                <w:rFonts w:hint="eastAsia" w:cs="Times New Roman"/>
                <w:color w:val="FF0000"/>
                <w:sz w:val="24"/>
                <w:szCs w:val="24"/>
                <w:highlight w:val="none"/>
                <w:lang w:val="en-US" w:eastAsia="zh-CN"/>
              </w:rPr>
              <w:t>输电线路</w:t>
            </w:r>
            <w:r>
              <w:rPr>
                <w:rFonts w:hint="eastAsia" w:ascii="Times New Roman" w:hAnsi="Times New Roman" w:eastAsia="宋体" w:cs="Times New Roman"/>
                <w:color w:val="FF0000"/>
                <w:sz w:val="24"/>
                <w:szCs w:val="24"/>
                <w:highlight w:val="none"/>
                <w:lang w:val="zh-CN" w:eastAsia="zh-CN"/>
              </w:rPr>
              <w:t>声环境</w:t>
            </w:r>
            <w:r>
              <w:rPr>
                <w:rFonts w:hint="eastAsia" w:cs="Times New Roman"/>
                <w:color w:val="FF0000"/>
                <w:sz w:val="24"/>
                <w:szCs w:val="24"/>
                <w:highlight w:val="none"/>
                <w:lang w:val="en-US" w:eastAsia="zh-CN"/>
              </w:rPr>
              <w:t>位于经开区的部分</w:t>
            </w:r>
            <w:r>
              <w:rPr>
                <w:rFonts w:hint="default" w:ascii="Times New Roman" w:hAnsi="Times New Roman" w:eastAsia="宋体" w:cs="Times New Roman"/>
                <w:color w:val="FF0000"/>
                <w:sz w:val="24"/>
                <w:szCs w:val="24"/>
                <w:highlight w:val="none"/>
                <w:lang w:val="zh-CN" w:eastAsia="zh-CN"/>
              </w:rPr>
              <w:t>满足《声环境质量标准》</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GB3096-2008</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中</w:t>
            </w:r>
            <w:r>
              <w:rPr>
                <w:rFonts w:hint="eastAsia" w:cs="Times New Roman"/>
                <w:color w:val="FF0000"/>
                <w:sz w:val="24"/>
                <w:szCs w:val="24"/>
                <w:highlight w:val="none"/>
                <w:lang w:val="en-US" w:eastAsia="zh-CN"/>
              </w:rPr>
              <w:t>3</w:t>
            </w:r>
            <w:r>
              <w:rPr>
                <w:rFonts w:hint="default" w:ascii="Times New Roman" w:hAnsi="Times New Roman" w:eastAsia="宋体" w:cs="Times New Roman"/>
                <w:color w:val="FF0000"/>
                <w:sz w:val="24"/>
                <w:szCs w:val="24"/>
                <w:highlight w:val="none"/>
                <w:lang w:val="zh-CN" w:eastAsia="zh-CN"/>
              </w:rPr>
              <w:t>类标准限值要求</w:t>
            </w:r>
            <w:r>
              <w:rPr>
                <w:rFonts w:hint="eastAsia" w:cs="Times New Roman"/>
                <w:color w:val="FF0000"/>
                <w:sz w:val="24"/>
                <w:szCs w:val="24"/>
                <w:highlight w:val="none"/>
                <w:lang w:val="zh-CN" w:eastAsia="zh-CN"/>
              </w:rPr>
              <w:t>，</w:t>
            </w:r>
            <w:r>
              <w:rPr>
                <w:rFonts w:hint="eastAsia" w:cs="Times New Roman"/>
                <w:color w:val="FF0000"/>
                <w:sz w:val="24"/>
                <w:szCs w:val="24"/>
                <w:highlight w:val="none"/>
                <w:lang w:val="en-US" w:eastAsia="zh-CN"/>
              </w:rPr>
              <w:t>位于其他地区的部分</w:t>
            </w:r>
            <w:r>
              <w:rPr>
                <w:rFonts w:hint="default" w:ascii="Times New Roman" w:hAnsi="Times New Roman" w:eastAsia="宋体" w:cs="Times New Roman"/>
                <w:color w:val="FF0000"/>
                <w:sz w:val="24"/>
                <w:szCs w:val="24"/>
                <w:highlight w:val="none"/>
                <w:lang w:val="zh-CN" w:eastAsia="zh-CN"/>
              </w:rPr>
              <w:t>满足《声环境质量标准》</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GB3096-2008</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中</w:t>
            </w:r>
            <w:r>
              <w:rPr>
                <w:rFonts w:hint="eastAsia" w:cs="Times New Roman"/>
                <w:color w:val="FF0000"/>
                <w:sz w:val="24"/>
                <w:szCs w:val="24"/>
                <w:highlight w:val="none"/>
                <w:lang w:val="en-US" w:eastAsia="zh-CN"/>
              </w:rPr>
              <w:t>1</w:t>
            </w:r>
            <w:r>
              <w:rPr>
                <w:rFonts w:hint="default" w:ascii="Times New Roman" w:hAnsi="Times New Roman" w:eastAsia="宋体" w:cs="Times New Roman"/>
                <w:color w:val="FF0000"/>
                <w:sz w:val="24"/>
                <w:szCs w:val="24"/>
                <w:highlight w:val="none"/>
                <w:lang w:val="zh-CN" w:eastAsia="zh-CN"/>
              </w:rPr>
              <w:t>类标准限值要求。</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宋体" w:hAnsi="宋体" w:eastAsia="宋体" w:cs="宋体"/>
                <w:b/>
                <w:bCs/>
                <w:spacing w:val="0"/>
                <w:w w:val="100"/>
                <w:kern w:val="0"/>
                <w:position w:val="0"/>
                <w:sz w:val="24"/>
                <w:szCs w:val="24"/>
                <w:lang w:val="en-US" w:eastAsia="zh-CN"/>
              </w:rPr>
            </w:pPr>
            <w:r>
              <w:rPr>
                <w:rFonts w:hint="eastAsia" w:ascii="宋体" w:hAnsi="宋体" w:eastAsia="宋体" w:cs="宋体"/>
                <w:b/>
                <w:bCs/>
                <w:spacing w:val="0"/>
                <w:w w:val="100"/>
                <w:kern w:val="0"/>
                <w:position w:val="0"/>
                <w:sz w:val="24"/>
                <w:szCs w:val="24"/>
                <w:lang w:val="en-US" w:eastAsia="zh-CN"/>
              </w:rPr>
              <w:t>六</w:t>
            </w:r>
            <w:r>
              <w:rPr>
                <w:rFonts w:hint="default" w:ascii="宋体" w:hAnsi="宋体" w:eastAsia="宋体" w:cs="宋体"/>
                <w:b/>
                <w:bCs/>
                <w:spacing w:val="0"/>
                <w:w w:val="100"/>
                <w:kern w:val="0"/>
                <w:position w:val="0"/>
                <w:sz w:val="24"/>
                <w:szCs w:val="24"/>
                <w:lang w:val="en-US" w:eastAsia="zh-CN"/>
              </w:rPr>
              <w:t>、生态环境现状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zh-CN" w:eastAsia="zh-CN"/>
              </w:rPr>
            </w:pPr>
            <w:r>
              <w:rPr>
                <w:rFonts w:hint="default" w:ascii="Times New Roman" w:hAnsi="Times New Roman" w:eastAsia="宋体" w:cs="Times New Roman"/>
                <w:color w:val="000000"/>
                <w:sz w:val="24"/>
                <w:szCs w:val="24"/>
                <w:highlight w:val="none"/>
                <w:lang w:val="zh-CN" w:eastAsia="zh-CN"/>
              </w:rPr>
              <w:t>风电场所在地地势开阔，地形较为平坦。风电场所在区域地貌大多为</w:t>
            </w:r>
            <w:r>
              <w:rPr>
                <w:rFonts w:hint="default" w:ascii="Times New Roman" w:hAnsi="Times New Roman" w:eastAsia="宋体" w:cs="Times New Roman"/>
                <w:color w:val="000000"/>
                <w:sz w:val="24"/>
                <w:szCs w:val="24"/>
                <w:highlight w:val="none"/>
                <w:lang w:val="en-US" w:eastAsia="zh-CN"/>
              </w:rPr>
              <w:t>耕地</w:t>
            </w:r>
            <w:r>
              <w:rPr>
                <w:rFonts w:hint="default" w:ascii="Times New Roman" w:hAnsi="Times New Roman" w:eastAsia="宋体" w:cs="Times New Roman"/>
                <w:color w:val="000000"/>
                <w:sz w:val="24"/>
                <w:szCs w:val="24"/>
                <w:highlight w:val="none"/>
                <w:lang w:val="zh-CN" w:eastAsia="zh-CN"/>
              </w:rPr>
              <w:t>。工程建设</w:t>
            </w:r>
            <w:r>
              <w:rPr>
                <w:rFonts w:hint="eastAsia" w:ascii="Times New Roman" w:hAnsi="Times New Roman" w:eastAsia="宋体" w:cs="Times New Roman"/>
                <w:color w:val="000000"/>
                <w:sz w:val="24"/>
                <w:szCs w:val="24"/>
                <w:highlight w:val="none"/>
                <w:lang w:val="en-US" w:eastAsia="zh-CN"/>
              </w:rPr>
              <w:t>永久占地</w:t>
            </w:r>
            <w:r>
              <w:rPr>
                <w:rFonts w:hint="eastAsia" w:cs="Times New Roman"/>
                <w:color w:val="000000"/>
                <w:sz w:val="24"/>
                <w:szCs w:val="24"/>
                <w:highlight w:val="none"/>
                <w:lang w:val="en-US" w:eastAsia="zh-CN"/>
              </w:rPr>
              <w:t>（租地）</w:t>
            </w:r>
            <w:r>
              <w:rPr>
                <w:rFonts w:hint="eastAsia" w:ascii="Times New Roman" w:hAnsi="Times New Roman" w:eastAsia="宋体" w:cs="Times New Roman"/>
                <w:color w:val="000000"/>
                <w:sz w:val="24"/>
                <w:szCs w:val="24"/>
                <w:highlight w:val="none"/>
                <w:lang w:val="en-US" w:eastAsia="zh-CN"/>
              </w:rPr>
              <w:t>5864.63m</w:t>
            </w:r>
            <w:r>
              <w:rPr>
                <w:rFonts w:hint="eastAsia"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，临时占地249635.4</w:t>
            </w:r>
            <w:r>
              <w:rPr>
                <w:rFonts w:hint="eastAsia" w:cs="Times New Roman"/>
                <w:color w:val="000000"/>
                <w:sz w:val="24"/>
                <w:szCs w:val="24"/>
                <w:highlight w:val="none"/>
                <w:lang w:val="en-US" w:eastAsia="zh-CN"/>
              </w:rPr>
              <w:t>7</w:t>
            </w:r>
            <w:r>
              <w:rPr>
                <w:rFonts w:hint="eastAsia" w:ascii="Times New Roman" w:hAnsi="Times New Roman" w:eastAsia="宋体" w:cs="Times New Roman"/>
                <w:color w:val="000000"/>
                <w:sz w:val="24"/>
                <w:szCs w:val="24"/>
                <w:highlight w:val="none"/>
                <w:lang w:val="en-US" w:eastAsia="zh-CN"/>
              </w:rPr>
              <w:t>m</w:t>
            </w:r>
            <w:r>
              <w:rPr>
                <w:rFonts w:hint="eastAsia" w:ascii="Times New Roman" w:hAnsi="Times New Roman" w:eastAsia="宋体" w:cs="Times New Roman"/>
                <w:color w:val="000000"/>
                <w:sz w:val="24"/>
                <w:szCs w:val="24"/>
                <w:highlight w:val="none"/>
                <w:vertAlign w:val="superscript"/>
                <w:lang w:val="en-US" w:eastAsia="zh-CN"/>
              </w:rPr>
              <w:t>2</w:t>
            </w:r>
            <w:r>
              <w:rPr>
                <w:rFonts w:hint="default" w:ascii="Times New Roman" w:hAnsi="Times New Roman" w:eastAsia="宋体" w:cs="Times New Roman"/>
                <w:color w:val="000000"/>
                <w:sz w:val="24"/>
                <w:szCs w:val="24"/>
                <w:highlight w:val="none"/>
                <w:lang w:val="zh-CN" w:eastAsia="zh-CN"/>
              </w:rPr>
              <w:t>。项目影响区域的土地利用类型</w:t>
            </w:r>
            <w:r>
              <w:rPr>
                <w:rFonts w:hint="eastAsia" w:ascii="Times New Roman" w:hAnsi="Times New Roman" w:eastAsia="宋体" w:cs="Times New Roman"/>
                <w:color w:val="000000"/>
                <w:sz w:val="24"/>
                <w:szCs w:val="24"/>
                <w:highlight w:val="none"/>
                <w:lang w:val="en-US" w:eastAsia="zh-CN"/>
              </w:rPr>
              <w:t>主要</w:t>
            </w:r>
            <w:r>
              <w:rPr>
                <w:rFonts w:hint="default" w:ascii="Times New Roman" w:hAnsi="Times New Roman" w:eastAsia="宋体" w:cs="Times New Roman"/>
                <w:color w:val="000000"/>
                <w:sz w:val="24"/>
                <w:szCs w:val="24"/>
                <w:highlight w:val="none"/>
                <w:lang w:val="zh-CN" w:eastAsia="zh-CN"/>
              </w:rPr>
              <w:t>为</w:t>
            </w:r>
            <w:r>
              <w:rPr>
                <w:rFonts w:hint="eastAsia" w:cs="Times New Roman"/>
                <w:color w:val="000000"/>
                <w:sz w:val="24"/>
                <w:szCs w:val="24"/>
                <w:highlight w:val="none"/>
                <w:lang w:val="en-US" w:eastAsia="zh-CN"/>
              </w:rPr>
              <w:t>耕地</w:t>
            </w:r>
            <w:r>
              <w:rPr>
                <w:rFonts w:hint="default" w:ascii="Times New Roman" w:hAnsi="Times New Roman" w:eastAsia="宋体" w:cs="Times New Roman"/>
                <w:color w:val="000000"/>
                <w:sz w:val="24"/>
                <w:szCs w:val="24"/>
                <w:highlight w:val="none"/>
                <w:lang w:val="zh-CN"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本项目所在区域内不是野生动物的栖息地，也不是候鸟迁徙的主要路线。</w:t>
            </w:r>
            <w:r>
              <w:rPr>
                <w:rFonts w:hint="eastAsia" w:ascii="Times New Roman" w:hAnsi="Times New Roman" w:eastAsia="宋体" w:cs="Times New Roman"/>
                <w:color w:val="000000"/>
                <w:sz w:val="24"/>
                <w:szCs w:val="24"/>
                <w:highlight w:val="none"/>
                <w:lang w:val="en-US" w:eastAsia="zh-CN"/>
              </w:rPr>
              <w:t>输电线影响范围内</w:t>
            </w:r>
            <w:r>
              <w:rPr>
                <w:rFonts w:hint="default" w:ascii="Times New Roman" w:hAnsi="Times New Roman" w:eastAsia="宋体" w:cs="Times New Roman"/>
                <w:color w:val="000000"/>
                <w:sz w:val="24"/>
                <w:szCs w:val="24"/>
                <w:highlight w:val="none"/>
                <w:lang w:val="en-US" w:eastAsia="zh-CN"/>
              </w:rPr>
              <w:t>无自然保护区、</w:t>
            </w:r>
            <w:r>
              <w:rPr>
                <w:rFonts w:hint="eastAsia" w:ascii="Times New Roman" w:hAnsi="Times New Roman" w:eastAsia="宋体" w:cs="Times New Roman"/>
                <w:color w:val="000000"/>
                <w:sz w:val="24"/>
                <w:szCs w:val="24"/>
                <w:highlight w:val="none"/>
                <w:lang w:val="en-US" w:eastAsia="zh-CN"/>
              </w:rPr>
              <w:t>风景名胜区</w:t>
            </w:r>
            <w:r>
              <w:rPr>
                <w:rFonts w:hint="default" w:ascii="Times New Roman" w:hAnsi="Times New Roman" w:eastAsia="宋体" w:cs="Times New Roman"/>
                <w:color w:val="000000"/>
                <w:sz w:val="24"/>
                <w:szCs w:val="24"/>
                <w:highlight w:val="none"/>
                <w:lang w:val="en-US" w:eastAsia="zh-CN"/>
              </w:rPr>
              <w:t>等环境敏感区域，据调查</w:t>
            </w:r>
            <w:r>
              <w:rPr>
                <w:rFonts w:hint="eastAsia" w:ascii="Times New Roman" w:hAnsi="Times New Roman" w:eastAsia="宋体" w:cs="Times New Roman"/>
                <w:color w:val="000000"/>
                <w:sz w:val="24"/>
                <w:szCs w:val="24"/>
                <w:highlight w:val="none"/>
                <w:lang w:val="en-US" w:eastAsia="zh-CN"/>
              </w:rPr>
              <w:t>项目</w:t>
            </w:r>
            <w:r>
              <w:rPr>
                <w:rFonts w:hint="default" w:ascii="Times New Roman" w:hAnsi="Times New Roman" w:eastAsia="宋体" w:cs="Times New Roman"/>
                <w:color w:val="000000"/>
                <w:sz w:val="24"/>
                <w:szCs w:val="24"/>
                <w:highlight w:val="none"/>
                <w:lang w:val="en-US" w:eastAsia="zh-CN"/>
              </w:rPr>
              <w:t>所在区域地下均无有价值文物和矿藏埋藏。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拟建</w:t>
            </w:r>
            <w:r>
              <w:rPr>
                <w:rFonts w:hint="eastAsia" w:ascii="Times New Roman" w:hAnsi="Times New Roman" w:eastAsia="宋体" w:cs="Times New Roman"/>
                <w:color w:val="000000"/>
                <w:sz w:val="24"/>
                <w:szCs w:val="24"/>
                <w:highlight w:val="none"/>
                <w:lang w:val="en-US" w:eastAsia="zh-CN"/>
              </w:rPr>
              <w:t>项目及</w:t>
            </w:r>
            <w:r>
              <w:rPr>
                <w:rFonts w:hint="default" w:ascii="Times New Roman" w:hAnsi="Times New Roman" w:eastAsia="宋体" w:cs="Times New Roman"/>
                <w:color w:val="000000"/>
                <w:sz w:val="24"/>
                <w:szCs w:val="24"/>
                <w:highlight w:val="none"/>
                <w:lang w:val="en-US" w:eastAsia="zh-CN"/>
              </w:rPr>
              <w:t>项目临时占地区域主要为</w:t>
            </w:r>
            <w:r>
              <w:rPr>
                <w:rFonts w:hint="eastAsia" w:cs="Times New Roman"/>
                <w:color w:val="000000"/>
                <w:sz w:val="24"/>
                <w:szCs w:val="24"/>
                <w:highlight w:val="none"/>
                <w:lang w:val="en-US" w:eastAsia="zh-CN"/>
              </w:rPr>
              <w:t>耕地</w:t>
            </w:r>
            <w:r>
              <w:rPr>
                <w:rFonts w:hint="default" w:ascii="Times New Roman" w:hAnsi="Times New Roman" w:eastAsia="宋体" w:cs="Times New Roman"/>
                <w:color w:val="000000"/>
                <w:sz w:val="24"/>
                <w:szCs w:val="24"/>
                <w:highlight w:val="none"/>
                <w:lang w:val="en-US" w:eastAsia="zh-CN"/>
              </w:rPr>
              <w:t>。本项目评价区范围内主要是农田生态系统，</w:t>
            </w:r>
            <w:r>
              <w:rPr>
                <w:rFonts w:hint="eastAsia" w:ascii="宋体" w:hAnsi="宋体" w:eastAsia="宋体" w:cs="宋体"/>
                <w:spacing w:val="0"/>
                <w:w w:val="100"/>
                <w:kern w:val="0"/>
                <w:position w:val="0"/>
                <w:sz w:val="24"/>
                <w:szCs w:val="24"/>
                <w:highlight w:val="none"/>
                <w:lang w:val="en-US" w:eastAsia="zh-CN"/>
              </w:rPr>
              <w:t>农作物主要为玉米；其他植被主要人工种植树木、杂草等，自然植被较少，人工林地主要为防护林，树种主要杨树，自然植被主要为蒿、稗、灰菜、茅草等草本植物，未发现国家或地方级保护的珍稀植物</w:t>
            </w:r>
            <w:r>
              <w:rPr>
                <w:rFonts w:hint="default" w:ascii="Times New Roman" w:hAnsi="Times New Roman" w:eastAsia="宋体"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eastAsia" w:ascii="宋体" w:hAnsi="宋体" w:eastAsia="宋体" w:cs="宋体"/>
                <w:spacing w:val="0"/>
                <w:w w:val="100"/>
                <w:kern w:val="0"/>
                <w:position w:val="0"/>
                <w:sz w:val="24"/>
                <w:szCs w:val="24"/>
                <w:highlight w:val="none"/>
                <w:lang w:val="en-US" w:eastAsia="zh-CN"/>
              </w:rPr>
              <w:t>项目区域受人类活动影响很大，大型野生动物已不见。经过实地调查，本项目所在区域野生动物主要为蚊子、蚱蜢、蚂蚁、蜻蜓、蝴蝶、苍蝇等常见昆虫，家燕、麻雀等鸟类及田鼠等常见哺乳动物，未发现濒危保护动物栖息环境，未发现受国家重点保护和珍稀野生动物</w:t>
            </w:r>
            <w:r>
              <w:rPr>
                <w:rFonts w:hint="eastAsia" w:ascii="宋体" w:hAnsi="宋体" w:cs="宋体"/>
                <w:spacing w:val="0"/>
                <w:w w:val="100"/>
                <w:kern w:val="0"/>
                <w:position w:val="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宋体" w:hAnsi="宋体" w:eastAsia="宋体" w:cs="宋体"/>
                <w:b/>
                <w:bCs/>
                <w:spacing w:val="0"/>
                <w:w w:val="100"/>
                <w:kern w:val="0"/>
                <w:position w:val="0"/>
                <w:sz w:val="24"/>
                <w:szCs w:val="24"/>
                <w:lang w:val="en-US" w:eastAsia="zh-CN"/>
              </w:rPr>
            </w:pPr>
            <w:r>
              <w:rPr>
                <w:rFonts w:hint="eastAsia" w:ascii="宋体" w:hAnsi="宋体" w:eastAsia="宋体" w:cs="宋体"/>
                <w:b/>
                <w:bCs/>
                <w:spacing w:val="0"/>
                <w:w w:val="100"/>
                <w:kern w:val="0"/>
                <w:position w:val="0"/>
                <w:sz w:val="24"/>
                <w:szCs w:val="24"/>
                <w:lang w:val="en-US" w:eastAsia="zh-CN"/>
              </w:rPr>
              <w:t>七</w:t>
            </w:r>
            <w:r>
              <w:rPr>
                <w:rFonts w:hint="default" w:ascii="宋体" w:hAnsi="宋体" w:eastAsia="宋体" w:cs="宋体"/>
                <w:b/>
                <w:bCs/>
                <w:spacing w:val="0"/>
                <w:w w:val="100"/>
                <w:kern w:val="0"/>
                <w:position w:val="0"/>
                <w:sz w:val="24"/>
                <w:szCs w:val="24"/>
                <w:lang w:val="en-US" w:eastAsia="zh-CN"/>
              </w:rPr>
              <w:t>、电磁辐射</w:t>
            </w:r>
            <w:r>
              <w:rPr>
                <w:rFonts w:hint="eastAsia" w:ascii="宋体" w:hAnsi="宋体" w:eastAsia="宋体" w:cs="宋体"/>
                <w:b/>
                <w:bCs/>
                <w:spacing w:val="0"/>
                <w:w w:val="100"/>
                <w:kern w:val="0"/>
                <w:position w:val="0"/>
                <w:sz w:val="24"/>
                <w:szCs w:val="24"/>
                <w:lang w:val="en-US" w:eastAsia="zh-CN"/>
              </w:rPr>
              <w:t>现状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eastAsia="宋体" w:cs="宋体"/>
                <w:spacing w:val="0"/>
                <w:w w:val="100"/>
                <w:kern w:val="0"/>
                <w:position w:val="0"/>
                <w:sz w:val="24"/>
                <w:szCs w:val="24"/>
                <w:highlight w:val="none"/>
                <w:lang w:val="en-US" w:eastAsia="zh-CN"/>
              </w:rPr>
            </w:pPr>
            <w:r>
              <w:rPr>
                <w:rFonts w:hint="eastAsia" w:ascii="宋体" w:hAnsi="宋体" w:eastAsia="宋体" w:cs="宋体"/>
                <w:spacing w:val="0"/>
                <w:w w:val="100"/>
                <w:kern w:val="0"/>
                <w:position w:val="0"/>
                <w:sz w:val="24"/>
                <w:szCs w:val="24"/>
                <w:highlight w:val="none"/>
                <w:lang w:val="en-US" w:eastAsia="zh-CN"/>
              </w:rPr>
              <w:t>根据《环境影影响评价技术导则 输变电》（</w:t>
            </w:r>
            <w:r>
              <w:rPr>
                <w:rFonts w:hint="default" w:ascii="Times New Roman" w:hAnsi="Times New Roman" w:eastAsia="宋体" w:cs="Times New Roman"/>
                <w:spacing w:val="0"/>
                <w:w w:val="100"/>
                <w:kern w:val="0"/>
                <w:position w:val="0"/>
                <w:sz w:val="24"/>
                <w:szCs w:val="24"/>
                <w:highlight w:val="none"/>
                <w:lang w:val="en-US" w:eastAsia="zh-CN"/>
              </w:rPr>
              <w:t>HJ24-2020</w:t>
            </w:r>
            <w:r>
              <w:rPr>
                <w:rFonts w:hint="eastAsia" w:ascii="宋体" w:hAnsi="宋体" w:eastAsia="宋体" w:cs="宋体"/>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6.3</w:t>
            </w:r>
            <w:r>
              <w:rPr>
                <w:rFonts w:hint="eastAsia" w:ascii="宋体" w:hAnsi="宋体" w:eastAsia="宋体" w:cs="宋体"/>
                <w:spacing w:val="0"/>
                <w:w w:val="100"/>
                <w:kern w:val="0"/>
                <w:position w:val="0"/>
                <w:sz w:val="24"/>
                <w:szCs w:val="24"/>
                <w:highlight w:val="none"/>
                <w:lang w:val="en-US" w:eastAsia="zh-CN"/>
              </w:rPr>
              <w:t>电磁环境现状评价。线路沿线无电磁环境敏感目标时，线路电磁环境现状监测的点位数量要求见下表。”“变电站扩建应以围墙四周均匀布点监测为主，并在间隔改扩建工程出线端适当增加监测点位。”</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spacing w:val="0"/>
                <w:w w:val="100"/>
                <w:kern w:val="0"/>
                <w:position w:val="0"/>
                <w:sz w:val="21"/>
                <w:szCs w:val="21"/>
                <w:highlight w:val="none"/>
                <w:lang w:val="en-US" w:eastAsia="zh-CN"/>
              </w:rPr>
            </w:pPr>
            <w:r>
              <w:rPr>
                <w:rFonts w:hint="default" w:ascii="Times New Roman" w:hAnsi="Times New Roman" w:eastAsia="宋体" w:cs="Times New Roman"/>
                <w:b/>
                <w:bCs/>
                <w:color w:val="auto"/>
                <w:spacing w:val="0"/>
                <w:w w:val="100"/>
                <w:kern w:val="0"/>
                <w:position w:val="0"/>
                <w:sz w:val="21"/>
                <w:szCs w:val="21"/>
                <w:highlight w:val="none"/>
                <w:lang w:val="en-US" w:eastAsia="zh-CN"/>
              </w:rPr>
              <w:t>表3-</w:t>
            </w:r>
            <w:r>
              <w:rPr>
                <w:rFonts w:hint="eastAsia" w:cs="Times New Roman"/>
                <w:b/>
                <w:bCs/>
                <w:color w:val="auto"/>
                <w:spacing w:val="0"/>
                <w:w w:val="100"/>
                <w:kern w:val="0"/>
                <w:position w:val="0"/>
                <w:sz w:val="21"/>
                <w:szCs w:val="21"/>
                <w:highlight w:val="none"/>
                <w:lang w:val="en-US" w:eastAsia="zh-CN"/>
              </w:rPr>
              <w:t>3</w:t>
            </w:r>
            <w:r>
              <w:rPr>
                <w:rFonts w:hint="default" w:ascii="Times New Roman" w:hAnsi="Times New Roman" w:eastAsia="宋体" w:cs="Times New Roman"/>
                <w:b/>
                <w:bCs/>
                <w:color w:val="auto"/>
                <w:spacing w:val="0"/>
                <w:w w:val="100"/>
                <w:kern w:val="0"/>
                <w:position w:val="0"/>
                <w:sz w:val="21"/>
                <w:szCs w:val="21"/>
                <w:highlight w:val="none"/>
                <w:lang w:val="en-US" w:eastAsia="zh-CN"/>
              </w:rPr>
              <w:t xml:space="preserve">  工频电磁场强度监测结果</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04"/>
              <w:gridCol w:w="1971"/>
              <w:gridCol w:w="2014"/>
              <w:gridCol w:w="20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247"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线路路径长度（L）范围</w:t>
                  </w:r>
                </w:p>
              </w:tc>
              <w:tc>
                <w:tcPr>
                  <w:tcW w:w="122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L&lt;100km</w:t>
                  </w:r>
                </w:p>
              </w:tc>
              <w:tc>
                <w:tcPr>
                  <w:tcW w:w="125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100km&lt;L&lt;500km</w:t>
                  </w:r>
                </w:p>
              </w:tc>
              <w:tc>
                <w:tcPr>
                  <w:tcW w:w="127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L&gt;500km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47"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最少测点数量</w:t>
                  </w:r>
                </w:p>
              </w:tc>
              <w:tc>
                <w:tcPr>
                  <w:tcW w:w="122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2个</w:t>
                  </w:r>
                </w:p>
              </w:tc>
              <w:tc>
                <w:tcPr>
                  <w:tcW w:w="125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4个</w:t>
                  </w:r>
                </w:p>
              </w:tc>
              <w:tc>
                <w:tcPr>
                  <w:tcW w:w="127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6个</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本项目电路长度26.5km，选取线路近</w:t>
            </w:r>
            <w:r>
              <w:rPr>
                <w:rFonts w:hint="eastAsia" w:ascii="Times New Roman" w:hAnsi="Times New Roman" w:eastAsia="宋体" w:cs="Times New Roman"/>
                <w:spacing w:val="0"/>
                <w:w w:val="100"/>
                <w:kern w:val="0"/>
                <w:position w:val="0"/>
                <w:sz w:val="24"/>
                <w:szCs w:val="24"/>
                <w:highlight w:val="none"/>
                <w:lang w:val="en-US" w:eastAsia="zh-CN"/>
              </w:rPr>
              <w:t>永久村</w:t>
            </w:r>
            <w:r>
              <w:rPr>
                <w:rFonts w:hint="default" w:ascii="Times New Roman" w:hAnsi="Times New Roman" w:eastAsia="宋体" w:cs="Times New Roman"/>
                <w:spacing w:val="0"/>
                <w:w w:val="100"/>
                <w:kern w:val="0"/>
                <w:position w:val="0"/>
                <w:sz w:val="24"/>
                <w:szCs w:val="24"/>
                <w:highlight w:val="none"/>
                <w:lang w:val="en-US" w:eastAsia="zh-CN"/>
              </w:rPr>
              <w:t>进行监测，并监测线路终点处</w:t>
            </w:r>
            <w:r>
              <w:rPr>
                <w:rFonts w:hint="eastAsia" w:ascii="Times New Roman" w:hAnsi="Times New Roman" w:eastAsia="宋体" w:cs="Times New Roman"/>
                <w:spacing w:val="0"/>
                <w:w w:val="100"/>
                <w:kern w:val="0"/>
                <w:position w:val="0"/>
                <w:sz w:val="24"/>
                <w:szCs w:val="24"/>
                <w:highlight w:val="none"/>
                <w:lang w:val="en-US" w:eastAsia="zh-CN"/>
              </w:rPr>
              <w:t>太保变</w:t>
            </w:r>
            <w:r>
              <w:rPr>
                <w:rFonts w:hint="default" w:ascii="Times New Roman" w:hAnsi="Times New Roman" w:eastAsia="宋体" w:cs="Times New Roman"/>
                <w:spacing w:val="0"/>
                <w:w w:val="100"/>
                <w:kern w:val="0"/>
                <w:position w:val="0"/>
                <w:sz w:val="24"/>
                <w:szCs w:val="24"/>
                <w:highlight w:val="none"/>
                <w:lang w:val="en-US" w:eastAsia="zh-CN"/>
              </w:rPr>
              <w:t>电站厂界四周电磁环境现状，并在间隔改扩建工程出线端增加一个监测点位。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eastAsia="宋体" w:cs="宋体"/>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本次委托</w:t>
            </w:r>
            <w:r>
              <w:rPr>
                <w:rFonts w:hint="eastAsia" w:ascii="Times New Roman" w:hAnsi="Times New Roman" w:eastAsia="宋体" w:cs="Times New Roman"/>
                <w:color w:val="000000"/>
                <w:sz w:val="24"/>
                <w:szCs w:val="24"/>
                <w:highlight w:val="none"/>
                <w:lang w:val="en-US" w:eastAsia="zh-CN"/>
              </w:rPr>
              <w:t>黑龙江源宁环境检测有限公司于202</w:t>
            </w:r>
            <w:r>
              <w:rPr>
                <w:rFonts w:hint="eastAsia" w:cs="Times New Roman"/>
                <w:color w:val="000000"/>
                <w:sz w:val="24"/>
                <w:szCs w:val="24"/>
                <w:highlight w:val="none"/>
                <w:lang w:val="en-US" w:eastAsia="zh-CN"/>
              </w:rPr>
              <w:t>5</w:t>
            </w:r>
            <w:r>
              <w:rPr>
                <w:rFonts w:hint="eastAsia" w:ascii="Times New Roman" w:hAnsi="Times New Roman" w:eastAsia="宋体" w:cs="Times New Roman"/>
                <w:color w:val="000000"/>
                <w:sz w:val="24"/>
                <w:szCs w:val="24"/>
                <w:highlight w:val="none"/>
                <w:lang w:val="en-US" w:eastAsia="zh-CN"/>
              </w:rPr>
              <w:t>年</w:t>
            </w:r>
            <w:r>
              <w:rPr>
                <w:rFonts w:hint="eastAsia" w:cs="Times New Roman"/>
                <w:color w:val="000000"/>
                <w:sz w:val="24"/>
                <w:szCs w:val="24"/>
                <w:highlight w:val="none"/>
                <w:lang w:val="en-US" w:eastAsia="zh-CN"/>
              </w:rPr>
              <w:t>11</w:t>
            </w:r>
            <w:r>
              <w:rPr>
                <w:rFonts w:hint="eastAsia" w:ascii="Times New Roman" w:hAnsi="Times New Roman" w:eastAsia="宋体" w:cs="Times New Roman"/>
                <w:color w:val="000000"/>
                <w:sz w:val="24"/>
                <w:szCs w:val="24"/>
                <w:highlight w:val="none"/>
                <w:lang w:val="en-US" w:eastAsia="zh-CN"/>
              </w:rPr>
              <w:t>月</w:t>
            </w:r>
            <w:r>
              <w:rPr>
                <w:rFonts w:hint="eastAsia" w:cs="Times New Roman"/>
                <w:color w:val="000000"/>
                <w:sz w:val="24"/>
                <w:szCs w:val="24"/>
                <w:highlight w:val="none"/>
                <w:lang w:val="en-US" w:eastAsia="zh-CN"/>
              </w:rPr>
              <w:t>12</w:t>
            </w:r>
            <w:r>
              <w:rPr>
                <w:rFonts w:hint="eastAsia" w:ascii="Times New Roman" w:hAnsi="Times New Roman" w:eastAsia="宋体" w:cs="Times New Roman"/>
                <w:color w:val="000000"/>
                <w:sz w:val="24"/>
                <w:szCs w:val="24"/>
                <w:highlight w:val="none"/>
                <w:lang w:val="en-US" w:eastAsia="zh-CN"/>
              </w:rPr>
              <w:t>日-1</w:t>
            </w:r>
            <w:r>
              <w:rPr>
                <w:rFonts w:hint="eastAsia" w:cs="Times New Roman"/>
                <w:color w:val="000000"/>
                <w:sz w:val="24"/>
                <w:szCs w:val="24"/>
                <w:highlight w:val="none"/>
                <w:lang w:val="en-US" w:eastAsia="zh-CN"/>
              </w:rPr>
              <w:t>1</w:t>
            </w:r>
            <w:r>
              <w:rPr>
                <w:rFonts w:hint="eastAsia" w:ascii="Times New Roman" w:hAnsi="Times New Roman" w:eastAsia="宋体" w:cs="Times New Roman"/>
                <w:color w:val="000000"/>
                <w:sz w:val="24"/>
                <w:szCs w:val="24"/>
                <w:highlight w:val="none"/>
                <w:lang w:val="en-US" w:eastAsia="zh-CN"/>
              </w:rPr>
              <w:t>月1</w:t>
            </w:r>
            <w:r>
              <w:rPr>
                <w:rFonts w:hint="eastAsia" w:cs="Times New Roman"/>
                <w:color w:val="00000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对项目地电磁环境进行了现状监测</w:t>
            </w:r>
            <w:r>
              <w:rPr>
                <w:rFonts w:hint="eastAsia" w:cs="Times New Roman"/>
                <w:color w:val="000000"/>
                <w:sz w:val="24"/>
                <w:szCs w:val="24"/>
                <w:highlight w:val="none"/>
                <w:lang w:val="en-US" w:eastAsia="zh-CN"/>
              </w:rPr>
              <w:t>（报告编号</w:t>
            </w:r>
            <w:r>
              <w:rPr>
                <w:rFonts w:hint="eastAsia" w:ascii="Times New Roman" w:hAnsi="Times New Roman" w:eastAsia="宋体" w:cs="Times New Roman"/>
                <w:color w:val="000000"/>
                <w:sz w:val="24"/>
                <w:szCs w:val="24"/>
                <w:highlight w:val="none"/>
                <w:lang w:val="en-US" w:eastAsia="zh-CN"/>
              </w:rPr>
              <w:t>：黑源检字</w:t>
            </w:r>
            <w:r>
              <w:rPr>
                <w:rFonts w:hint="eastAsia"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2025】1114-01号）</w:t>
            </w:r>
            <w:r>
              <w:rPr>
                <w:rFonts w:hint="default" w:ascii="Times New Roman" w:hAnsi="Times New Roman" w:eastAsia="宋体" w:cs="Times New Roman"/>
                <w:spacing w:val="0"/>
                <w:w w:val="100"/>
                <w:kern w:val="0"/>
                <w:position w:val="0"/>
                <w:sz w:val="24"/>
                <w:szCs w:val="24"/>
                <w:highlight w:val="none"/>
                <w:lang w:val="en-US" w:eastAsia="zh-CN"/>
              </w:rPr>
              <w:t>。监测点位及相关数据见</w:t>
            </w:r>
            <w:r>
              <w:rPr>
                <w:rFonts w:hint="eastAsia" w:cs="Times New Roman"/>
                <w:spacing w:val="0"/>
                <w:w w:val="100"/>
                <w:kern w:val="0"/>
                <w:position w:val="0"/>
                <w:sz w:val="24"/>
                <w:szCs w:val="24"/>
                <w:highlight w:val="none"/>
                <w:lang w:val="en-US" w:eastAsia="zh-CN"/>
              </w:rPr>
              <w:t>下表</w:t>
            </w:r>
            <w:r>
              <w:rPr>
                <w:rFonts w:hint="default" w:ascii="Times New Roman" w:hAnsi="Times New Roman" w:eastAsia="宋体" w:cs="Times New Roman"/>
                <w:spacing w:val="0"/>
                <w:w w:val="100"/>
                <w:kern w:val="0"/>
                <w:position w:val="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spacing w:val="0"/>
                <w:w w:val="100"/>
                <w:kern w:val="0"/>
                <w:position w:val="0"/>
                <w:sz w:val="21"/>
                <w:szCs w:val="21"/>
                <w:highlight w:val="none"/>
                <w:lang w:val="en-US" w:eastAsia="zh-CN"/>
              </w:rPr>
            </w:pPr>
            <w:r>
              <w:rPr>
                <w:rFonts w:hint="default" w:ascii="Times New Roman" w:hAnsi="Times New Roman" w:eastAsia="宋体" w:cs="Times New Roman"/>
                <w:b/>
                <w:bCs/>
                <w:color w:val="auto"/>
                <w:spacing w:val="0"/>
                <w:w w:val="100"/>
                <w:kern w:val="0"/>
                <w:position w:val="0"/>
                <w:sz w:val="21"/>
                <w:szCs w:val="21"/>
                <w:highlight w:val="none"/>
                <w:lang w:val="en-US" w:eastAsia="zh-CN"/>
              </w:rPr>
              <w:t>表3-</w:t>
            </w:r>
            <w:r>
              <w:rPr>
                <w:rFonts w:hint="eastAsia" w:cs="Times New Roman"/>
                <w:b/>
                <w:bCs/>
                <w:color w:val="auto"/>
                <w:spacing w:val="0"/>
                <w:w w:val="100"/>
                <w:kern w:val="0"/>
                <w:position w:val="0"/>
                <w:sz w:val="21"/>
                <w:szCs w:val="21"/>
                <w:highlight w:val="none"/>
                <w:lang w:val="en-US" w:eastAsia="zh-CN"/>
              </w:rPr>
              <w:t>4</w:t>
            </w:r>
            <w:r>
              <w:rPr>
                <w:rFonts w:hint="default" w:ascii="Times New Roman" w:hAnsi="Times New Roman" w:eastAsia="宋体" w:cs="Times New Roman"/>
                <w:b/>
                <w:bCs/>
                <w:color w:val="auto"/>
                <w:spacing w:val="0"/>
                <w:w w:val="100"/>
                <w:kern w:val="0"/>
                <w:position w:val="0"/>
                <w:sz w:val="21"/>
                <w:szCs w:val="21"/>
                <w:highlight w:val="none"/>
                <w:lang w:val="en-US" w:eastAsia="zh-CN"/>
              </w:rPr>
              <w:t xml:space="preserve">  工频电磁场强度监测结果</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70"/>
              <w:gridCol w:w="3563"/>
              <w:gridCol w:w="1675"/>
              <w:gridCol w:w="162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24" w:hRule="atLeast"/>
                <w:jc w:val="center"/>
              </w:trPr>
              <w:tc>
                <w:tcPr>
                  <w:tcW w:w="72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序号</w:t>
                  </w:r>
                </w:p>
              </w:tc>
              <w:tc>
                <w:tcPr>
                  <w:tcW w:w="22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监测位置</w:t>
                  </w:r>
                </w:p>
              </w:tc>
              <w:tc>
                <w:tcPr>
                  <w:tcW w:w="104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工频电场强度</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V/m</w:t>
                  </w:r>
                </w:p>
              </w:tc>
              <w:tc>
                <w:tcPr>
                  <w:tcW w:w="10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磁感应强度</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μ</w:t>
                  </w:r>
                  <w:r>
                    <w:rPr>
                      <w:rFonts w:hint="eastAsia" w:ascii="Times New Roman" w:hAnsi="Times New Roman" w:eastAsia="宋体" w:cs="Times New Roman"/>
                      <w:color w:val="000000"/>
                      <w:sz w:val="21"/>
                      <w:szCs w:val="21"/>
                      <w:highlight w:val="none"/>
                      <w:lang w:val="en-US" w:eastAsia="zh-CN"/>
                    </w:rPr>
                    <w:t>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2" w:hRule="exact"/>
                <w:jc w:val="center"/>
              </w:trPr>
              <w:tc>
                <w:tcPr>
                  <w:tcW w:w="72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w:t>
                  </w:r>
                </w:p>
              </w:tc>
              <w:tc>
                <w:tcPr>
                  <w:tcW w:w="22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220kV变电站东侧厂界外5m</w:t>
                  </w:r>
                </w:p>
              </w:tc>
              <w:tc>
                <w:tcPr>
                  <w:tcW w:w="104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12.17</w:t>
                  </w:r>
                </w:p>
              </w:tc>
              <w:tc>
                <w:tcPr>
                  <w:tcW w:w="101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0.0631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2" w:hRule="exact"/>
                <w:jc w:val="center"/>
              </w:trPr>
              <w:tc>
                <w:tcPr>
                  <w:tcW w:w="72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w:t>
                  </w:r>
                </w:p>
              </w:tc>
              <w:tc>
                <w:tcPr>
                  <w:tcW w:w="22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220kV变电站南侧厂界外5m</w:t>
                  </w:r>
                </w:p>
              </w:tc>
              <w:tc>
                <w:tcPr>
                  <w:tcW w:w="104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310.5</w:t>
                  </w:r>
                </w:p>
              </w:tc>
              <w:tc>
                <w:tcPr>
                  <w:tcW w:w="101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0.1751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2" w:hRule="exact"/>
                <w:jc w:val="center"/>
              </w:trPr>
              <w:tc>
                <w:tcPr>
                  <w:tcW w:w="72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w:t>
                  </w:r>
                </w:p>
              </w:tc>
              <w:tc>
                <w:tcPr>
                  <w:tcW w:w="22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220kV变电站西侧厂界外5m</w:t>
                  </w:r>
                </w:p>
              </w:tc>
              <w:tc>
                <w:tcPr>
                  <w:tcW w:w="104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56.70</w:t>
                  </w:r>
                </w:p>
              </w:tc>
              <w:tc>
                <w:tcPr>
                  <w:tcW w:w="101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0.0180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2" w:hRule="exact"/>
                <w:jc w:val="center"/>
              </w:trPr>
              <w:tc>
                <w:tcPr>
                  <w:tcW w:w="72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w:t>
                  </w:r>
                </w:p>
              </w:tc>
              <w:tc>
                <w:tcPr>
                  <w:tcW w:w="22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220kV变电站北侧厂界外5m</w:t>
                  </w:r>
                </w:p>
              </w:tc>
              <w:tc>
                <w:tcPr>
                  <w:tcW w:w="104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1.470</w:t>
                  </w:r>
                </w:p>
              </w:tc>
              <w:tc>
                <w:tcPr>
                  <w:tcW w:w="101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0.0219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2" w:hRule="exact"/>
                <w:jc w:val="center"/>
              </w:trPr>
              <w:tc>
                <w:tcPr>
                  <w:tcW w:w="72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w:t>
                  </w:r>
                </w:p>
              </w:tc>
              <w:tc>
                <w:tcPr>
                  <w:tcW w:w="22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220kV变电站扩建间隔处</w:t>
                  </w:r>
                </w:p>
              </w:tc>
              <w:tc>
                <w:tcPr>
                  <w:tcW w:w="104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highlight w:val="none"/>
                      <w:lang w:val="en-US" w:eastAsia="zh-CN"/>
                    </w:rPr>
                    <w:t>8.283</w:t>
                  </w:r>
                </w:p>
              </w:tc>
              <w:tc>
                <w:tcPr>
                  <w:tcW w:w="101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0.0564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2" w:hRule="exact"/>
                <w:jc w:val="center"/>
              </w:trPr>
              <w:tc>
                <w:tcPr>
                  <w:tcW w:w="72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6#</w:t>
                  </w:r>
                </w:p>
              </w:tc>
              <w:tc>
                <w:tcPr>
                  <w:tcW w:w="22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线路中点线下</w:t>
                  </w:r>
                </w:p>
              </w:tc>
              <w:tc>
                <w:tcPr>
                  <w:tcW w:w="104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highlight w:val="none"/>
                      <w:lang w:val="en-US" w:eastAsia="zh-CN"/>
                    </w:rPr>
                    <w:t>0.284</w:t>
                  </w:r>
                </w:p>
              </w:tc>
              <w:tc>
                <w:tcPr>
                  <w:tcW w:w="101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0.0137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6" w:hRule="exact"/>
                <w:jc w:val="center"/>
              </w:trPr>
              <w:tc>
                <w:tcPr>
                  <w:tcW w:w="72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w:t>
                  </w:r>
                </w:p>
              </w:tc>
              <w:tc>
                <w:tcPr>
                  <w:tcW w:w="22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永久村</w:t>
                  </w:r>
                  <w:r>
                    <w:rPr>
                      <w:rFonts w:hint="eastAsia" w:ascii="Times New Roman" w:hAnsi="Times New Roman" w:eastAsia="宋体" w:cs="Times New Roman"/>
                      <w:color w:val="000000"/>
                      <w:sz w:val="21"/>
                      <w:szCs w:val="21"/>
                      <w:highlight w:val="none"/>
                      <w:lang w:val="en-US" w:eastAsia="zh-CN"/>
                    </w:rPr>
                    <w:t>220KV线下</w:t>
                  </w:r>
                </w:p>
              </w:tc>
              <w:tc>
                <w:tcPr>
                  <w:tcW w:w="104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highlight w:val="none"/>
                      <w:lang w:val="en-US" w:eastAsia="zh-CN"/>
                    </w:rPr>
                    <w:t>0.913</w:t>
                  </w:r>
                </w:p>
              </w:tc>
              <w:tc>
                <w:tcPr>
                  <w:tcW w:w="101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0.0138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1" w:hRule="atLeast"/>
                <w:jc w:val="center"/>
              </w:trPr>
              <w:tc>
                <w:tcPr>
                  <w:tcW w:w="72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监测条件</w:t>
                  </w:r>
                </w:p>
              </w:tc>
              <w:tc>
                <w:tcPr>
                  <w:tcW w:w="4271" w:type="pct"/>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color w:val="auto"/>
                      <w:szCs w:val="21"/>
                    </w:rPr>
                    <w:t>昼间温度：</w:t>
                  </w:r>
                  <w:r>
                    <w:rPr>
                      <w:rFonts w:hint="eastAsia"/>
                      <w:color w:val="auto"/>
                      <w:szCs w:val="21"/>
                      <w:lang w:val="en-US" w:eastAsia="zh-CN"/>
                    </w:rPr>
                    <w:t>8</w:t>
                  </w:r>
                  <w:r>
                    <w:rPr>
                      <w:color w:val="auto"/>
                      <w:szCs w:val="21"/>
                    </w:rPr>
                    <w:t>°C；湿度：</w:t>
                  </w:r>
                  <w:r>
                    <w:rPr>
                      <w:rFonts w:hint="eastAsia"/>
                      <w:color w:val="auto"/>
                      <w:szCs w:val="21"/>
                      <w:lang w:val="en-US" w:eastAsia="zh-CN"/>
                    </w:rPr>
                    <w:t>36</w:t>
                  </w:r>
                  <w:r>
                    <w:rPr>
                      <w:color w:val="auto"/>
                      <w:szCs w:val="21"/>
                    </w:rPr>
                    <w:t>%RH；风速：</w:t>
                  </w:r>
                  <w:r>
                    <w:rPr>
                      <w:rFonts w:hint="eastAsia"/>
                      <w:color w:val="auto"/>
                      <w:szCs w:val="21"/>
                      <w:lang w:val="en-US" w:eastAsia="zh-CN"/>
                    </w:rPr>
                    <w:t>3.7</w:t>
                  </w:r>
                  <w:r>
                    <w:rPr>
                      <w:color w:val="auto"/>
                      <w:szCs w:val="21"/>
                    </w:rPr>
                    <w:t>m/s。</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根据现场监测结果可知，本项目</w:t>
            </w:r>
            <w:r>
              <w:rPr>
                <w:rFonts w:hint="eastAsia" w:ascii="Times New Roman" w:hAnsi="Times New Roman" w:eastAsia="宋体" w:cs="Times New Roman"/>
                <w:color w:val="auto"/>
                <w:spacing w:val="0"/>
                <w:w w:val="100"/>
                <w:kern w:val="0"/>
                <w:position w:val="0"/>
                <w:sz w:val="24"/>
                <w:szCs w:val="24"/>
                <w:highlight w:val="none"/>
                <w:lang w:val="en-US" w:eastAsia="zh-CN"/>
              </w:rPr>
              <w:t>变电站、输电线路</w:t>
            </w:r>
            <w:r>
              <w:rPr>
                <w:rFonts w:hint="default" w:ascii="Times New Roman" w:hAnsi="Times New Roman" w:eastAsia="宋体" w:cs="Times New Roman"/>
                <w:color w:val="auto"/>
                <w:spacing w:val="0"/>
                <w:w w:val="100"/>
                <w:kern w:val="0"/>
                <w:position w:val="0"/>
                <w:sz w:val="24"/>
                <w:szCs w:val="24"/>
                <w:highlight w:val="none"/>
                <w:lang w:val="en-US" w:eastAsia="zh-CN"/>
              </w:rPr>
              <w:t>周围环境工频电磁强度均可满足《电磁环境控制限值》</w:t>
            </w:r>
            <w:r>
              <w:rPr>
                <w:rFonts w:hint="eastAsia" w:ascii="Times New Roman" w:hAnsi="Times New Roman" w:eastAsia="宋体" w:cs="Times New Roman"/>
                <w:color w:val="auto"/>
                <w:spacing w:val="0"/>
                <w:w w:val="100"/>
                <w:kern w:val="0"/>
                <w:position w:val="0"/>
                <w:sz w:val="24"/>
                <w:szCs w:val="24"/>
                <w:highlight w:val="none"/>
                <w:lang w:val="en-US" w:eastAsia="zh-CN"/>
              </w:rPr>
              <w:t>（</w:t>
            </w:r>
            <w:r>
              <w:rPr>
                <w:rFonts w:hint="default" w:ascii="Times New Roman" w:hAnsi="Times New Roman" w:eastAsia="宋体" w:cs="Times New Roman"/>
                <w:color w:val="auto"/>
                <w:spacing w:val="0"/>
                <w:w w:val="100"/>
                <w:kern w:val="0"/>
                <w:position w:val="0"/>
                <w:sz w:val="24"/>
                <w:szCs w:val="24"/>
                <w:highlight w:val="none"/>
                <w:lang w:val="en-US" w:eastAsia="zh-CN"/>
              </w:rPr>
              <w:t>GB8702-2014</w:t>
            </w:r>
            <w:r>
              <w:rPr>
                <w:rFonts w:hint="eastAsia" w:ascii="Times New Roman" w:hAnsi="Times New Roman" w:eastAsia="宋体" w:cs="Times New Roman"/>
                <w:color w:val="auto"/>
                <w:spacing w:val="0"/>
                <w:w w:val="100"/>
                <w:kern w:val="0"/>
                <w:position w:val="0"/>
                <w:sz w:val="24"/>
                <w:szCs w:val="24"/>
                <w:highlight w:val="none"/>
                <w:lang w:val="en-US" w:eastAsia="zh-CN"/>
              </w:rPr>
              <w:t>）</w:t>
            </w:r>
            <w:r>
              <w:rPr>
                <w:rFonts w:hint="default" w:ascii="Times New Roman" w:hAnsi="Times New Roman" w:eastAsia="宋体" w:cs="Times New Roman"/>
                <w:color w:val="auto"/>
                <w:spacing w:val="0"/>
                <w:w w:val="100"/>
                <w:kern w:val="0"/>
                <w:position w:val="0"/>
                <w:sz w:val="24"/>
                <w:szCs w:val="24"/>
                <w:highlight w:val="none"/>
                <w:lang w:val="en-US" w:eastAsia="zh-CN"/>
              </w:rPr>
              <w:t>中</w:t>
            </w:r>
            <w:r>
              <w:rPr>
                <w:rFonts w:hint="eastAsia"/>
                <w:bCs/>
                <w:color w:val="auto"/>
                <w:sz w:val="24"/>
                <w:szCs w:val="24"/>
                <w:lang w:eastAsia="zh-CN"/>
              </w:rPr>
              <w:t>工频电场强度4000V/m，工频磁感应强度100</w:t>
            </w:r>
            <w:r>
              <w:rPr>
                <w:rFonts w:hint="default" w:ascii="Times New Roman" w:hAnsi="Times New Roman" w:cs="Times New Roman"/>
                <w:bCs/>
                <w:color w:val="auto"/>
                <w:sz w:val="24"/>
                <w:szCs w:val="24"/>
                <w:lang w:eastAsia="zh-CN"/>
              </w:rPr>
              <w:t>μ</w:t>
            </w:r>
            <w:r>
              <w:rPr>
                <w:rFonts w:hint="eastAsia"/>
                <w:bCs/>
                <w:color w:val="auto"/>
                <w:sz w:val="24"/>
                <w:szCs w:val="24"/>
                <w:lang w:eastAsia="zh-CN"/>
              </w:rPr>
              <w:t>T公众曝露控制限值要求</w:t>
            </w:r>
            <w:r>
              <w:rPr>
                <w:rFonts w:hint="default" w:ascii="Times New Roman" w:hAnsi="Times New Roman" w:eastAsia="宋体" w:cs="Times New Roman"/>
                <w:color w:val="auto"/>
                <w:spacing w:val="0"/>
                <w:w w:val="100"/>
                <w:kern w:val="0"/>
                <w:position w:val="0"/>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53" w:hRule="atLeast"/>
          <w:jc w:val="center"/>
        </w:trPr>
        <w:tc>
          <w:tcPr>
            <w:tcW w:w="904" w:type="dxa"/>
            <w:noWrap w:val="0"/>
            <w:vAlign w:val="center"/>
          </w:tcPr>
          <w:p>
            <w:pPr>
              <w:adjustRightInd w:val="0"/>
              <w:snapToGrid w:val="0"/>
              <w:jc w:val="center"/>
              <w:rPr>
                <w:rFonts w:ascii="宋体" w:hAnsi="宋体" w:cs="宋体"/>
                <w:kern w:val="0"/>
                <w:sz w:val="24"/>
                <w:szCs w:val="24"/>
              </w:rPr>
            </w:pPr>
            <w:r>
              <w:rPr>
                <w:rFonts w:hint="eastAsia" w:ascii="宋体" w:hAnsi="宋体"/>
                <w:bCs/>
                <w:sz w:val="24"/>
                <w:szCs w:val="24"/>
                <w:highlight w:val="none"/>
              </w:rPr>
              <w:t>与项目有关的原有环境污染和生态破坏问题</w:t>
            </w:r>
          </w:p>
        </w:tc>
        <w:tc>
          <w:tcPr>
            <w:tcW w:w="8253"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1、龙煤风电场升压站</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龙煤风电场升压站为</w:t>
            </w:r>
            <w:r>
              <w:rPr>
                <w:rFonts w:hint="default" w:ascii="Times New Roman" w:hAnsi="Times New Roman" w:eastAsia="宋体" w:cs="Times New Roman"/>
                <w:color w:val="000000"/>
                <w:sz w:val="24"/>
                <w:szCs w:val="24"/>
              </w:rPr>
              <w:t>龙煤双鸭山集贤200MW风力发电项目接网工程</w:t>
            </w:r>
            <w:r>
              <w:rPr>
                <w:rFonts w:hint="eastAsia" w:ascii="Times New Roman" w:hAnsi="Times New Roman" w:eastAsia="宋体" w:cs="Times New Roman"/>
                <w:color w:val="000000"/>
                <w:sz w:val="24"/>
                <w:szCs w:val="24"/>
                <w:lang w:val="en-US" w:eastAsia="zh-CN"/>
              </w:rPr>
              <w:t>项目的起点，</w:t>
            </w:r>
            <w:r>
              <w:rPr>
                <w:rFonts w:hint="eastAsia" w:ascii="Times New Roman" w:hAnsi="Times New Roman" w:eastAsia="宋体" w:cs="Times New Roman"/>
                <w:color w:val="000000"/>
                <w:sz w:val="24"/>
                <w:szCs w:val="24"/>
                <w:highlight w:val="none"/>
                <w:lang w:val="en-US" w:eastAsia="zh-CN"/>
              </w:rPr>
              <w:t>该项目于202</w:t>
            </w:r>
            <w:r>
              <w:rPr>
                <w:rFonts w:hint="eastAsia" w:cs="Times New Roman"/>
                <w:color w:val="000000"/>
                <w:sz w:val="24"/>
                <w:szCs w:val="24"/>
                <w:highlight w:val="none"/>
                <w:lang w:val="en-US" w:eastAsia="zh-CN"/>
              </w:rPr>
              <w:t>3</w:t>
            </w:r>
            <w:r>
              <w:rPr>
                <w:rFonts w:hint="eastAsia" w:ascii="Times New Roman" w:hAnsi="Times New Roman" w:eastAsia="宋体" w:cs="Times New Roman"/>
                <w:color w:val="000000"/>
                <w:sz w:val="24"/>
                <w:szCs w:val="24"/>
                <w:highlight w:val="none"/>
                <w:lang w:val="en-US" w:eastAsia="zh-CN"/>
              </w:rPr>
              <w:t>年</w:t>
            </w:r>
            <w:r>
              <w:rPr>
                <w:rFonts w:hint="eastAsia" w:cs="Times New Roman"/>
                <w:color w:val="000000"/>
                <w:sz w:val="24"/>
                <w:szCs w:val="24"/>
                <w:highlight w:val="none"/>
                <w:lang w:val="en-US" w:eastAsia="zh-CN"/>
              </w:rPr>
              <w:t>4</w:t>
            </w:r>
            <w:r>
              <w:rPr>
                <w:rFonts w:hint="eastAsia" w:ascii="Times New Roman" w:hAnsi="Times New Roman" w:eastAsia="宋体" w:cs="Times New Roman"/>
                <w:color w:val="000000"/>
                <w:sz w:val="24"/>
                <w:szCs w:val="24"/>
                <w:highlight w:val="none"/>
                <w:lang w:val="en-US" w:eastAsia="zh-CN"/>
              </w:rPr>
              <w:t>月完成环评编制，202</w:t>
            </w:r>
            <w:r>
              <w:rPr>
                <w:rFonts w:hint="eastAsia" w:cs="Times New Roman"/>
                <w:color w:val="000000"/>
                <w:sz w:val="24"/>
                <w:szCs w:val="24"/>
                <w:highlight w:val="none"/>
                <w:lang w:val="en-US" w:eastAsia="zh-CN"/>
              </w:rPr>
              <w:t>3</w:t>
            </w:r>
            <w:r>
              <w:rPr>
                <w:rFonts w:hint="eastAsia" w:ascii="Times New Roman" w:hAnsi="Times New Roman" w:eastAsia="宋体" w:cs="Times New Roman"/>
                <w:color w:val="000000"/>
                <w:sz w:val="24"/>
                <w:szCs w:val="24"/>
                <w:highlight w:val="none"/>
                <w:lang w:val="en-US" w:eastAsia="zh-CN"/>
              </w:rPr>
              <w:t>年</w:t>
            </w:r>
            <w:r>
              <w:rPr>
                <w:rFonts w:hint="eastAsia" w:cs="Times New Roman"/>
                <w:color w:val="000000"/>
                <w:sz w:val="24"/>
                <w:szCs w:val="24"/>
                <w:highlight w:val="none"/>
                <w:lang w:val="en-US" w:eastAsia="zh-CN"/>
              </w:rPr>
              <w:t>4</w:t>
            </w:r>
            <w:r>
              <w:rPr>
                <w:rFonts w:hint="eastAsia" w:ascii="Times New Roman" w:hAnsi="Times New Roman" w:eastAsia="宋体" w:cs="Times New Roman"/>
                <w:color w:val="000000"/>
                <w:sz w:val="24"/>
                <w:szCs w:val="24"/>
                <w:highlight w:val="none"/>
                <w:lang w:val="en-US" w:eastAsia="zh-CN"/>
              </w:rPr>
              <w:t>月</w:t>
            </w:r>
            <w:r>
              <w:rPr>
                <w:rFonts w:hint="eastAsia" w:cs="Times New Roman"/>
                <w:color w:val="000000"/>
                <w:sz w:val="24"/>
                <w:szCs w:val="24"/>
                <w:highlight w:val="none"/>
                <w:lang w:val="en-US" w:eastAsia="zh-CN"/>
              </w:rPr>
              <w:t>28</w:t>
            </w:r>
            <w:r>
              <w:rPr>
                <w:rFonts w:hint="eastAsia" w:ascii="Times New Roman" w:hAnsi="Times New Roman" w:eastAsia="宋体" w:cs="Times New Roman"/>
                <w:color w:val="000000"/>
                <w:sz w:val="24"/>
                <w:szCs w:val="24"/>
                <w:highlight w:val="none"/>
                <w:lang w:val="en-US" w:eastAsia="zh-CN"/>
              </w:rPr>
              <w:t>日取得双鸭山市集贤生态环境局《关于对龙煤双鸭山集贤200MW风力发电项目环境影响报告表审批意见的函》（</w:t>
            </w:r>
            <w:r>
              <w:rPr>
                <w:rFonts w:hint="eastAsia" w:cs="Times New Roman"/>
                <w:color w:val="000000"/>
                <w:sz w:val="24"/>
                <w:szCs w:val="24"/>
                <w:highlight w:val="none"/>
                <w:lang w:val="en-US" w:eastAsia="zh-CN"/>
              </w:rPr>
              <w:t>双集环审</w:t>
            </w:r>
            <w:r>
              <w:rPr>
                <w:rFonts w:hint="eastAsia" w:ascii="Times New Roman" w:hAnsi="Times New Roman" w:eastAsia="宋体" w:cs="Times New Roman"/>
                <w:color w:val="000000"/>
                <w:sz w:val="24"/>
                <w:szCs w:val="24"/>
                <w:highlight w:val="none"/>
                <w:lang w:val="en-US" w:eastAsia="zh-CN"/>
              </w:rPr>
              <w:t>〔202</w:t>
            </w:r>
            <w:r>
              <w:rPr>
                <w:rFonts w:hint="eastAsia" w:cs="Times New Roman"/>
                <w:color w:val="000000"/>
                <w:sz w:val="24"/>
                <w:szCs w:val="24"/>
                <w:highlight w:val="none"/>
                <w:lang w:val="en-US" w:eastAsia="zh-CN"/>
              </w:rPr>
              <w:t>3</w:t>
            </w:r>
            <w:r>
              <w:rPr>
                <w:rFonts w:hint="eastAsia" w:ascii="Times New Roman" w:hAnsi="Times New Roman" w:eastAsia="宋体" w:cs="Times New Roman"/>
                <w:color w:val="000000"/>
                <w:sz w:val="24"/>
                <w:szCs w:val="24"/>
                <w:highlight w:val="none"/>
                <w:lang w:val="en-US" w:eastAsia="zh-CN"/>
              </w:rPr>
              <w:t>〕</w:t>
            </w:r>
            <w:r>
              <w:rPr>
                <w:rFonts w:hint="eastAsia" w:cs="Times New Roman"/>
                <w:color w:val="000000"/>
                <w:sz w:val="24"/>
                <w:szCs w:val="24"/>
                <w:highlight w:val="none"/>
                <w:lang w:val="en-US" w:eastAsia="zh-CN"/>
              </w:rPr>
              <w:t>3</w:t>
            </w:r>
            <w:r>
              <w:rPr>
                <w:rFonts w:hint="eastAsia" w:ascii="Times New Roman" w:hAnsi="Times New Roman" w:eastAsia="宋体" w:cs="Times New Roman"/>
                <w:color w:val="000000"/>
                <w:sz w:val="24"/>
                <w:szCs w:val="24"/>
                <w:highlight w:val="none"/>
                <w:lang w:val="en-US" w:eastAsia="zh-CN"/>
              </w:rPr>
              <w:t>号）</w:t>
            </w:r>
            <w:r>
              <w:rPr>
                <w:rFonts w:hint="eastAsia"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highlight w:val="none"/>
                <w:lang w:val="en-US" w:eastAsia="zh-CN"/>
              </w:rPr>
              <w:t>目前项目</w:t>
            </w:r>
            <w:r>
              <w:rPr>
                <w:rFonts w:hint="eastAsia" w:cs="Times New Roman"/>
                <w:color w:val="000000"/>
                <w:sz w:val="24"/>
                <w:szCs w:val="24"/>
                <w:highlight w:val="none"/>
                <w:lang w:val="en-US" w:eastAsia="zh-CN"/>
              </w:rPr>
              <w:t>尚未运行</w:t>
            </w:r>
            <w:r>
              <w:rPr>
                <w:rFonts w:hint="eastAsia" w:ascii="Times New Roman" w:hAnsi="Times New Roman" w:eastAsia="宋体" w:cs="Times New Roman"/>
                <w:color w:val="000000"/>
                <w:sz w:val="24"/>
                <w:szCs w:val="24"/>
                <w:highlight w:val="none"/>
                <w:lang w:val="en-US" w:eastAsia="zh-CN"/>
              </w:rPr>
              <w:t>，无现有环境问题。</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2、太保220kV变电站</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太保220kV变电站</w:t>
            </w:r>
            <w:r>
              <w:rPr>
                <w:rFonts w:hint="eastAsia" w:ascii="Times New Roman" w:hAnsi="Times New Roman" w:eastAsia="宋体" w:cs="Times New Roman"/>
                <w:color w:val="000000"/>
                <w:sz w:val="24"/>
                <w:szCs w:val="24"/>
                <w:highlight w:val="none"/>
                <w:lang w:val="en-US" w:eastAsia="zh-CN"/>
              </w:rPr>
              <w:t>位于双鸭山市集贤县，于2013年建成投运，目前有2台120MVA主变运行，变比220士8×1.25%/69/10.5kV。于201</w:t>
            </w:r>
            <w:r>
              <w:rPr>
                <w:rFonts w:hint="eastAsia" w:cs="Times New Roman"/>
                <w:color w:val="000000"/>
                <w:sz w:val="24"/>
                <w:szCs w:val="24"/>
                <w:highlight w:val="none"/>
                <w:lang w:val="en-US" w:eastAsia="zh-CN"/>
              </w:rPr>
              <w:t>1</w:t>
            </w:r>
            <w:r>
              <w:rPr>
                <w:rFonts w:hint="eastAsia" w:ascii="Times New Roman" w:hAnsi="Times New Roman" w:eastAsia="宋体" w:cs="Times New Roman"/>
                <w:color w:val="000000"/>
                <w:sz w:val="24"/>
                <w:szCs w:val="24"/>
                <w:highlight w:val="none"/>
                <w:lang w:val="en-US" w:eastAsia="zh-CN"/>
              </w:rPr>
              <w:t>年完成环评编制，并于20</w:t>
            </w:r>
            <w:r>
              <w:rPr>
                <w:rFonts w:hint="eastAsia" w:cs="Times New Roman"/>
                <w:color w:val="000000"/>
                <w:sz w:val="24"/>
                <w:szCs w:val="24"/>
                <w:highlight w:val="none"/>
                <w:lang w:val="en-US" w:eastAsia="zh-CN"/>
              </w:rPr>
              <w:t>15</w:t>
            </w:r>
            <w:r>
              <w:rPr>
                <w:rFonts w:hint="eastAsia" w:ascii="Times New Roman" w:hAnsi="Times New Roman" w:eastAsia="宋体" w:cs="Times New Roman"/>
                <w:color w:val="000000"/>
                <w:sz w:val="24"/>
                <w:szCs w:val="24"/>
                <w:highlight w:val="none"/>
                <w:lang w:val="en-US" w:eastAsia="zh-CN"/>
              </w:rPr>
              <w:t>年12月</w:t>
            </w:r>
            <w:r>
              <w:rPr>
                <w:rFonts w:hint="eastAsia" w:cs="Times New Roman"/>
                <w:color w:val="000000"/>
                <w:sz w:val="24"/>
                <w:szCs w:val="24"/>
                <w:highlight w:val="none"/>
                <w:lang w:val="en-US" w:eastAsia="zh-CN"/>
              </w:rPr>
              <w:t>7</w:t>
            </w:r>
            <w:r>
              <w:rPr>
                <w:rFonts w:hint="eastAsia" w:ascii="Times New Roman" w:hAnsi="Times New Roman" w:eastAsia="宋体" w:cs="Times New Roman"/>
                <w:color w:val="000000"/>
                <w:sz w:val="24"/>
                <w:szCs w:val="24"/>
                <w:highlight w:val="none"/>
                <w:lang w:val="en-US" w:eastAsia="zh-CN"/>
              </w:rPr>
              <w:t>日由</w:t>
            </w:r>
            <w:r>
              <w:rPr>
                <w:rFonts w:hint="eastAsia" w:cs="Times New Roman"/>
                <w:color w:val="000000"/>
                <w:sz w:val="24"/>
                <w:szCs w:val="24"/>
                <w:highlight w:val="none"/>
                <w:lang w:val="en-US" w:eastAsia="zh-CN"/>
              </w:rPr>
              <w:t>双鸭山市环境保护局</w:t>
            </w:r>
            <w:r>
              <w:rPr>
                <w:rFonts w:hint="eastAsia" w:ascii="Times New Roman" w:hAnsi="Times New Roman" w:eastAsia="宋体" w:cs="Times New Roman"/>
                <w:color w:val="000000"/>
                <w:sz w:val="24"/>
                <w:szCs w:val="24"/>
                <w:highlight w:val="none"/>
                <w:lang w:val="en-US" w:eastAsia="zh-CN"/>
              </w:rPr>
              <w:t>通过《关于国网黑龙江省电力有限公司太保220千伏输变电新建工程竣工环境保护验收意见的函》</w:t>
            </w:r>
            <w:r>
              <w:rPr>
                <w:rFonts w:hint="eastAsia" w:cs="Times New Roman"/>
                <w:color w:val="000000"/>
                <w:sz w:val="24"/>
                <w:szCs w:val="24"/>
                <w:highlight w:val="none"/>
                <w:lang w:val="en-US" w:eastAsia="zh-CN"/>
              </w:rPr>
              <w:t>（双环函〔2015]91号）</w:t>
            </w:r>
            <w:r>
              <w:rPr>
                <w:rFonts w:hint="eastAsia" w:ascii="Times New Roman" w:hAnsi="Times New Roman" w:eastAsia="宋体" w:cs="Times New Roman"/>
                <w:color w:val="000000"/>
                <w:sz w:val="24"/>
                <w:szCs w:val="24"/>
                <w:lang w:val="en-US" w:eastAsia="zh-CN"/>
              </w:rPr>
              <w:t>。不存在遗留环境问题。</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（1）废气</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原有工程运行期无废气产生。</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（2）废水</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太保220kV变电站生活污水排至站内防渗化粪池，定期清掏堆肥处置。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（3）电磁环境</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根据现状监测结果，太保220kV变电站工频电场强度、工频磁感应强度监测均满足《电磁环境控制限值》（GB8702-2014）相关标准限值（电场强度4000V/m，磁感应强度100</w:t>
            </w:r>
            <w:r>
              <w:rPr>
                <w:rFonts w:hint="default" w:ascii="Times New Roman" w:hAnsi="Times New Roman" w:eastAsia="宋体" w:cs="Times New Roman"/>
                <w:spacing w:val="0"/>
                <w:w w:val="100"/>
                <w:kern w:val="0"/>
                <w:position w:val="0"/>
                <w:sz w:val="24"/>
                <w:szCs w:val="24"/>
                <w:highlight w:val="none"/>
                <w:lang w:val="en-US" w:eastAsia="zh-CN"/>
              </w:rPr>
              <w:t>μ</w:t>
            </w:r>
            <w:r>
              <w:rPr>
                <w:rFonts w:hint="eastAsia" w:ascii="Times New Roman" w:hAnsi="Times New Roman" w:eastAsia="宋体" w:cs="Times New Roman"/>
                <w:spacing w:val="0"/>
                <w:w w:val="100"/>
                <w:kern w:val="0"/>
                <w:position w:val="0"/>
                <w:sz w:val="24"/>
                <w:szCs w:val="24"/>
                <w:highlight w:val="none"/>
                <w:lang w:val="en-US" w:eastAsia="zh-CN"/>
              </w:rPr>
              <w:t>T）要求，电磁环境现状良好。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（4）噪声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FF0000"/>
                <w:spacing w:val="0"/>
                <w:w w:val="100"/>
                <w:kern w:val="0"/>
                <w:position w:val="0"/>
                <w:sz w:val="24"/>
                <w:szCs w:val="24"/>
                <w:highlight w:val="none"/>
                <w:lang w:val="en-US" w:eastAsia="zh-CN"/>
              </w:rPr>
            </w:pPr>
            <w:r>
              <w:rPr>
                <w:rFonts w:hint="eastAsia" w:ascii="Times New Roman" w:hAnsi="Times New Roman" w:eastAsia="宋体" w:cs="Times New Roman"/>
                <w:color w:val="FF0000"/>
                <w:spacing w:val="0"/>
                <w:w w:val="100"/>
                <w:kern w:val="0"/>
                <w:position w:val="0"/>
                <w:sz w:val="24"/>
                <w:szCs w:val="24"/>
                <w:highlight w:val="none"/>
                <w:lang w:val="en-US" w:eastAsia="zh-CN"/>
              </w:rPr>
              <w:t>由现状监测数据可知，</w:t>
            </w:r>
            <w:r>
              <w:rPr>
                <w:rFonts w:hint="eastAsia" w:ascii="Times New Roman" w:hAnsi="Times New Roman" w:eastAsia="宋体" w:cs="Times New Roman"/>
                <w:color w:val="FF0000"/>
                <w:sz w:val="24"/>
                <w:szCs w:val="24"/>
                <w:highlight w:val="none"/>
                <w:lang w:val="en-US" w:eastAsia="zh-CN"/>
              </w:rPr>
              <w:t>太保变电站</w:t>
            </w:r>
            <w:r>
              <w:rPr>
                <w:rFonts w:hint="eastAsia" w:cs="Times New Roman"/>
                <w:color w:val="FF0000"/>
                <w:sz w:val="24"/>
                <w:szCs w:val="24"/>
                <w:highlight w:val="none"/>
                <w:lang w:val="en-US" w:eastAsia="zh-CN"/>
              </w:rPr>
              <w:t>厂界</w:t>
            </w:r>
            <w:r>
              <w:rPr>
                <w:rFonts w:hint="eastAsia" w:ascii="Times New Roman" w:hAnsi="Times New Roman" w:eastAsia="宋体" w:cs="Times New Roman"/>
                <w:color w:val="FF0000"/>
                <w:sz w:val="24"/>
                <w:szCs w:val="24"/>
                <w:highlight w:val="none"/>
                <w:lang w:val="zh-CN" w:eastAsia="zh-CN"/>
              </w:rPr>
              <w:t>声环境</w:t>
            </w:r>
            <w:r>
              <w:rPr>
                <w:rFonts w:hint="default" w:ascii="Times New Roman" w:hAnsi="Times New Roman" w:eastAsia="宋体" w:cs="Times New Roman"/>
                <w:color w:val="FF0000"/>
                <w:sz w:val="24"/>
                <w:szCs w:val="24"/>
                <w:highlight w:val="none"/>
                <w:lang w:val="zh-CN" w:eastAsia="zh-CN"/>
              </w:rPr>
              <w:t>均满足《声环境质量标准》</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GB3096-2008</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中</w:t>
            </w:r>
            <w:r>
              <w:rPr>
                <w:rFonts w:hint="eastAsia" w:cs="Times New Roman"/>
                <w:color w:val="FF0000"/>
                <w:sz w:val="24"/>
                <w:szCs w:val="24"/>
                <w:highlight w:val="none"/>
                <w:lang w:val="en-US" w:eastAsia="zh-CN"/>
              </w:rPr>
              <w:t>2</w:t>
            </w:r>
            <w:r>
              <w:rPr>
                <w:rFonts w:hint="default" w:ascii="Times New Roman" w:hAnsi="Times New Roman" w:eastAsia="宋体" w:cs="Times New Roman"/>
                <w:color w:val="FF0000"/>
                <w:sz w:val="24"/>
                <w:szCs w:val="24"/>
                <w:highlight w:val="none"/>
                <w:lang w:val="zh-CN" w:eastAsia="zh-CN"/>
              </w:rPr>
              <w:t>类标准限值要求</w:t>
            </w:r>
            <w:r>
              <w:rPr>
                <w:rFonts w:hint="eastAsia" w:cs="Times New Roman"/>
                <w:color w:val="FF0000"/>
                <w:sz w:val="24"/>
                <w:szCs w:val="24"/>
                <w:highlight w:val="none"/>
                <w:lang w:val="zh-CN" w:eastAsia="zh-CN"/>
              </w:rPr>
              <w:t>；</w:t>
            </w:r>
            <w:r>
              <w:rPr>
                <w:rFonts w:hint="eastAsia" w:cs="Times New Roman"/>
                <w:color w:val="FF0000"/>
                <w:sz w:val="24"/>
                <w:szCs w:val="24"/>
                <w:highlight w:val="none"/>
                <w:lang w:val="en-US" w:eastAsia="zh-CN"/>
              </w:rPr>
              <w:t>输电线路</w:t>
            </w:r>
            <w:r>
              <w:rPr>
                <w:rFonts w:hint="eastAsia" w:ascii="Times New Roman" w:hAnsi="Times New Roman" w:eastAsia="宋体" w:cs="Times New Roman"/>
                <w:color w:val="FF0000"/>
                <w:sz w:val="24"/>
                <w:szCs w:val="24"/>
                <w:highlight w:val="none"/>
                <w:lang w:val="zh-CN" w:eastAsia="zh-CN"/>
              </w:rPr>
              <w:t>声环境</w:t>
            </w:r>
            <w:r>
              <w:rPr>
                <w:rFonts w:hint="eastAsia" w:cs="Times New Roman"/>
                <w:color w:val="FF0000"/>
                <w:sz w:val="24"/>
                <w:szCs w:val="24"/>
                <w:highlight w:val="none"/>
                <w:lang w:val="en-US" w:eastAsia="zh-CN"/>
              </w:rPr>
              <w:t>位于经开区的部分</w:t>
            </w:r>
            <w:r>
              <w:rPr>
                <w:rFonts w:hint="default" w:ascii="Times New Roman" w:hAnsi="Times New Roman" w:eastAsia="宋体" w:cs="Times New Roman"/>
                <w:color w:val="FF0000"/>
                <w:sz w:val="24"/>
                <w:szCs w:val="24"/>
                <w:highlight w:val="none"/>
                <w:lang w:val="zh-CN" w:eastAsia="zh-CN"/>
              </w:rPr>
              <w:t>满足《声环境质量标准》</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GB3096-2008</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中</w:t>
            </w:r>
            <w:r>
              <w:rPr>
                <w:rFonts w:hint="eastAsia" w:cs="Times New Roman"/>
                <w:color w:val="FF0000"/>
                <w:sz w:val="24"/>
                <w:szCs w:val="24"/>
                <w:highlight w:val="none"/>
                <w:lang w:val="en-US" w:eastAsia="zh-CN"/>
              </w:rPr>
              <w:t>3</w:t>
            </w:r>
            <w:r>
              <w:rPr>
                <w:rFonts w:hint="default" w:ascii="Times New Roman" w:hAnsi="Times New Roman" w:eastAsia="宋体" w:cs="Times New Roman"/>
                <w:color w:val="FF0000"/>
                <w:sz w:val="24"/>
                <w:szCs w:val="24"/>
                <w:highlight w:val="none"/>
                <w:lang w:val="zh-CN" w:eastAsia="zh-CN"/>
              </w:rPr>
              <w:t>类标准限值要求</w:t>
            </w:r>
            <w:r>
              <w:rPr>
                <w:rFonts w:hint="eastAsia" w:cs="Times New Roman"/>
                <w:color w:val="FF0000"/>
                <w:sz w:val="24"/>
                <w:szCs w:val="24"/>
                <w:highlight w:val="none"/>
                <w:lang w:val="zh-CN" w:eastAsia="zh-CN"/>
              </w:rPr>
              <w:t>，</w:t>
            </w:r>
            <w:r>
              <w:rPr>
                <w:rFonts w:hint="eastAsia" w:cs="Times New Roman"/>
                <w:color w:val="FF0000"/>
                <w:sz w:val="24"/>
                <w:szCs w:val="24"/>
                <w:highlight w:val="none"/>
                <w:lang w:val="en-US" w:eastAsia="zh-CN"/>
              </w:rPr>
              <w:t>位于其他地区的部分</w:t>
            </w:r>
            <w:r>
              <w:rPr>
                <w:rFonts w:hint="default" w:ascii="Times New Roman" w:hAnsi="Times New Roman" w:eastAsia="宋体" w:cs="Times New Roman"/>
                <w:color w:val="FF0000"/>
                <w:sz w:val="24"/>
                <w:szCs w:val="24"/>
                <w:highlight w:val="none"/>
                <w:lang w:val="zh-CN" w:eastAsia="zh-CN"/>
              </w:rPr>
              <w:t>满足《声环境质量标准》</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GB3096-2008</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中</w:t>
            </w:r>
            <w:r>
              <w:rPr>
                <w:rFonts w:hint="eastAsia" w:cs="Times New Roman"/>
                <w:color w:val="FF0000"/>
                <w:sz w:val="24"/>
                <w:szCs w:val="24"/>
                <w:highlight w:val="none"/>
                <w:lang w:val="en-US" w:eastAsia="zh-CN"/>
              </w:rPr>
              <w:t>1</w:t>
            </w:r>
            <w:r>
              <w:rPr>
                <w:rFonts w:hint="default" w:ascii="Times New Roman" w:hAnsi="Times New Roman" w:eastAsia="宋体" w:cs="Times New Roman"/>
                <w:color w:val="FF0000"/>
                <w:sz w:val="24"/>
                <w:szCs w:val="24"/>
                <w:highlight w:val="none"/>
                <w:lang w:val="zh-CN" w:eastAsia="zh-CN"/>
              </w:rPr>
              <w:t>类标准限值要求</w:t>
            </w:r>
            <w:r>
              <w:rPr>
                <w:rFonts w:hint="eastAsia" w:ascii="Times New Roman" w:hAnsi="Times New Roman" w:eastAsia="宋体" w:cs="Times New Roman"/>
                <w:color w:val="FF0000"/>
                <w:spacing w:val="0"/>
                <w:w w:val="100"/>
                <w:kern w:val="0"/>
                <w:position w:val="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（5）固体废物</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原有工程运行期主要固体废物为变电站、变压器检修时产生的少量含油棉纱、含油手套等沾染废物及废铅酸蓄电池，铅酸蓄电池寿命周期约为10年，在蓄电池达到使用寿命或故障需要更换时交由有资质单位进行处置，不在站内储存，目前暂未更换；含油棉纱、含油手套等沾染废物交由有资质单位处置；事故状态下或检修时产生的废变压器油暂存于事故油池中，并交由有资质单位定期处理。变电站自运行以来未发生过事故而产生事故油的情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3、原有工程应急预案履行情况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太保220kV变电站运行期严格按照现行国家电网有限公司制定的《国家电网有限公司突发环境事件应急预案》执行相应防范应急措施，以应对突发环境事件。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4、排污许可证履行情况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本项目为“五十五、核与辐射”类项目，暂未纳入《固定污染源排污许可分类管理名录（2019版）》，暂不需申请排污许可证。</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综上所述，建设单位现有环保措施的运行管理情况良好，太保220kV变电站不存在环境问题。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904" w:type="dxa"/>
            <w:noWrap w:val="0"/>
            <w:vAlign w:val="center"/>
          </w:tcPr>
          <w:p>
            <w:pPr>
              <w:adjustRightInd w:val="0"/>
              <w:snapToGrid w:val="0"/>
              <w:jc w:val="center"/>
              <w:rPr>
                <w:rFonts w:ascii="宋体" w:hAnsi="宋体" w:cs="宋体"/>
                <w:kern w:val="0"/>
                <w:sz w:val="24"/>
                <w:szCs w:val="24"/>
              </w:rPr>
            </w:pPr>
            <w:r>
              <w:rPr>
                <w:rFonts w:hint="eastAsia" w:ascii="宋体" w:hAnsi="宋体" w:cs="宋体"/>
                <w:kern w:val="0"/>
                <w:sz w:val="24"/>
                <w:szCs w:val="24"/>
              </w:rPr>
              <w:t>生态环境保护目标</w:t>
            </w:r>
          </w:p>
        </w:tc>
        <w:tc>
          <w:tcPr>
            <w:tcW w:w="8253"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w:t>
            </w:r>
            <w:r>
              <w:rPr>
                <w:rFonts w:hint="eastAsia" w:cs="Times New Roman"/>
                <w:spacing w:val="0"/>
                <w:w w:val="100"/>
                <w:kern w:val="0"/>
                <w:position w:val="0"/>
                <w:sz w:val="24"/>
                <w:szCs w:val="24"/>
                <w:highlight w:val="none"/>
                <w:lang w:val="en-US" w:eastAsia="zh-CN"/>
              </w:rPr>
              <w:t>项目</w:t>
            </w:r>
            <w:r>
              <w:rPr>
                <w:rFonts w:hint="default" w:ascii="Times New Roman" w:hAnsi="Times New Roman" w:eastAsia="宋体" w:cs="Times New Roman"/>
                <w:spacing w:val="0"/>
                <w:w w:val="100"/>
                <w:kern w:val="0"/>
                <w:position w:val="0"/>
                <w:sz w:val="24"/>
                <w:szCs w:val="24"/>
                <w:highlight w:val="none"/>
                <w:lang w:val="en-US" w:eastAsia="zh-CN"/>
              </w:rPr>
              <w:t>地处黑龙江省</w:t>
            </w:r>
            <w:r>
              <w:rPr>
                <w:rFonts w:hint="eastAsia" w:ascii="Times New Roman" w:hAnsi="Times New Roman" w:eastAsia="宋体" w:cs="Times New Roman"/>
                <w:spacing w:val="0"/>
                <w:w w:val="100"/>
                <w:kern w:val="0"/>
                <w:position w:val="0"/>
                <w:sz w:val="24"/>
                <w:szCs w:val="24"/>
                <w:highlight w:val="none"/>
                <w:lang w:val="en-US" w:eastAsia="zh-CN"/>
              </w:rPr>
              <w:t>双鸭山</w:t>
            </w:r>
            <w:r>
              <w:rPr>
                <w:rFonts w:hint="default" w:ascii="Times New Roman" w:hAnsi="Times New Roman" w:eastAsia="宋体" w:cs="Times New Roman"/>
                <w:spacing w:val="0"/>
                <w:w w:val="100"/>
                <w:kern w:val="0"/>
                <w:position w:val="0"/>
                <w:sz w:val="24"/>
                <w:szCs w:val="24"/>
                <w:highlight w:val="none"/>
                <w:lang w:val="en-US" w:eastAsia="zh-CN"/>
              </w:rPr>
              <w:t>市</w:t>
            </w:r>
            <w:r>
              <w:rPr>
                <w:rFonts w:hint="eastAsia" w:ascii="Times New Roman" w:hAnsi="Times New Roman" w:eastAsia="宋体" w:cs="Times New Roman"/>
                <w:spacing w:val="0"/>
                <w:w w:val="100"/>
                <w:kern w:val="0"/>
                <w:position w:val="0"/>
                <w:sz w:val="24"/>
                <w:szCs w:val="24"/>
                <w:highlight w:val="none"/>
                <w:lang w:val="en-US" w:eastAsia="zh-CN"/>
              </w:rPr>
              <w:t>集贤</w:t>
            </w:r>
            <w:r>
              <w:rPr>
                <w:rFonts w:hint="default" w:ascii="Times New Roman" w:hAnsi="Times New Roman" w:eastAsia="宋体" w:cs="Times New Roman"/>
                <w:spacing w:val="0"/>
                <w:w w:val="100"/>
                <w:kern w:val="0"/>
                <w:position w:val="0"/>
                <w:sz w:val="24"/>
                <w:szCs w:val="24"/>
                <w:highlight w:val="none"/>
                <w:lang w:val="en-US" w:eastAsia="zh-CN"/>
              </w:rPr>
              <w:t>县</w:t>
            </w:r>
            <w:r>
              <w:rPr>
                <w:rFonts w:hint="eastAsia" w:cs="Times New Roman"/>
                <w:spacing w:val="0"/>
                <w:w w:val="100"/>
                <w:kern w:val="0"/>
                <w:position w:val="0"/>
                <w:sz w:val="24"/>
                <w:szCs w:val="24"/>
                <w:highlight w:val="none"/>
                <w:lang w:val="en-US" w:eastAsia="zh-CN"/>
              </w:rPr>
              <w:t>和双鸭山市四方台区</w:t>
            </w:r>
            <w:r>
              <w:rPr>
                <w:rFonts w:hint="default" w:ascii="Times New Roman" w:hAnsi="Times New Roman" w:eastAsia="宋体" w:cs="Times New Roman"/>
                <w:spacing w:val="0"/>
                <w:w w:val="100"/>
                <w:kern w:val="0"/>
                <w:position w:val="0"/>
                <w:sz w:val="24"/>
                <w:szCs w:val="24"/>
                <w:highlight w:val="none"/>
                <w:lang w:val="en-US" w:eastAsia="zh-CN"/>
              </w:rPr>
              <w:t>内，不在</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两控区</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内。通过现场踏查，本评价区内无国家、省、市级自然保护区及重点文物保护对象，无自然保护区、风景名胜区、饮用水水源地等特殊敏感区，无重要旅游景点。</w:t>
            </w:r>
            <w:r>
              <w:rPr>
                <w:rFonts w:hint="eastAsia" w:ascii="Times New Roman" w:hAnsi="Times New Roman" w:eastAsia="宋体" w:cs="Times New Roman"/>
                <w:spacing w:val="0"/>
                <w:w w:val="100"/>
                <w:kern w:val="0"/>
                <w:position w:val="0"/>
                <w:sz w:val="24"/>
                <w:szCs w:val="24"/>
                <w:highlight w:val="none"/>
                <w:lang w:val="en-US" w:eastAsia="zh-CN"/>
              </w:rPr>
              <w:t>项目周围主要为村庄及耕地。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both"/>
              <w:textAlignment w:val="auto"/>
              <w:rPr>
                <w:rFonts w:hint="eastAsia" w:ascii="Times New Roman" w:hAnsi="Times New Roman" w:eastAsia="宋体" w:cs="Times New Roman"/>
                <w:b/>
                <w:bCs/>
                <w:spacing w:val="0"/>
                <w:w w:val="100"/>
                <w:kern w:val="0"/>
                <w:position w:val="0"/>
                <w:sz w:val="24"/>
                <w:szCs w:val="24"/>
                <w:highlight w:val="none"/>
                <w:lang w:val="en-US" w:eastAsia="zh-CN"/>
              </w:rPr>
            </w:pPr>
            <w:r>
              <w:rPr>
                <w:rFonts w:hint="eastAsia" w:ascii="Times New Roman" w:hAnsi="Times New Roman" w:eastAsia="宋体" w:cs="Times New Roman"/>
                <w:b/>
                <w:bCs/>
                <w:spacing w:val="0"/>
                <w:w w:val="100"/>
                <w:kern w:val="0"/>
                <w:position w:val="0"/>
                <w:sz w:val="24"/>
                <w:szCs w:val="24"/>
                <w:highlight w:val="none"/>
                <w:lang w:val="en-US" w:eastAsia="zh-CN"/>
              </w:rPr>
              <w:t>一、评价范围</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根据《环境影响评价技术导则 声环境》（HJ2.4-2021），本项目变电站的声环境影响评价范围为变电站站界外200m范围；根据《环境影响评价技术导则 输变电》（HJ24-2021）输电线路的声环境影响评价范围为输电线路中心导线地面投影外两侧各40m范围。本项目声环境影响评价范围内无声环境敏感目标。</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根据《环境影响评价技术导则 输变电》（HJ24-2021），220kV变电站的电磁环境影响评价范围为站界外40m范围，220kV输电线路的电磁环境影响评价范围为输电线路中心导线地面投影外两侧各40m范围</w:t>
            </w:r>
            <w:r>
              <w:rPr>
                <w:rFonts w:hint="eastAsia" w:cs="Times New Roman"/>
                <w:spacing w:val="0"/>
                <w:w w:val="100"/>
                <w:kern w:val="0"/>
                <w:position w:val="0"/>
                <w:sz w:val="24"/>
                <w:szCs w:val="24"/>
                <w:highlight w:val="none"/>
                <w:lang w:val="en-US" w:eastAsia="zh-CN"/>
              </w:rPr>
              <w:t>，地下电缆管廊两侧边缘各外延 5m（水平距离）</w:t>
            </w:r>
            <w:r>
              <w:rPr>
                <w:rFonts w:hint="eastAsia" w:ascii="Times New Roman" w:hAnsi="Times New Roman" w:eastAsia="宋体" w:cs="Times New Roman"/>
                <w:spacing w:val="0"/>
                <w:w w:val="100"/>
                <w:kern w:val="0"/>
                <w:position w:val="0"/>
                <w:sz w:val="24"/>
                <w:szCs w:val="24"/>
                <w:highlight w:val="none"/>
                <w:lang w:val="en-US" w:eastAsia="zh-CN"/>
              </w:rPr>
              <w:t>。本项目电磁环境评价范围内无电磁环境敏感目标。</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生态环境影响</w:t>
            </w:r>
            <w:r>
              <w:rPr>
                <w:rFonts w:hint="eastAsia" w:cs="Times New Roman"/>
                <w:spacing w:val="0"/>
                <w:w w:val="100"/>
                <w:kern w:val="0"/>
                <w:position w:val="0"/>
                <w:sz w:val="24"/>
                <w:szCs w:val="24"/>
                <w:highlight w:val="none"/>
                <w:lang w:val="en-US" w:eastAsia="zh-CN"/>
              </w:rPr>
              <w:t>评价</w:t>
            </w:r>
            <w:r>
              <w:rPr>
                <w:rFonts w:hint="eastAsia" w:ascii="Times New Roman" w:hAnsi="Times New Roman" w:eastAsia="宋体" w:cs="Times New Roman"/>
                <w:spacing w:val="0"/>
                <w:w w:val="100"/>
                <w:kern w:val="0"/>
                <w:position w:val="0"/>
                <w:sz w:val="24"/>
                <w:szCs w:val="24"/>
                <w:highlight w:val="none"/>
                <w:lang w:val="en-US" w:eastAsia="zh-CN"/>
              </w:rPr>
              <w:t>范围为变电站站场围墙外500m范围，输电线路中心导线地面投影外两侧各300m范围。</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both"/>
              <w:textAlignment w:val="auto"/>
              <w:rPr>
                <w:rFonts w:hint="eastAsia" w:ascii="Times New Roman" w:hAnsi="Times New Roman" w:eastAsia="宋体" w:cs="Times New Roman"/>
                <w:b/>
                <w:bCs/>
                <w:spacing w:val="0"/>
                <w:w w:val="100"/>
                <w:kern w:val="0"/>
                <w:position w:val="0"/>
                <w:sz w:val="24"/>
                <w:szCs w:val="24"/>
                <w:highlight w:val="none"/>
                <w:lang w:val="en-US" w:eastAsia="zh-CN"/>
              </w:rPr>
            </w:pPr>
            <w:r>
              <w:rPr>
                <w:rFonts w:hint="eastAsia" w:ascii="Times New Roman" w:hAnsi="Times New Roman" w:eastAsia="宋体" w:cs="Times New Roman"/>
                <w:b/>
                <w:bCs/>
                <w:spacing w:val="0"/>
                <w:w w:val="100"/>
                <w:kern w:val="0"/>
                <w:position w:val="0"/>
                <w:sz w:val="24"/>
                <w:szCs w:val="24"/>
                <w:highlight w:val="none"/>
                <w:lang w:val="en-US" w:eastAsia="zh-CN"/>
              </w:rPr>
              <w:t>二、根据本工程环境特点确定其主要环境保护目标如下：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1、大气环境保护目标：环境空气质量执行《环境空气质量标准》（GB3095-2012）中的二级标准，保证项目区空气环境质量不因本项目建设而降低。</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2、地表水环境：保证项目区所在区域地表水质量不受影响，地表水体满足水体功能标准。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FF0000"/>
                <w:spacing w:val="0"/>
                <w:w w:val="100"/>
                <w:kern w:val="0"/>
                <w:position w:val="0"/>
                <w:sz w:val="24"/>
                <w:szCs w:val="24"/>
                <w:highlight w:val="none"/>
                <w:lang w:val="en-US" w:eastAsia="zh-CN"/>
              </w:rPr>
            </w:pPr>
            <w:r>
              <w:rPr>
                <w:rFonts w:hint="eastAsia" w:ascii="Times New Roman" w:hAnsi="Times New Roman" w:eastAsia="宋体" w:cs="Times New Roman"/>
                <w:color w:val="FF0000"/>
                <w:spacing w:val="0"/>
                <w:w w:val="100"/>
                <w:kern w:val="0"/>
                <w:position w:val="0"/>
                <w:sz w:val="24"/>
                <w:szCs w:val="24"/>
                <w:highlight w:val="none"/>
                <w:lang w:val="en-US" w:eastAsia="zh-CN"/>
              </w:rPr>
              <w:t>3、声环境：保证变电站站界200m范围声环境满足《声环境质量标准》（GB3096-2008）中的</w:t>
            </w:r>
            <w:r>
              <w:rPr>
                <w:rFonts w:hint="eastAsia" w:cs="Times New Roman"/>
                <w:color w:val="FF0000"/>
                <w:spacing w:val="0"/>
                <w:w w:val="100"/>
                <w:kern w:val="0"/>
                <w:position w:val="0"/>
                <w:sz w:val="24"/>
                <w:szCs w:val="24"/>
                <w:highlight w:val="none"/>
                <w:lang w:val="en-US" w:eastAsia="zh-CN"/>
              </w:rPr>
              <w:t>2</w:t>
            </w:r>
            <w:r>
              <w:rPr>
                <w:rFonts w:hint="eastAsia" w:ascii="Times New Roman" w:hAnsi="Times New Roman" w:eastAsia="宋体" w:cs="Times New Roman"/>
                <w:color w:val="FF0000"/>
                <w:spacing w:val="0"/>
                <w:w w:val="100"/>
                <w:kern w:val="0"/>
                <w:position w:val="0"/>
                <w:sz w:val="24"/>
                <w:szCs w:val="24"/>
                <w:highlight w:val="none"/>
                <w:lang w:val="en-US" w:eastAsia="zh-CN"/>
              </w:rPr>
              <w:t>类标准限值，输电线路</w:t>
            </w:r>
            <w:r>
              <w:rPr>
                <w:rFonts w:hint="eastAsia" w:cs="Times New Roman"/>
                <w:color w:val="FF0000"/>
                <w:spacing w:val="0"/>
                <w:w w:val="100"/>
                <w:kern w:val="0"/>
                <w:position w:val="0"/>
                <w:sz w:val="24"/>
                <w:szCs w:val="24"/>
                <w:highlight w:val="none"/>
                <w:lang w:val="en-US" w:eastAsia="zh-CN"/>
              </w:rPr>
              <w:t>（位于</w:t>
            </w:r>
            <w:r>
              <w:rPr>
                <w:rFonts w:hint="eastAsia" w:cs="Times New Roman"/>
                <w:color w:val="FF0000"/>
                <w:sz w:val="24"/>
                <w:szCs w:val="24"/>
                <w:highlight w:val="none"/>
                <w:lang w:val="en-US" w:eastAsia="zh-CN"/>
              </w:rPr>
              <w:t>经开区的部分</w:t>
            </w:r>
            <w:r>
              <w:rPr>
                <w:rFonts w:hint="eastAsia" w:cs="Times New Roman"/>
                <w:color w:val="FF0000"/>
                <w:spacing w:val="0"/>
                <w:w w:val="100"/>
                <w:kern w:val="0"/>
                <w:position w:val="0"/>
                <w:sz w:val="24"/>
                <w:szCs w:val="24"/>
                <w:highlight w:val="none"/>
                <w:lang w:val="en-US" w:eastAsia="zh-CN"/>
              </w:rPr>
              <w:t>）</w:t>
            </w:r>
            <w:r>
              <w:rPr>
                <w:rFonts w:hint="eastAsia" w:ascii="Times New Roman" w:hAnsi="Times New Roman" w:eastAsia="宋体" w:cs="Times New Roman"/>
                <w:color w:val="FF0000"/>
                <w:spacing w:val="0"/>
                <w:w w:val="100"/>
                <w:kern w:val="0"/>
                <w:position w:val="0"/>
                <w:sz w:val="24"/>
                <w:szCs w:val="24"/>
                <w:highlight w:val="none"/>
                <w:lang w:val="en-US" w:eastAsia="zh-CN"/>
              </w:rPr>
              <w:t>中心导线地面投影外两侧各40m范围声环境满足《声环境质量标准》(GB3096-2008)中的</w:t>
            </w:r>
            <w:r>
              <w:rPr>
                <w:rFonts w:hint="eastAsia" w:cs="Times New Roman"/>
                <w:color w:val="FF0000"/>
                <w:spacing w:val="0"/>
                <w:w w:val="100"/>
                <w:kern w:val="0"/>
                <w:position w:val="0"/>
                <w:sz w:val="24"/>
                <w:szCs w:val="24"/>
                <w:highlight w:val="none"/>
                <w:lang w:val="en-US" w:eastAsia="zh-CN"/>
              </w:rPr>
              <w:t>3</w:t>
            </w:r>
            <w:r>
              <w:rPr>
                <w:rFonts w:hint="eastAsia" w:ascii="Times New Roman" w:hAnsi="Times New Roman" w:eastAsia="宋体" w:cs="Times New Roman"/>
                <w:color w:val="FF0000"/>
                <w:spacing w:val="0"/>
                <w:w w:val="100"/>
                <w:kern w:val="0"/>
                <w:position w:val="0"/>
                <w:sz w:val="24"/>
                <w:szCs w:val="24"/>
                <w:highlight w:val="none"/>
                <w:lang w:val="en-US" w:eastAsia="zh-CN"/>
              </w:rPr>
              <w:t>类标准限值</w:t>
            </w:r>
            <w:r>
              <w:rPr>
                <w:rFonts w:hint="eastAsia" w:cs="Times New Roman"/>
                <w:color w:val="FF0000"/>
                <w:spacing w:val="0"/>
                <w:w w:val="100"/>
                <w:kern w:val="0"/>
                <w:position w:val="0"/>
                <w:sz w:val="24"/>
                <w:szCs w:val="24"/>
                <w:highlight w:val="none"/>
                <w:lang w:val="en-US" w:eastAsia="zh-CN"/>
              </w:rPr>
              <w:t>；</w:t>
            </w:r>
            <w:r>
              <w:rPr>
                <w:rFonts w:hint="eastAsia" w:ascii="Times New Roman" w:hAnsi="Times New Roman" w:eastAsia="宋体" w:cs="Times New Roman"/>
                <w:color w:val="FF0000"/>
                <w:spacing w:val="0"/>
                <w:w w:val="100"/>
                <w:kern w:val="0"/>
                <w:position w:val="0"/>
                <w:sz w:val="24"/>
                <w:szCs w:val="24"/>
                <w:highlight w:val="none"/>
                <w:lang w:val="en-US" w:eastAsia="zh-CN"/>
              </w:rPr>
              <w:t>输电线路</w:t>
            </w:r>
            <w:r>
              <w:rPr>
                <w:rFonts w:hint="eastAsia" w:cs="Times New Roman"/>
                <w:color w:val="FF0000"/>
                <w:spacing w:val="0"/>
                <w:w w:val="100"/>
                <w:kern w:val="0"/>
                <w:position w:val="0"/>
                <w:sz w:val="24"/>
                <w:szCs w:val="24"/>
                <w:highlight w:val="none"/>
                <w:lang w:val="en-US" w:eastAsia="zh-CN"/>
              </w:rPr>
              <w:t>（</w:t>
            </w:r>
            <w:r>
              <w:rPr>
                <w:rFonts w:hint="eastAsia" w:cs="Times New Roman"/>
                <w:color w:val="FF0000"/>
                <w:sz w:val="24"/>
                <w:szCs w:val="24"/>
                <w:highlight w:val="none"/>
                <w:lang w:val="en-US" w:eastAsia="zh-CN"/>
              </w:rPr>
              <w:t>位于其他地区的部分</w:t>
            </w:r>
            <w:r>
              <w:rPr>
                <w:rFonts w:hint="eastAsia" w:cs="Times New Roman"/>
                <w:color w:val="FF0000"/>
                <w:spacing w:val="0"/>
                <w:w w:val="100"/>
                <w:kern w:val="0"/>
                <w:position w:val="0"/>
                <w:sz w:val="24"/>
                <w:szCs w:val="24"/>
                <w:highlight w:val="none"/>
                <w:lang w:val="en-US" w:eastAsia="zh-CN"/>
              </w:rPr>
              <w:t>）</w:t>
            </w:r>
            <w:r>
              <w:rPr>
                <w:rFonts w:hint="eastAsia" w:ascii="Times New Roman" w:hAnsi="Times New Roman" w:eastAsia="宋体" w:cs="Times New Roman"/>
                <w:color w:val="FF0000"/>
                <w:spacing w:val="0"/>
                <w:w w:val="100"/>
                <w:kern w:val="0"/>
                <w:position w:val="0"/>
                <w:sz w:val="24"/>
                <w:szCs w:val="24"/>
                <w:highlight w:val="none"/>
                <w:lang w:val="en-US" w:eastAsia="zh-CN"/>
              </w:rPr>
              <w:t>中心导线地面投影外两侧各40m范围声环境满足《声环境质量标准》(GB3096-2008)中的</w:t>
            </w:r>
            <w:r>
              <w:rPr>
                <w:rFonts w:hint="eastAsia" w:cs="Times New Roman"/>
                <w:color w:val="FF0000"/>
                <w:spacing w:val="0"/>
                <w:w w:val="100"/>
                <w:kern w:val="0"/>
                <w:position w:val="0"/>
                <w:sz w:val="24"/>
                <w:szCs w:val="24"/>
                <w:highlight w:val="none"/>
                <w:lang w:val="en-US" w:eastAsia="zh-CN"/>
              </w:rPr>
              <w:t>1</w:t>
            </w:r>
            <w:r>
              <w:rPr>
                <w:rFonts w:hint="eastAsia" w:ascii="Times New Roman" w:hAnsi="Times New Roman" w:eastAsia="宋体" w:cs="Times New Roman"/>
                <w:color w:val="FF0000"/>
                <w:spacing w:val="0"/>
                <w:w w:val="100"/>
                <w:kern w:val="0"/>
                <w:position w:val="0"/>
                <w:sz w:val="24"/>
                <w:szCs w:val="24"/>
                <w:highlight w:val="none"/>
                <w:lang w:val="en-US" w:eastAsia="zh-CN"/>
              </w:rPr>
              <w:t>类标准限值。</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4、电磁环境：变电站站界外40m范围，输电线路中心导线地面投影外两侧各40m范围；电磁敏感目标包括住宅、学校、医院、办公楼、工厂等有公众居住工作或学习的建筑物，经现场探查，距离本项目最近的电磁敏感点为输电线路中心导线地面投影外两侧45m处的永久村，故本项目变电站站界外40m范围，输电线路中心导线地面投影外两侧各40m范围无电磁环境敏感目标。</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5、合理处置生活垃圾和危险废物，避免造成区域环境污染；</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6、保护项目区生态环境质量，避免造成生态破坏，维护及改善生态现状。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本项目环境保护目标情况见表3-6。</w:t>
            </w:r>
          </w:p>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color w:val="000000"/>
                <w:kern w:val="21"/>
                <w:sz w:val="21"/>
                <w:szCs w:val="21"/>
                <w:highlight w:val="none"/>
              </w:rPr>
            </w:pPr>
            <w:r>
              <w:rPr>
                <w:rFonts w:hint="default" w:ascii="Times New Roman" w:hAnsi="Times New Roman" w:cs="Times New Roman"/>
                <w:b/>
                <w:bCs/>
                <w:color w:val="000000"/>
                <w:kern w:val="21"/>
                <w:sz w:val="21"/>
                <w:szCs w:val="21"/>
                <w:highlight w:val="none"/>
              </w:rPr>
              <w:t>表</w:t>
            </w:r>
            <w:r>
              <w:rPr>
                <w:rFonts w:hint="default" w:ascii="Times New Roman" w:hAnsi="Times New Roman" w:cs="Times New Roman"/>
                <w:b/>
                <w:bCs/>
                <w:color w:val="000000"/>
                <w:kern w:val="21"/>
                <w:sz w:val="21"/>
                <w:szCs w:val="21"/>
                <w:highlight w:val="none"/>
                <w:lang w:val="en-US" w:eastAsia="zh-CN"/>
              </w:rPr>
              <w:t>3-</w:t>
            </w:r>
            <w:r>
              <w:rPr>
                <w:rFonts w:hint="eastAsia" w:cs="Times New Roman"/>
                <w:b/>
                <w:bCs/>
                <w:color w:val="000000"/>
                <w:kern w:val="21"/>
                <w:sz w:val="21"/>
                <w:szCs w:val="21"/>
                <w:highlight w:val="none"/>
                <w:lang w:val="en-US" w:eastAsia="zh-CN"/>
              </w:rPr>
              <w:t>5</w:t>
            </w:r>
            <w:r>
              <w:rPr>
                <w:rFonts w:hint="default" w:ascii="Times New Roman" w:hAnsi="Times New Roman" w:cs="Times New Roman"/>
                <w:b/>
                <w:bCs/>
                <w:color w:val="000000"/>
                <w:kern w:val="21"/>
                <w:sz w:val="21"/>
                <w:szCs w:val="21"/>
                <w:highlight w:val="none"/>
                <w:lang w:val="en-US" w:eastAsia="zh-CN"/>
              </w:rPr>
              <w:t xml:space="preserve"> </w:t>
            </w:r>
            <w:r>
              <w:rPr>
                <w:rFonts w:hint="default" w:ascii="Times New Roman" w:hAnsi="Times New Roman" w:cs="Times New Roman"/>
                <w:b/>
                <w:bCs/>
                <w:color w:val="000000"/>
                <w:kern w:val="21"/>
                <w:sz w:val="21"/>
                <w:szCs w:val="21"/>
                <w:highlight w:val="none"/>
              </w:rPr>
              <w:t xml:space="preserve"> 与本项目有关的</w:t>
            </w:r>
            <w:r>
              <w:rPr>
                <w:rFonts w:hint="default" w:ascii="Times New Roman" w:hAnsi="Times New Roman" w:cs="Times New Roman"/>
                <w:b/>
                <w:bCs/>
                <w:color w:val="000000"/>
                <w:kern w:val="21"/>
                <w:sz w:val="21"/>
                <w:szCs w:val="21"/>
                <w:highlight w:val="none"/>
                <w:lang w:val="en-US" w:eastAsia="zh-CN"/>
              </w:rPr>
              <w:t>其他</w:t>
            </w:r>
            <w:r>
              <w:rPr>
                <w:rFonts w:hint="default" w:ascii="Times New Roman" w:hAnsi="Times New Roman" w:cs="Times New Roman"/>
                <w:b/>
                <w:bCs/>
                <w:color w:val="000000"/>
                <w:kern w:val="21"/>
                <w:sz w:val="21"/>
                <w:szCs w:val="21"/>
                <w:highlight w:val="none"/>
              </w:rPr>
              <w:t>环境敏感目标情况一览表</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17"/>
              <w:gridCol w:w="1019"/>
              <w:gridCol w:w="3049"/>
              <w:gridCol w:w="33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45" w:hRule="atLeast"/>
              </w:trPr>
              <w:tc>
                <w:tcPr>
                  <w:tcW w:w="3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r>
                    <w:rPr>
                      <w:rFonts w:hint="default" w:ascii="Times New Roman" w:hAnsi="Times New Roman" w:eastAsia="宋体" w:cs="Times New Roman"/>
                      <w:bCs/>
                      <w:color w:val="000000"/>
                      <w:kern w:val="21"/>
                      <w:sz w:val="21"/>
                      <w:szCs w:val="21"/>
                      <w:highlight w:val="none"/>
                    </w:rPr>
                    <w:t>名称</w:t>
                  </w:r>
                </w:p>
              </w:tc>
              <w:tc>
                <w:tcPr>
                  <w:tcW w:w="63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r>
                    <w:rPr>
                      <w:rFonts w:hint="default" w:ascii="Times New Roman" w:hAnsi="Times New Roman" w:eastAsia="宋体" w:cs="Times New Roman"/>
                      <w:bCs/>
                      <w:color w:val="000000"/>
                      <w:kern w:val="21"/>
                      <w:sz w:val="21"/>
                      <w:szCs w:val="21"/>
                      <w:highlight w:val="none"/>
                    </w:rPr>
                    <w:t>环境要素</w:t>
                  </w:r>
                </w:p>
              </w:tc>
              <w:tc>
                <w:tcPr>
                  <w:tcW w:w="18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r>
                    <w:rPr>
                      <w:rFonts w:hint="default" w:ascii="Times New Roman" w:hAnsi="Times New Roman" w:eastAsia="宋体" w:cs="Times New Roman"/>
                      <w:bCs/>
                      <w:color w:val="000000"/>
                      <w:kern w:val="21"/>
                      <w:sz w:val="21"/>
                      <w:szCs w:val="21"/>
                      <w:highlight w:val="none"/>
                    </w:rPr>
                    <w:t>敏感目标</w:t>
                  </w:r>
                  <w:r>
                    <w:rPr>
                      <w:rFonts w:hint="default" w:ascii="Times New Roman" w:hAnsi="Times New Roman" w:eastAsia="宋体" w:cs="Times New Roman"/>
                      <w:bCs/>
                      <w:color w:val="000000"/>
                      <w:kern w:val="21"/>
                      <w:sz w:val="21"/>
                      <w:szCs w:val="21"/>
                      <w:highlight w:val="none"/>
                      <w:lang w:val="en-US" w:eastAsia="zh-CN"/>
                    </w:rPr>
                    <w:t>及</w:t>
                  </w:r>
                  <w:r>
                    <w:rPr>
                      <w:rFonts w:hint="default" w:ascii="Times New Roman" w:hAnsi="Times New Roman" w:eastAsia="宋体" w:cs="Times New Roman"/>
                      <w:bCs/>
                      <w:color w:val="000000"/>
                      <w:kern w:val="21"/>
                      <w:sz w:val="21"/>
                      <w:szCs w:val="21"/>
                      <w:highlight w:val="none"/>
                    </w:rPr>
                    <w:t>距离（m）</w:t>
                  </w:r>
                </w:p>
              </w:tc>
              <w:tc>
                <w:tcPr>
                  <w:tcW w:w="20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r>
                    <w:rPr>
                      <w:rFonts w:hint="default" w:ascii="Times New Roman" w:hAnsi="Times New Roman" w:eastAsia="宋体" w:cs="Times New Roman"/>
                      <w:bCs/>
                      <w:color w:val="000000"/>
                      <w:kern w:val="21"/>
                      <w:sz w:val="21"/>
                      <w:szCs w:val="21"/>
                      <w:highlight w:val="none"/>
                    </w:rPr>
                    <w:t>环境功能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64" w:hRule="atLeast"/>
              </w:trPr>
              <w:tc>
                <w:tcPr>
                  <w:tcW w:w="38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Cs/>
                      <w:color w:val="000000"/>
                      <w:kern w:val="21"/>
                      <w:sz w:val="21"/>
                      <w:szCs w:val="21"/>
                      <w:highlight w:val="none"/>
                      <w:lang w:eastAsia="zh-CN"/>
                    </w:rPr>
                  </w:pPr>
                  <w:r>
                    <w:rPr>
                      <w:rFonts w:hint="eastAsia" w:ascii="Times New Roman" w:hAnsi="Times New Roman" w:eastAsia="宋体" w:cs="Times New Roman"/>
                      <w:bCs/>
                      <w:color w:val="000000"/>
                      <w:kern w:val="21"/>
                      <w:sz w:val="21"/>
                      <w:szCs w:val="21"/>
                      <w:highlight w:val="none"/>
                      <w:lang w:val="en-US" w:eastAsia="zh-CN"/>
                    </w:rPr>
                    <w:t>输电线路</w:t>
                  </w:r>
                </w:p>
              </w:tc>
              <w:tc>
                <w:tcPr>
                  <w:tcW w:w="63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r>
                    <w:rPr>
                      <w:rFonts w:hint="default" w:ascii="Times New Roman" w:hAnsi="Times New Roman" w:eastAsia="宋体" w:cs="Times New Roman"/>
                      <w:bCs/>
                      <w:color w:val="000000"/>
                      <w:kern w:val="21"/>
                      <w:sz w:val="21"/>
                      <w:szCs w:val="21"/>
                      <w:highlight w:val="none"/>
                    </w:rPr>
                    <w:t>声环境</w:t>
                  </w:r>
                </w:p>
              </w:tc>
              <w:tc>
                <w:tcPr>
                  <w:tcW w:w="18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Cs/>
                      <w:color w:val="000000"/>
                      <w:kern w:val="21"/>
                      <w:sz w:val="21"/>
                      <w:szCs w:val="21"/>
                      <w:highlight w:val="none"/>
                      <w:lang w:eastAsia="zh-CN"/>
                    </w:rPr>
                  </w:pPr>
                  <w:r>
                    <w:rPr>
                      <w:rFonts w:hint="eastAsia" w:ascii="Times New Roman" w:hAnsi="Times New Roman" w:eastAsia="宋体" w:cs="Times New Roman"/>
                      <w:bCs/>
                      <w:color w:val="000000"/>
                      <w:kern w:val="21"/>
                      <w:sz w:val="21"/>
                      <w:szCs w:val="21"/>
                      <w:highlight w:val="none"/>
                      <w:lang w:val="en-US" w:eastAsia="zh-CN"/>
                    </w:rPr>
                    <w:t>输电线路两侧40m</w:t>
                  </w:r>
                  <w:r>
                    <w:rPr>
                      <w:rFonts w:hint="default" w:ascii="Times New Roman" w:hAnsi="Times New Roman" w:eastAsia="宋体" w:cs="Times New Roman"/>
                      <w:bCs/>
                      <w:color w:val="000000"/>
                      <w:kern w:val="21"/>
                      <w:sz w:val="21"/>
                      <w:szCs w:val="21"/>
                      <w:highlight w:val="none"/>
                    </w:rPr>
                    <w:t>范围的声环境</w:t>
                  </w:r>
                  <w:r>
                    <w:rPr>
                      <w:rFonts w:hint="default" w:ascii="Times New Roman" w:hAnsi="Times New Roman" w:eastAsia="宋体" w:cs="Times New Roman"/>
                      <w:bCs/>
                      <w:color w:val="000000"/>
                      <w:kern w:val="21"/>
                      <w:sz w:val="21"/>
                      <w:szCs w:val="21"/>
                      <w:highlight w:val="none"/>
                      <w:lang w:eastAsia="zh-CN"/>
                    </w:rPr>
                    <w:t>，经调查，评价范围内无敏感目标</w:t>
                  </w:r>
                </w:p>
              </w:tc>
              <w:tc>
                <w:tcPr>
                  <w:tcW w:w="20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eastAsia" w:ascii="Times New Roman" w:hAnsi="Times New Roman" w:eastAsia="宋体" w:cs="Times New Roman"/>
                      <w:bCs/>
                      <w:color w:val="000000"/>
                      <w:kern w:val="21"/>
                      <w:sz w:val="21"/>
                      <w:szCs w:val="21"/>
                      <w:highlight w:val="none"/>
                      <w:lang w:eastAsia="zh-CN"/>
                    </w:rPr>
                  </w:pPr>
                  <w:r>
                    <w:rPr>
                      <w:rFonts w:hint="default" w:ascii="Times New Roman" w:hAnsi="Times New Roman" w:eastAsia="宋体" w:cs="Times New Roman"/>
                      <w:bCs/>
                      <w:color w:val="FF0000"/>
                      <w:kern w:val="21"/>
                      <w:sz w:val="21"/>
                      <w:szCs w:val="21"/>
                      <w:highlight w:val="none"/>
                      <w:lang w:val="en-US" w:eastAsia="zh-CN"/>
                    </w:rPr>
                    <w:t>输电线路（位于经开区的部分）</w:t>
                  </w:r>
                  <w:r>
                    <w:rPr>
                      <w:rFonts w:hint="eastAsia" w:cs="Times New Roman"/>
                      <w:bCs/>
                      <w:color w:val="FF0000"/>
                      <w:kern w:val="21"/>
                      <w:sz w:val="21"/>
                      <w:szCs w:val="21"/>
                      <w:highlight w:val="none"/>
                      <w:lang w:val="en-US" w:eastAsia="zh-CN"/>
                    </w:rPr>
                    <w:t>执行</w:t>
                  </w:r>
                  <w:r>
                    <w:rPr>
                      <w:rFonts w:hint="default" w:ascii="Times New Roman" w:hAnsi="Times New Roman" w:eastAsia="宋体" w:cs="Times New Roman"/>
                      <w:bCs/>
                      <w:color w:val="FF0000"/>
                      <w:kern w:val="21"/>
                      <w:sz w:val="21"/>
                      <w:szCs w:val="21"/>
                      <w:highlight w:val="none"/>
                    </w:rPr>
                    <w:t>《声环境质量标准》(GB3096-2008)中的</w:t>
                  </w:r>
                  <w:r>
                    <w:rPr>
                      <w:rFonts w:hint="eastAsia" w:cs="Times New Roman"/>
                      <w:bCs/>
                      <w:color w:val="FF0000"/>
                      <w:kern w:val="21"/>
                      <w:sz w:val="21"/>
                      <w:szCs w:val="21"/>
                      <w:highlight w:val="none"/>
                      <w:lang w:val="en-US" w:eastAsia="zh-CN"/>
                    </w:rPr>
                    <w:t>3</w:t>
                  </w:r>
                  <w:r>
                    <w:rPr>
                      <w:rFonts w:hint="eastAsia" w:ascii="Times New Roman" w:hAnsi="Times New Roman" w:eastAsia="宋体" w:cs="Times New Roman"/>
                      <w:bCs/>
                      <w:color w:val="FF0000"/>
                      <w:kern w:val="21"/>
                      <w:sz w:val="21"/>
                      <w:szCs w:val="21"/>
                      <w:highlight w:val="none"/>
                      <w:lang w:eastAsia="zh-CN"/>
                    </w:rPr>
                    <w:t>类</w:t>
                  </w:r>
                  <w:r>
                    <w:rPr>
                      <w:rFonts w:hint="default" w:ascii="Times New Roman" w:hAnsi="Times New Roman" w:eastAsia="宋体" w:cs="Times New Roman"/>
                      <w:bCs/>
                      <w:color w:val="FF0000"/>
                      <w:kern w:val="21"/>
                      <w:sz w:val="21"/>
                      <w:szCs w:val="21"/>
                      <w:highlight w:val="none"/>
                    </w:rPr>
                    <w:t>标准</w:t>
                  </w:r>
                  <w:r>
                    <w:rPr>
                      <w:rFonts w:hint="eastAsia" w:cs="Times New Roman"/>
                      <w:bCs/>
                      <w:color w:val="FF0000"/>
                      <w:kern w:val="21"/>
                      <w:sz w:val="21"/>
                      <w:szCs w:val="21"/>
                      <w:highlight w:val="none"/>
                      <w:lang w:eastAsia="zh-CN"/>
                    </w:rPr>
                    <w:t>；</w:t>
                  </w:r>
                  <w:r>
                    <w:rPr>
                      <w:rFonts w:hint="default" w:ascii="Times New Roman" w:hAnsi="Times New Roman" w:eastAsia="宋体" w:cs="Times New Roman"/>
                      <w:bCs/>
                      <w:color w:val="FF0000"/>
                      <w:kern w:val="21"/>
                      <w:sz w:val="21"/>
                      <w:szCs w:val="21"/>
                      <w:highlight w:val="none"/>
                      <w:lang w:val="en-US" w:eastAsia="zh-CN"/>
                    </w:rPr>
                    <w:t>输电线路（位于其他地区的部分）</w:t>
                  </w:r>
                  <w:r>
                    <w:rPr>
                      <w:rFonts w:hint="eastAsia" w:cs="Times New Roman"/>
                      <w:bCs/>
                      <w:color w:val="FF0000"/>
                      <w:kern w:val="21"/>
                      <w:sz w:val="21"/>
                      <w:szCs w:val="21"/>
                      <w:highlight w:val="none"/>
                      <w:lang w:val="en-US" w:eastAsia="zh-CN"/>
                    </w:rPr>
                    <w:t>执行</w:t>
                  </w:r>
                  <w:r>
                    <w:rPr>
                      <w:rFonts w:hint="default" w:ascii="Times New Roman" w:hAnsi="Times New Roman" w:eastAsia="宋体" w:cs="Times New Roman"/>
                      <w:bCs/>
                      <w:color w:val="FF0000"/>
                      <w:kern w:val="21"/>
                      <w:sz w:val="21"/>
                      <w:szCs w:val="21"/>
                      <w:highlight w:val="none"/>
                    </w:rPr>
                    <w:t>《声环境质量标准》(GB3096-2008)中的</w:t>
                  </w:r>
                  <w:r>
                    <w:rPr>
                      <w:rFonts w:hint="eastAsia" w:cs="Times New Roman"/>
                      <w:bCs/>
                      <w:color w:val="FF0000"/>
                      <w:kern w:val="21"/>
                      <w:sz w:val="21"/>
                      <w:szCs w:val="21"/>
                      <w:highlight w:val="none"/>
                      <w:lang w:val="en-US" w:eastAsia="zh-CN"/>
                    </w:rPr>
                    <w:t>1</w:t>
                  </w:r>
                  <w:r>
                    <w:rPr>
                      <w:rFonts w:hint="eastAsia" w:ascii="Times New Roman" w:hAnsi="Times New Roman" w:eastAsia="宋体" w:cs="Times New Roman"/>
                      <w:bCs/>
                      <w:color w:val="FF0000"/>
                      <w:kern w:val="21"/>
                      <w:sz w:val="21"/>
                      <w:szCs w:val="21"/>
                      <w:highlight w:val="none"/>
                      <w:lang w:eastAsia="zh-CN"/>
                    </w:rPr>
                    <w:t>类</w:t>
                  </w:r>
                  <w:r>
                    <w:rPr>
                      <w:rFonts w:hint="default" w:ascii="Times New Roman" w:hAnsi="Times New Roman" w:eastAsia="宋体" w:cs="Times New Roman"/>
                      <w:bCs/>
                      <w:color w:val="FF0000"/>
                      <w:kern w:val="21"/>
                      <w:sz w:val="21"/>
                      <w:szCs w:val="21"/>
                      <w:highlight w:val="none"/>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64" w:hRule="atLeast"/>
              </w:trPr>
              <w:tc>
                <w:tcPr>
                  <w:tcW w:w="3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Cs/>
                      <w:color w:val="000000"/>
                      <w:kern w:val="21"/>
                      <w:sz w:val="21"/>
                      <w:szCs w:val="21"/>
                      <w:highlight w:val="none"/>
                      <w:lang w:val="en-US" w:eastAsia="zh-CN"/>
                    </w:rPr>
                  </w:pPr>
                </w:p>
              </w:tc>
              <w:tc>
                <w:tcPr>
                  <w:tcW w:w="63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r>
                    <w:rPr>
                      <w:rFonts w:hint="eastAsia" w:ascii="Times New Roman" w:hAnsi="Times New Roman" w:eastAsia="宋体" w:cs="Times New Roman"/>
                      <w:bCs/>
                      <w:color w:val="000000"/>
                      <w:kern w:val="21"/>
                      <w:sz w:val="21"/>
                      <w:szCs w:val="21"/>
                      <w:highlight w:val="none"/>
                      <w:lang w:val="en-US" w:eastAsia="zh-CN"/>
                    </w:rPr>
                    <w:t>电磁环境</w:t>
                  </w:r>
                </w:p>
              </w:tc>
              <w:tc>
                <w:tcPr>
                  <w:tcW w:w="18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Cs/>
                      <w:color w:val="000000"/>
                      <w:kern w:val="21"/>
                      <w:sz w:val="21"/>
                      <w:szCs w:val="21"/>
                      <w:highlight w:val="none"/>
                      <w:lang w:eastAsia="zh-CN"/>
                    </w:rPr>
                  </w:pPr>
                  <w:r>
                    <w:rPr>
                      <w:rFonts w:hint="eastAsia" w:ascii="Times New Roman" w:hAnsi="Times New Roman" w:eastAsia="宋体" w:cs="Times New Roman"/>
                      <w:bCs/>
                      <w:color w:val="000000"/>
                      <w:kern w:val="21"/>
                      <w:sz w:val="21"/>
                      <w:szCs w:val="21"/>
                      <w:highlight w:val="none"/>
                      <w:lang w:val="en-US" w:eastAsia="zh-CN"/>
                    </w:rPr>
                    <w:t>输电线路两侧40m</w:t>
                  </w:r>
                  <w:r>
                    <w:rPr>
                      <w:rFonts w:hint="default" w:ascii="Times New Roman" w:hAnsi="Times New Roman" w:eastAsia="宋体" w:cs="Times New Roman"/>
                      <w:bCs/>
                      <w:color w:val="000000"/>
                      <w:kern w:val="21"/>
                      <w:sz w:val="21"/>
                      <w:szCs w:val="21"/>
                      <w:highlight w:val="none"/>
                    </w:rPr>
                    <w:t>范围的</w:t>
                  </w:r>
                  <w:r>
                    <w:rPr>
                      <w:rFonts w:hint="eastAsia" w:ascii="Times New Roman" w:hAnsi="Times New Roman" w:eastAsia="宋体" w:cs="Times New Roman"/>
                      <w:bCs/>
                      <w:color w:val="000000"/>
                      <w:kern w:val="21"/>
                      <w:sz w:val="21"/>
                      <w:szCs w:val="21"/>
                      <w:highlight w:val="none"/>
                      <w:lang w:val="en-US" w:eastAsia="zh-CN"/>
                    </w:rPr>
                    <w:t>电磁</w:t>
                  </w:r>
                  <w:r>
                    <w:rPr>
                      <w:rFonts w:hint="default" w:ascii="Times New Roman" w:hAnsi="Times New Roman" w:eastAsia="宋体" w:cs="Times New Roman"/>
                      <w:bCs/>
                      <w:color w:val="000000"/>
                      <w:kern w:val="21"/>
                      <w:sz w:val="21"/>
                      <w:szCs w:val="21"/>
                      <w:highlight w:val="none"/>
                    </w:rPr>
                    <w:t>环境</w:t>
                  </w:r>
                  <w:r>
                    <w:rPr>
                      <w:rFonts w:hint="default" w:ascii="Times New Roman" w:hAnsi="Times New Roman" w:eastAsia="宋体" w:cs="Times New Roman"/>
                      <w:bCs/>
                      <w:color w:val="000000"/>
                      <w:kern w:val="21"/>
                      <w:sz w:val="21"/>
                      <w:szCs w:val="21"/>
                      <w:highlight w:val="none"/>
                      <w:lang w:eastAsia="zh-CN"/>
                    </w:rPr>
                    <w:t>，</w:t>
                  </w:r>
                  <w:r>
                    <w:rPr>
                      <w:rFonts w:hint="default" w:ascii="Times New Roman" w:hAnsi="Times New Roman" w:eastAsia="宋体" w:cs="Times New Roman"/>
                      <w:bCs/>
                      <w:color w:val="000000"/>
                      <w:kern w:val="21"/>
                      <w:sz w:val="21"/>
                      <w:szCs w:val="21"/>
                      <w:highlight w:val="none"/>
                      <w:lang w:val="en-US" w:eastAsia="zh-CN"/>
                    </w:rPr>
                    <w:t>经调查，本项目无电磁环境敏感目标</w:t>
                  </w:r>
                </w:p>
              </w:tc>
              <w:tc>
                <w:tcPr>
                  <w:tcW w:w="20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Cs/>
                      <w:color w:val="000000"/>
                      <w:kern w:val="21"/>
                      <w:sz w:val="21"/>
                      <w:szCs w:val="21"/>
                      <w:highlight w:val="none"/>
                    </w:rPr>
                  </w:pPr>
                  <w:r>
                    <w:rPr>
                      <w:rFonts w:hint="default" w:ascii="Times New Roman" w:hAnsi="Times New Roman" w:eastAsia="宋体" w:cs="Times New Roman"/>
                      <w:bCs/>
                      <w:color w:val="000000"/>
                      <w:kern w:val="21"/>
                      <w:sz w:val="21"/>
                      <w:szCs w:val="21"/>
                      <w:highlight w:val="none"/>
                      <w:lang w:val="en-US" w:eastAsia="zh-CN"/>
                    </w:rPr>
                    <w:t>《电磁环境控制限值》（GB8702-2104）</w:t>
                  </w:r>
                  <w:r>
                    <w:rPr>
                      <w:rFonts w:hint="eastAsia" w:ascii="Times New Roman" w:hAnsi="Times New Roman" w:eastAsia="宋体" w:cs="Times New Roman"/>
                      <w:bCs/>
                      <w:color w:val="000000"/>
                      <w:kern w:val="21"/>
                      <w:sz w:val="21"/>
                      <w:szCs w:val="21"/>
                      <w:highlight w:val="none"/>
                      <w:lang w:val="en-US" w:eastAsia="zh-CN"/>
                    </w:rPr>
                    <w:t>公众暴露控制限值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39" w:hRule="atLeast"/>
              </w:trPr>
              <w:tc>
                <w:tcPr>
                  <w:tcW w:w="3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p>
              </w:tc>
              <w:tc>
                <w:tcPr>
                  <w:tcW w:w="63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r>
                    <w:rPr>
                      <w:rFonts w:hint="default" w:ascii="Times New Roman" w:hAnsi="Times New Roman" w:eastAsia="宋体" w:cs="Times New Roman"/>
                      <w:bCs/>
                      <w:color w:val="000000"/>
                      <w:kern w:val="21"/>
                      <w:sz w:val="21"/>
                      <w:szCs w:val="21"/>
                      <w:highlight w:val="none"/>
                    </w:rPr>
                    <w:t>生态环境</w:t>
                  </w:r>
                </w:p>
              </w:tc>
              <w:tc>
                <w:tcPr>
                  <w:tcW w:w="18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Cs/>
                      <w:color w:val="000000"/>
                      <w:kern w:val="21"/>
                      <w:sz w:val="21"/>
                      <w:szCs w:val="21"/>
                      <w:highlight w:val="none"/>
                      <w:lang w:eastAsia="zh-CN"/>
                    </w:rPr>
                  </w:pPr>
                  <w:r>
                    <w:rPr>
                      <w:rFonts w:hint="eastAsia" w:ascii="Times New Roman" w:hAnsi="Times New Roman" w:eastAsia="宋体" w:cs="Times New Roman"/>
                      <w:bCs/>
                      <w:color w:val="000000"/>
                      <w:kern w:val="21"/>
                      <w:sz w:val="21"/>
                      <w:szCs w:val="21"/>
                      <w:highlight w:val="none"/>
                      <w:lang w:val="en-US" w:eastAsia="zh-CN"/>
                    </w:rPr>
                    <w:t>输电线路两侧3</w:t>
                  </w:r>
                  <w:r>
                    <w:rPr>
                      <w:rFonts w:hint="default" w:ascii="Times New Roman" w:hAnsi="Times New Roman" w:eastAsia="宋体" w:cs="Times New Roman"/>
                      <w:bCs/>
                      <w:color w:val="000000"/>
                      <w:kern w:val="21"/>
                      <w:sz w:val="21"/>
                      <w:szCs w:val="21"/>
                      <w:highlight w:val="none"/>
                    </w:rPr>
                    <w:t>00m内的农作物、树木等动植物资源</w:t>
                  </w:r>
                </w:p>
              </w:tc>
              <w:tc>
                <w:tcPr>
                  <w:tcW w:w="20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Cs/>
                      <w:color w:val="000000"/>
                      <w:kern w:val="21"/>
                      <w:sz w:val="21"/>
                      <w:szCs w:val="21"/>
                      <w:highlight w:val="none"/>
                    </w:rPr>
                  </w:pPr>
                  <w:r>
                    <w:rPr>
                      <w:rFonts w:hint="default" w:ascii="Times New Roman" w:hAnsi="Times New Roman" w:eastAsia="宋体" w:cs="Times New Roman"/>
                      <w:bCs/>
                      <w:color w:val="000000"/>
                      <w:kern w:val="21"/>
                      <w:sz w:val="21"/>
                      <w:szCs w:val="21"/>
                      <w:highlight w:val="none"/>
                    </w:rPr>
                    <w:t>不破坏现有农田生态系统</w:t>
                  </w:r>
                  <w:r>
                    <w:rPr>
                      <w:rFonts w:hint="default" w:ascii="Times New Roman" w:hAnsi="Times New Roman" w:eastAsia="宋体" w:cs="Times New Roman"/>
                      <w:bCs/>
                      <w:color w:val="000000"/>
                      <w:kern w:val="21"/>
                      <w:sz w:val="21"/>
                      <w:szCs w:val="21"/>
                      <w:highlight w:val="none"/>
                      <w:lang w:eastAsia="zh-CN"/>
                    </w:rPr>
                    <w:t>，</w:t>
                  </w:r>
                  <w:r>
                    <w:rPr>
                      <w:rFonts w:hint="default" w:ascii="Times New Roman" w:hAnsi="Times New Roman" w:eastAsia="宋体" w:cs="Times New Roman"/>
                      <w:bCs/>
                      <w:color w:val="000000"/>
                      <w:kern w:val="21"/>
                      <w:sz w:val="21"/>
                      <w:szCs w:val="21"/>
                      <w:highlight w:val="none"/>
                    </w:rPr>
                    <w:t>保护地表植被、控制水土流失、保护生态完整性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39" w:hRule="atLeast"/>
              </w:trPr>
              <w:tc>
                <w:tcPr>
                  <w:tcW w:w="38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lang w:val="en-US" w:eastAsia="zh-CN" w:bidi="ar-SA"/>
                    </w:rPr>
                  </w:pPr>
                  <w:r>
                    <w:rPr>
                      <w:rFonts w:hint="eastAsia" w:ascii="Times New Roman" w:hAnsi="Times New Roman" w:eastAsia="宋体" w:cs="Times New Roman"/>
                      <w:bCs/>
                      <w:color w:val="000000"/>
                      <w:kern w:val="21"/>
                      <w:sz w:val="21"/>
                      <w:szCs w:val="21"/>
                      <w:highlight w:val="none"/>
                      <w:lang w:val="en-US" w:eastAsia="zh-CN"/>
                    </w:rPr>
                    <w:t>变电站</w:t>
                  </w:r>
                </w:p>
              </w:tc>
              <w:tc>
                <w:tcPr>
                  <w:tcW w:w="63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lang w:val="en-US" w:eastAsia="zh-CN" w:bidi="ar-SA"/>
                    </w:rPr>
                  </w:pPr>
                  <w:r>
                    <w:rPr>
                      <w:rFonts w:hint="default" w:ascii="Times New Roman" w:hAnsi="Times New Roman" w:eastAsia="宋体" w:cs="Times New Roman"/>
                      <w:bCs/>
                      <w:color w:val="000000"/>
                      <w:kern w:val="21"/>
                      <w:sz w:val="21"/>
                      <w:szCs w:val="21"/>
                      <w:highlight w:val="none"/>
                    </w:rPr>
                    <w:t>声环境</w:t>
                  </w:r>
                </w:p>
              </w:tc>
              <w:tc>
                <w:tcPr>
                  <w:tcW w:w="18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eastAsia" w:ascii="Times New Roman" w:hAnsi="Times New Roman" w:eastAsia="宋体" w:cs="Times New Roman"/>
                      <w:bCs/>
                      <w:color w:val="000000"/>
                      <w:kern w:val="21"/>
                      <w:sz w:val="21"/>
                      <w:szCs w:val="21"/>
                      <w:highlight w:val="none"/>
                      <w:lang w:val="en-US" w:eastAsia="zh-CN" w:bidi="ar-SA"/>
                    </w:rPr>
                  </w:pPr>
                  <w:r>
                    <w:rPr>
                      <w:rFonts w:hint="eastAsia" w:ascii="Times New Roman" w:hAnsi="Times New Roman" w:eastAsia="宋体" w:cs="Times New Roman"/>
                      <w:bCs/>
                      <w:color w:val="000000"/>
                      <w:kern w:val="21"/>
                      <w:sz w:val="21"/>
                      <w:szCs w:val="21"/>
                      <w:highlight w:val="none"/>
                      <w:lang w:val="en-US" w:eastAsia="zh-CN"/>
                    </w:rPr>
                    <w:t>变电站</w:t>
                  </w:r>
                  <w:r>
                    <w:rPr>
                      <w:rFonts w:hint="default" w:ascii="Times New Roman" w:hAnsi="Times New Roman" w:eastAsia="宋体" w:cs="Times New Roman"/>
                      <w:bCs/>
                      <w:color w:val="000000"/>
                      <w:kern w:val="21"/>
                      <w:sz w:val="21"/>
                      <w:szCs w:val="21"/>
                      <w:highlight w:val="none"/>
                      <w:lang w:eastAsia="zh-CN"/>
                    </w:rPr>
                    <w:t>站</w:t>
                  </w:r>
                  <w:r>
                    <w:rPr>
                      <w:rFonts w:hint="default" w:ascii="Times New Roman" w:hAnsi="Times New Roman" w:eastAsia="宋体" w:cs="Times New Roman"/>
                      <w:bCs/>
                      <w:color w:val="000000"/>
                      <w:kern w:val="21"/>
                      <w:sz w:val="21"/>
                      <w:szCs w:val="21"/>
                      <w:highlight w:val="none"/>
                    </w:rPr>
                    <w:t>界</w:t>
                  </w:r>
                  <w:r>
                    <w:rPr>
                      <w:rFonts w:hint="default" w:ascii="Times New Roman" w:hAnsi="Times New Roman" w:eastAsia="宋体" w:cs="Times New Roman"/>
                      <w:bCs/>
                      <w:color w:val="000000"/>
                      <w:kern w:val="21"/>
                      <w:sz w:val="21"/>
                      <w:szCs w:val="21"/>
                      <w:highlight w:val="none"/>
                      <w:lang w:val="en-US" w:eastAsia="zh-CN"/>
                    </w:rPr>
                    <w:t>20</w:t>
                  </w:r>
                  <w:r>
                    <w:rPr>
                      <w:rFonts w:hint="default" w:ascii="Times New Roman" w:hAnsi="Times New Roman" w:eastAsia="宋体" w:cs="Times New Roman"/>
                      <w:bCs/>
                      <w:color w:val="000000"/>
                      <w:kern w:val="21"/>
                      <w:sz w:val="21"/>
                      <w:szCs w:val="21"/>
                      <w:highlight w:val="none"/>
                    </w:rPr>
                    <w:t>0m范围的声环境</w:t>
                  </w:r>
                  <w:r>
                    <w:rPr>
                      <w:rFonts w:hint="default" w:ascii="Times New Roman" w:hAnsi="Times New Roman" w:eastAsia="宋体" w:cs="Times New Roman"/>
                      <w:bCs/>
                      <w:color w:val="000000"/>
                      <w:kern w:val="21"/>
                      <w:sz w:val="21"/>
                      <w:szCs w:val="21"/>
                      <w:highlight w:val="none"/>
                      <w:lang w:eastAsia="zh-CN"/>
                    </w:rPr>
                    <w:t>，经调查，评价范围内无敏感目标</w:t>
                  </w:r>
                </w:p>
              </w:tc>
              <w:tc>
                <w:tcPr>
                  <w:tcW w:w="20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Cs/>
                      <w:color w:val="000000"/>
                      <w:kern w:val="21"/>
                      <w:sz w:val="21"/>
                      <w:szCs w:val="21"/>
                      <w:highlight w:val="none"/>
                      <w:lang w:val="en-US" w:eastAsia="zh-CN" w:bidi="ar-SA"/>
                    </w:rPr>
                  </w:pPr>
                  <w:r>
                    <w:rPr>
                      <w:rFonts w:hint="default" w:ascii="Times New Roman" w:hAnsi="Times New Roman" w:eastAsia="宋体" w:cs="Times New Roman"/>
                      <w:bCs/>
                      <w:color w:val="000000"/>
                      <w:kern w:val="21"/>
                      <w:sz w:val="21"/>
                      <w:szCs w:val="21"/>
                      <w:highlight w:val="none"/>
                    </w:rPr>
                    <w:t>《声环境质量标准》(GB3096-2008)中的</w:t>
                  </w:r>
                  <w:r>
                    <w:rPr>
                      <w:rFonts w:hint="eastAsia" w:cs="Times New Roman"/>
                      <w:bCs/>
                      <w:color w:val="000000"/>
                      <w:kern w:val="21"/>
                      <w:sz w:val="21"/>
                      <w:szCs w:val="21"/>
                      <w:highlight w:val="none"/>
                      <w:lang w:val="en-US" w:eastAsia="zh-CN"/>
                    </w:rPr>
                    <w:t>2</w:t>
                  </w:r>
                  <w:r>
                    <w:rPr>
                      <w:rFonts w:hint="eastAsia" w:ascii="Times New Roman" w:hAnsi="Times New Roman" w:eastAsia="宋体" w:cs="Times New Roman"/>
                      <w:bCs/>
                      <w:color w:val="000000"/>
                      <w:kern w:val="21"/>
                      <w:sz w:val="21"/>
                      <w:szCs w:val="21"/>
                      <w:highlight w:val="none"/>
                      <w:lang w:val="en-US" w:eastAsia="zh-CN"/>
                    </w:rPr>
                    <w:t>类</w:t>
                  </w:r>
                  <w:r>
                    <w:rPr>
                      <w:rFonts w:hint="default" w:ascii="Times New Roman" w:hAnsi="Times New Roman" w:eastAsia="宋体" w:cs="Times New Roman"/>
                      <w:bCs/>
                      <w:color w:val="000000"/>
                      <w:kern w:val="21"/>
                      <w:sz w:val="21"/>
                      <w:szCs w:val="21"/>
                      <w:highlight w:val="none"/>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39" w:hRule="atLeast"/>
              </w:trPr>
              <w:tc>
                <w:tcPr>
                  <w:tcW w:w="3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p>
              </w:tc>
              <w:tc>
                <w:tcPr>
                  <w:tcW w:w="63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lang w:val="en-US" w:eastAsia="zh-CN" w:bidi="ar-SA"/>
                    </w:rPr>
                  </w:pPr>
                  <w:r>
                    <w:rPr>
                      <w:rFonts w:hint="eastAsia" w:ascii="Times New Roman" w:hAnsi="Times New Roman" w:eastAsia="宋体" w:cs="Times New Roman"/>
                      <w:bCs/>
                      <w:color w:val="000000"/>
                      <w:kern w:val="21"/>
                      <w:sz w:val="21"/>
                      <w:szCs w:val="21"/>
                      <w:highlight w:val="none"/>
                      <w:lang w:val="en-US" w:eastAsia="zh-CN"/>
                    </w:rPr>
                    <w:t>电磁环境</w:t>
                  </w:r>
                </w:p>
              </w:tc>
              <w:tc>
                <w:tcPr>
                  <w:tcW w:w="18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eastAsia" w:ascii="Times New Roman" w:hAnsi="Times New Roman" w:eastAsia="宋体" w:cs="Times New Roman"/>
                      <w:bCs/>
                      <w:color w:val="000000"/>
                      <w:kern w:val="21"/>
                      <w:sz w:val="21"/>
                      <w:szCs w:val="21"/>
                      <w:highlight w:val="none"/>
                      <w:lang w:val="en-US" w:eastAsia="zh-CN" w:bidi="ar-SA"/>
                    </w:rPr>
                  </w:pPr>
                  <w:r>
                    <w:rPr>
                      <w:rFonts w:hint="eastAsia" w:ascii="Times New Roman" w:hAnsi="Times New Roman" w:eastAsia="宋体" w:cs="Times New Roman"/>
                      <w:bCs/>
                      <w:color w:val="000000"/>
                      <w:kern w:val="21"/>
                      <w:sz w:val="21"/>
                      <w:szCs w:val="21"/>
                      <w:highlight w:val="none"/>
                      <w:lang w:val="en-US" w:eastAsia="zh-CN"/>
                    </w:rPr>
                    <w:t>变电站</w:t>
                  </w:r>
                  <w:r>
                    <w:rPr>
                      <w:rFonts w:hint="default" w:ascii="Times New Roman" w:hAnsi="Times New Roman" w:eastAsia="宋体" w:cs="Times New Roman"/>
                      <w:bCs/>
                      <w:color w:val="000000"/>
                      <w:kern w:val="21"/>
                      <w:sz w:val="21"/>
                      <w:szCs w:val="21"/>
                      <w:highlight w:val="none"/>
                      <w:lang w:val="en-US" w:eastAsia="zh-CN"/>
                    </w:rPr>
                    <w:t>站界外</w:t>
                  </w:r>
                  <w:r>
                    <w:rPr>
                      <w:rFonts w:hint="eastAsia" w:ascii="Times New Roman" w:hAnsi="Times New Roman" w:eastAsia="宋体" w:cs="Times New Roman"/>
                      <w:bCs/>
                      <w:color w:val="000000"/>
                      <w:kern w:val="21"/>
                      <w:sz w:val="21"/>
                      <w:szCs w:val="21"/>
                      <w:highlight w:val="none"/>
                      <w:lang w:val="en-US" w:eastAsia="zh-CN"/>
                    </w:rPr>
                    <w:t>4</w:t>
                  </w:r>
                  <w:r>
                    <w:rPr>
                      <w:rFonts w:hint="default" w:ascii="Times New Roman" w:hAnsi="Times New Roman" w:eastAsia="宋体" w:cs="Times New Roman"/>
                      <w:bCs/>
                      <w:color w:val="000000"/>
                      <w:kern w:val="21"/>
                      <w:sz w:val="21"/>
                      <w:szCs w:val="21"/>
                      <w:highlight w:val="none"/>
                      <w:lang w:val="en-US" w:eastAsia="zh-CN"/>
                    </w:rPr>
                    <w:t>0m范围，经调查，本项目无电磁环境敏感目标</w:t>
                  </w:r>
                </w:p>
              </w:tc>
              <w:tc>
                <w:tcPr>
                  <w:tcW w:w="20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Cs/>
                      <w:color w:val="000000"/>
                      <w:kern w:val="21"/>
                      <w:sz w:val="21"/>
                      <w:szCs w:val="21"/>
                      <w:highlight w:val="none"/>
                      <w:lang w:val="en-US" w:eastAsia="zh-CN" w:bidi="ar-SA"/>
                    </w:rPr>
                  </w:pPr>
                  <w:r>
                    <w:rPr>
                      <w:rFonts w:hint="default" w:ascii="Times New Roman" w:hAnsi="Times New Roman" w:eastAsia="宋体" w:cs="Times New Roman"/>
                      <w:bCs/>
                      <w:color w:val="000000"/>
                      <w:kern w:val="21"/>
                      <w:sz w:val="21"/>
                      <w:szCs w:val="21"/>
                      <w:highlight w:val="none"/>
                      <w:lang w:val="en-US" w:eastAsia="zh-CN"/>
                    </w:rPr>
                    <w:t>《电磁环境控制限值》（GB8702-2104）</w:t>
                  </w:r>
                  <w:r>
                    <w:rPr>
                      <w:rFonts w:hint="eastAsia" w:ascii="Times New Roman" w:hAnsi="Times New Roman" w:eastAsia="宋体" w:cs="Times New Roman"/>
                      <w:bCs/>
                      <w:color w:val="000000"/>
                      <w:kern w:val="21"/>
                      <w:sz w:val="21"/>
                      <w:szCs w:val="21"/>
                      <w:highlight w:val="none"/>
                      <w:lang w:val="en-US" w:eastAsia="zh-CN"/>
                    </w:rPr>
                    <w:t>公众暴露控制限值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70" w:hRule="atLeast"/>
              </w:trPr>
              <w:tc>
                <w:tcPr>
                  <w:tcW w:w="3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rPr>
                  </w:pPr>
                </w:p>
              </w:tc>
              <w:tc>
                <w:tcPr>
                  <w:tcW w:w="63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000000"/>
                      <w:kern w:val="21"/>
                      <w:sz w:val="21"/>
                      <w:szCs w:val="21"/>
                      <w:highlight w:val="none"/>
                      <w:lang w:val="en-US" w:eastAsia="zh-CN" w:bidi="ar-SA"/>
                    </w:rPr>
                  </w:pPr>
                  <w:r>
                    <w:rPr>
                      <w:rFonts w:hint="default" w:ascii="Times New Roman" w:hAnsi="Times New Roman" w:eastAsia="宋体" w:cs="Times New Roman"/>
                      <w:bCs/>
                      <w:color w:val="000000"/>
                      <w:kern w:val="21"/>
                      <w:sz w:val="21"/>
                      <w:szCs w:val="21"/>
                      <w:highlight w:val="none"/>
                    </w:rPr>
                    <w:t>生态环境</w:t>
                  </w:r>
                </w:p>
              </w:tc>
              <w:tc>
                <w:tcPr>
                  <w:tcW w:w="18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eastAsia" w:ascii="Times New Roman" w:hAnsi="Times New Roman" w:eastAsia="宋体" w:cs="Times New Roman"/>
                      <w:bCs/>
                      <w:color w:val="000000"/>
                      <w:kern w:val="21"/>
                      <w:sz w:val="21"/>
                      <w:szCs w:val="21"/>
                      <w:highlight w:val="none"/>
                      <w:lang w:val="en-US" w:eastAsia="zh-CN" w:bidi="ar-SA"/>
                    </w:rPr>
                  </w:pPr>
                  <w:r>
                    <w:rPr>
                      <w:rFonts w:hint="eastAsia" w:ascii="Times New Roman" w:hAnsi="Times New Roman" w:eastAsia="宋体" w:cs="Times New Roman"/>
                      <w:bCs/>
                      <w:color w:val="000000"/>
                      <w:kern w:val="21"/>
                      <w:sz w:val="21"/>
                      <w:szCs w:val="21"/>
                      <w:highlight w:val="none"/>
                      <w:lang w:val="en-US" w:eastAsia="zh-CN"/>
                    </w:rPr>
                    <w:t>变电站</w:t>
                  </w:r>
                  <w:r>
                    <w:rPr>
                      <w:rFonts w:hint="default" w:ascii="Times New Roman" w:hAnsi="Times New Roman" w:eastAsia="宋体" w:cs="Times New Roman"/>
                      <w:bCs/>
                      <w:color w:val="000000"/>
                      <w:kern w:val="21"/>
                      <w:sz w:val="21"/>
                      <w:szCs w:val="21"/>
                      <w:highlight w:val="none"/>
                      <w:lang w:eastAsia="zh-CN"/>
                    </w:rPr>
                    <w:t>站界</w:t>
                  </w:r>
                  <w:r>
                    <w:rPr>
                      <w:rFonts w:hint="default" w:ascii="Times New Roman" w:hAnsi="Times New Roman" w:eastAsia="宋体" w:cs="Times New Roman"/>
                      <w:bCs/>
                      <w:color w:val="000000"/>
                      <w:kern w:val="21"/>
                      <w:sz w:val="21"/>
                      <w:szCs w:val="21"/>
                      <w:highlight w:val="none"/>
                    </w:rPr>
                    <w:t>外500m内的农作物、树木等动植物资源</w:t>
                  </w:r>
                </w:p>
              </w:tc>
              <w:tc>
                <w:tcPr>
                  <w:tcW w:w="20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Cs/>
                      <w:color w:val="000000"/>
                      <w:kern w:val="21"/>
                      <w:sz w:val="21"/>
                      <w:szCs w:val="21"/>
                      <w:highlight w:val="none"/>
                      <w:lang w:val="en-US" w:eastAsia="zh-CN" w:bidi="ar-SA"/>
                    </w:rPr>
                  </w:pPr>
                  <w:r>
                    <w:rPr>
                      <w:rFonts w:hint="default" w:ascii="Times New Roman" w:hAnsi="Times New Roman" w:eastAsia="宋体" w:cs="Times New Roman"/>
                      <w:bCs/>
                      <w:color w:val="000000"/>
                      <w:kern w:val="21"/>
                      <w:sz w:val="21"/>
                      <w:szCs w:val="21"/>
                      <w:highlight w:val="none"/>
                    </w:rPr>
                    <w:t>不破坏现有农田生态系统</w:t>
                  </w:r>
                  <w:r>
                    <w:rPr>
                      <w:rFonts w:hint="default" w:ascii="Times New Roman" w:hAnsi="Times New Roman" w:eastAsia="宋体" w:cs="Times New Roman"/>
                      <w:bCs/>
                      <w:color w:val="000000"/>
                      <w:kern w:val="21"/>
                      <w:sz w:val="21"/>
                      <w:szCs w:val="21"/>
                      <w:highlight w:val="none"/>
                      <w:lang w:eastAsia="zh-CN"/>
                    </w:rPr>
                    <w:t>，</w:t>
                  </w:r>
                  <w:r>
                    <w:rPr>
                      <w:rFonts w:hint="default" w:ascii="Times New Roman" w:hAnsi="Times New Roman" w:eastAsia="宋体" w:cs="Times New Roman"/>
                      <w:bCs/>
                      <w:color w:val="000000"/>
                      <w:kern w:val="21"/>
                      <w:sz w:val="21"/>
                      <w:szCs w:val="21"/>
                      <w:highlight w:val="none"/>
                    </w:rPr>
                    <w:t>保护地表植被、控制水土流失、保护生态完整性</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904" w:type="dxa"/>
            <w:noWrap w:val="0"/>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评价</w:t>
            </w:r>
          </w:p>
          <w:p>
            <w:pPr>
              <w:adjustRightInd w:val="0"/>
              <w:snapToGrid w:val="0"/>
              <w:jc w:val="center"/>
              <w:rPr>
                <w:rFonts w:ascii="宋体" w:hAnsi="宋体" w:cs="宋体"/>
                <w:kern w:val="0"/>
                <w:sz w:val="24"/>
                <w:szCs w:val="24"/>
              </w:rPr>
            </w:pPr>
            <w:r>
              <w:rPr>
                <w:rFonts w:hint="eastAsia" w:ascii="宋体" w:hAnsi="宋体" w:cs="宋体"/>
                <w:kern w:val="0"/>
                <w:sz w:val="24"/>
                <w:szCs w:val="24"/>
              </w:rPr>
              <w:t>标准</w:t>
            </w:r>
          </w:p>
        </w:tc>
        <w:tc>
          <w:tcPr>
            <w:tcW w:w="8253"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kern w:val="21"/>
                <w:sz w:val="24"/>
                <w:szCs w:val="24"/>
                <w:lang w:val="en-US" w:eastAsia="zh-CN"/>
              </w:rPr>
            </w:pPr>
            <w:r>
              <w:rPr>
                <w:rFonts w:hint="default" w:ascii="Times New Roman" w:hAnsi="Times New Roman" w:eastAsia="宋体" w:cs="Times New Roman"/>
                <w:b/>
                <w:bCs/>
                <w:color w:val="000000"/>
                <w:kern w:val="21"/>
                <w:sz w:val="24"/>
                <w:szCs w:val="24"/>
                <w:lang w:val="en-US" w:eastAsia="zh-CN"/>
              </w:rPr>
              <w:t>一、环境质量标准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color w:val="000000"/>
                <w:sz w:val="21"/>
                <w:szCs w:val="21"/>
                <w:lang w:val="en-US" w:eastAsia="zh-CN"/>
              </w:rPr>
              <w:t>1</w:t>
            </w: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声环境</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FF0000"/>
                <w:spacing w:val="0"/>
                <w:w w:val="100"/>
                <w:kern w:val="0"/>
                <w:position w:val="0"/>
                <w:sz w:val="24"/>
                <w:szCs w:val="24"/>
                <w:highlight w:val="none"/>
                <w:lang w:val="en-US" w:eastAsia="zh-CN"/>
              </w:rPr>
            </w:pPr>
            <w:r>
              <w:rPr>
                <w:rFonts w:hint="default" w:ascii="Times New Roman" w:hAnsi="Times New Roman" w:eastAsia="宋体" w:cs="Times New Roman"/>
                <w:color w:val="FF0000"/>
                <w:spacing w:val="0"/>
                <w:w w:val="100"/>
                <w:kern w:val="0"/>
                <w:position w:val="0"/>
                <w:sz w:val="24"/>
                <w:szCs w:val="24"/>
                <w:highlight w:val="none"/>
                <w:lang w:val="en-US" w:eastAsia="zh-CN"/>
              </w:rPr>
              <w:t>输电线路（位于经开区的部分）执行《声环境质量标准》(GB3096-2008)中的</w:t>
            </w:r>
            <w:r>
              <w:rPr>
                <w:rFonts w:hint="eastAsia" w:cs="Times New Roman"/>
                <w:color w:val="FF0000"/>
                <w:spacing w:val="0"/>
                <w:w w:val="100"/>
                <w:kern w:val="0"/>
                <w:position w:val="0"/>
                <w:sz w:val="24"/>
                <w:szCs w:val="24"/>
                <w:highlight w:val="none"/>
                <w:lang w:val="en-US" w:eastAsia="zh-CN"/>
              </w:rPr>
              <w:t>3</w:t>
            </w:r>
            <w:r>
              <w:rPr>
                <w:rFonts w:hint="default" w:ascii="Times New Roman" w:hAnsi="Times New Roman" w:eastAsia="宋体" w:cs="Times New Roman"/>
                <w:color w:val="FF0000"/>
                <w:spacing w:val="0"/>
                <w:w w:val="100"/>
                <w:kern w:val="0"/>
                <w:position w:val="0"/>
                <w:sz w:val="24"/>
                <w:szCs w:val="24"/>
                <w:highlight w:val="none"/>
                <w:lang w:val="en-US" w:eastAsia="zh-CN"/>
              </w:rPr>
              <w:t>类标准；输电线路（位于其他地区的部分）执行《声环境质量标准》(GB3096-2008)中的1类标准。</w:t>
            </w:r>
          </w:p>
          <w:p>
            <w:pPr>
              <w:spacing w:line="240" w:lineRule="auto"/>
              <w:ind w:firstLine="211" w:firstLineChars="100"/>
              <w:contextualSpacing/>
              <w:jc w:val="center"/>
              <w:rPr>
                <w:rFonts w:hint="eastAsia" w:ascii="Times New Roman" w:hAnsi="Times New Roman" w:eastAsia="宋体" w:cs="Times New Roman"/>
                <w:b/>
                <w:color w:val="FF0000"/>
                <w:sz w:val="21"/>
                <w:szCs w:val="21"/>
                <w:lang w:eastAsia="zh-CN"/>
              </w:rPr>
            </w:pPr>
            <w:r>
              <w:rPr>
                <w:rFonts w:hint="default" w:ascii="Times New Roman" w:hAnsi="Times New Roman" w:eastAsia="宋体" w:cs="Times New Roman"/>
                <w:b/>
                <w:color w:val="FF0000"/>
                <w:sz w:val="21"/>
                <w:szCs w:val="21"/>
              </w:rPr>
              <w:t>表</w:t>
            </w:r>
            <w:r>
              <w:rPr>
                <w:rFonts w:hint="default" w:ascii="Times New Roman" w:hAnsi="Times New Roman" w:eastAsia="宋体" w:cs="Times New Roman"/>
                <w:b/>
                <w:color w:val="FF0000"/>
                <w:sz w:val="21"/>
                <w:szCs w:val="21"/>
                <w:lang w:val="en-US" w:eastAsia="zh-CN"/>
              </w:rPr>
              <w:t>3-</w:t>
            </w:r>
            <w:r>
              <w:rPr>
                <w:rFonts w:hint="eastAsia" w:cs="Times New Roman"/>
                <w:b/>
                <w:color w:val="FF0000"/>
                <w:sz w:val="21"/>
                <w:szCs w:val="21"/>
                <w:lang w:val="en-US" w:eastAsia="zh-CN"/>
              </w:rPr>
              <w:t>6</w:t>
            </w:r>
            <w:r>
              <w:rPr>
                <w:rFonts w:hint="default" w:ascii="Times New Roman" w:hAnsi="Times New Roman" w:eastAsia="宋体" w:cs="Times New Roman"/>
                <w:b/>
                <w:color w:val="FF0000"/>
                <w:sz w:val="21"/>
                <w:szCs w:val="21"/>
                <w:lang w:val="en-US" w:eastAsia="zh-CN"/>
              </w:rPr>
              <w:t xml:space="preserve">  </w:t>
            </w:r>
            <w:r>
              <w:rPr>
                <w:rFonts w:hint="default" w:ascii="Times New Roman" w:hAnsi="Times New Roman" w:eastAsia="宋体" w:cs="Times New Roman"/>
                <w:b/>
                <w:color w:val="FF0000"/>
                <w:sz w:val="21"/>
                <w:szCs w:val="21"/>
              </w:rPr>
              <w:t>声环境功能区使用的环境噪声等效声压级限值</w:t>
            </w:r>
            <w:r>
              <w:rPr>
                <w:rFonts w:hint="eastAsia" w:ascii="Times New Roman" w:hAnsi="Times New Roman" w:eastAsia="宋体" w:cs="Times New Roman"/>
                <w:b/>
                <w:bCs w:val="0"/>
                <w:color w:val="FF0000"/>
                <w:sz w:val="21"/>
                <w:szCs w:val="21"/>
                <w:lang w:eastAsia="zh-CN"/>
              </w:rPr>
              <w:t>（</w:t>
            </w:r>
            <w:r>
              <w:rPr>
                <w:rFonts w:hint="eastAsia" w:ascii="Times New Roman" w:hAnsi="Times New Roman" w:eastAsia="宋体" w:cs="Times New Roman"/>
                <w:b/>
                <w:bCs w:val="0"/>
                <w:color w:val="FF0000"/>
                <w:sz w:val="21"/>
                <w:szCs w:val="21"/>
                <w:lang w:val="en-US" w:eastAsia="zh-CN"/>
              </w:rPr>
              <w:t>单位：</w:t>
            </w:r>
            <w:r>
              <w:rPr>
                <w:rFonts w:hint="default" w:ascii="Times New Roman" w:hAnsi="Times New Roman" w:eastAsia="宋体" w:cs="Times New Roman"/>
                <w:b/>
                <w:bCs w:val="0"/>
                <w:color w:val="FF0000"/>
                <w:sz w:val="21"/>
                <w:szCs w:val="21"/>
              </w:rPr>
              <w:t>dB（A）</w:t>
            </w:r>
            <w:r>
              <w:rPr>
                <w:rFonts w:hint="eastAsia" w:ascii="Times New Roman" w:hAnsi="Times New Roman" w:eastAsia="宋体" w:cs="Times New Roman"/>
                <w:b/>
                <w:bCs w:val="0"/>
                <w:color w:val="FF0000"/>
                <w:sz w:val="21"/>
                <w:szCs w:val="21"/>
                <w:lang w:eastAsia="zh-CN"/>
              </w:rPr>
              <w:t>）</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74"/>
              <w:gridCol w:w="2678"/>
              <w:gridCol w:w="26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66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声环境功能区类别</w:t>
                  </w:r>
                </w:p>
              </w:tc>
              <w:tc>
                <w:tcPr>
                  <w:tcW w:w="333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66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FF0000"/>
                      <w:sz w:val="21"/>
                      <w:szCs w:val="21"/>
                    </w:rPr>
                  </w:pPr>
                </w:p>
              </w:tc>
              <w:tc>
                <w:tcPr>
                  <w:tcW w:w="166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contextualSpacing/>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rPr>
                    <w:t>昼间</w:t>
                  </w:r>
                </w:p>
              </w:tc>
              <w:tc>
                <w:tcPr>
                  <w:tcW w:w="166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contextualSpacing/>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16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contextualSpacing/>
                    <w:jc w:val="center"/>
                    <w:textAlignment w:val="auto"/>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1类</w:t>
                  </w:r>
                </w:p>
              </w:tc>
              <w:tc>
                <w:tcPr>
                  <w:tcW w:w="16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contextualSpacing/>
                    <w:jc w:val="center"/>
                    <w:textAlignment w:val="auto"/>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55</w:t>
                  </w:r>
                </w:p>
              </w:tc>
              <w:tc>
                <w:tcPr>
                  <w:tcW w:w="16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contextualSpacing/>
                    <w:jc w:val="center"/>
                    <w:textAlignment w:val="auto"/>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166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contextualSpacing/>
                    <w:jc w:val="center"/>
                    <w:textAlignment w:val="auto"/>
                    <w:rPr>
                      <w:rFonts w:hint="eastAsia" w:ascii="Times New Roman" w:hAnsi="Times New Roman" w:eastAsia="宋体" w:cs="Times New Roman"/>
                      <w:color w:val="FF0000"/>
                      <w:kern w:val="2"/>
                      <w:sz w:val="21"/>
                      <w:szCs w:val="21"/>
                      <w:lang w:val="en-US" w:eastAsia="zh-CN" w:bidi="ar-SA"/>
                    </w:rPr>
                  </w:pPr>
                  <w:r>
                    <w:rPr>
                      <w:rFonts w:hint="eastAsia" w:cs="Times New Roman"/>
                      <w:color w:val="FF0000"/>
                      <w:sz w:val="21"/>
                      <w:szCs w:val="21"/>
                      <w:lang w:val="en-US" w:eastAsia="zh-CN"/>
                    </w:rPr>
                    <w:t>3</w:t>
                  </w:r>
                  <w:r>
                    <w:rPr>
                      <w:rFonts w:hint="eastAsia" w:ascii="Times New Roman" w:hAnsi="Times New Roman" w:eastAsia="宋体" w:cs="Times New Roman"/>
                      <w:color w:val="FF0000"/>
                      <w:sz w:val="21"/>
                      <w:szCs w:val="21"/>
                      <w:lang w:val="en-US" w:eastAsia="zh-CN"/>
                    </w:rPr>
                    <w:t>类</w:t>
                  </w:r>
                </w:p>
              </w:tc>
              <w:tc>
                <w:tcPr>
                  <w:tcW w:w="166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contextualSpacing/>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sz w:val="21"/>
                      <w:szCs w:val="21"/>
                      <w:lang w:val="en-US" w:eastAsia="zh-CN"/>
                    </w:rPr>
                    <w:t>65</w:t>
                  </w:r>
                </w:p>
              </w:tc>
              <w:tc>
                <w:tcPr>
                  <w:tcW w:w="166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contextualSpacing/>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sz w:val="21"/>
                      <w:szCs w:val="21"/>
                      <w:lang w:val="en-US" w:eastAsia="zh-CN"/>
                    </w:rPr>
                    <w:t>55</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2、电磁环境</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65"/>
              <w:jc w:val="both"/>
              <w:textAlignment w:val="auto"/>
              <w:rPr>
                <w:color w:val="auto"/>
                <w:kern w:val="0"/>
                <w:sz w:val="24"/>
                <w:highlight w:val="none"/>
              </w:rPr>
            </w:pPr>
            <w:r>
              <w:rPr>
                <w:color w:val="auto"/>
                <w:kern w:val="0"/>
                <w:sz w:val="24"/>
                <w:highlight w:val="none"/>
              </w:rPr>
              <w:t>工频电场强度、工频磁感应强度执行《电磁环境控制限值》（</w:t>
            </w:r>
            <w:r>
              <w:rPr>
                <w:rFonts w:eastAsia="TimesNewRomanPSMT"/>
                <w:color w:val="auto"/>
                <w:kern w:val="0"/>
                <w:sz w:val="24"/>
                <w:highlight w:val="none"/>
              </w:rPr>
              <w:t>GB 8702-2014</w:t>
            </w:r>
            <w:r>
              <w:rPr>
                <w:color w:val="auto"/>
                <w:kern w:val="0"/>
                <w:sz w:val="24"/>
                <w:highlight w:val="none"/>
              </w:rPr>
              <w:t>）中的公众曝露控制限值，具体指标参见表</w:t>
            </w:r>
            <w:r>
              <w:rPr>
                <w:rFonts w:hint="eastAsia"/>
                <w:color w:val="auto"/>
                <w:kern w:val="0"/>
                <w:sz w:val="24"/>
                <w:highlight w:val="none"/>
              </w:rPr>
              <w:t>3-</w:t>
            </w:r>
            <w:r>
              <w:rPr>
                <w:rFonts w:hint="eastAsia"/>
                <w:color w:val="auto"/>
                <w:kern w:val="0"/>
                <w:sz w:val="24"/>
                <w:highlight w:val="none"/>
                <w:lang w:val="en-US" w:eastAsia="zh-CN"/>
              </w:rPr>
              <w:t>7</w:t>
            </w:r>
            <w:r>
              <w:rPr>
                <w:color w:val="auto"/>
                <w:kern w:val="0"/>
                <w:sz w:val="24"/>
                <w:highlight w:val="none"/>
              </w:rPr>
              <w:t>。</w:t>
            </w:r>
          </w:p>
          <w:p>
            <w:pPr>
              <w:spacing w:line="240" w:lineRule="auto"/>
              <w:ind w:firstLine="211" w:firstLineChars="100"/>
              <w:contextualSpacing/>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w:t>
            </w:r>
            <w:r>
              <w:rPr>
                <w:rFonts w:hint="eastAsia" w:ascii="Times New Roman" w:hAnsi="Times New Roman" w:eastAsia="宋体" w:cs="Times New Roman"/>
                <w:b/>
                <w:color w:val="auto"/>
                <w:sz w:val="21"/>
                <w:szCs w:val="21"/>
              </w:rPr>
              <w:t>3-</w:t>
            </w:r>
            <w:r>
              <w:rPr>
                <w:rFonts w:hint="eastAsia" w:ascii="Times New Roman" w:hAnsi="Times New Roman" w:eastAsia="宋体" w:cs="Times New Roman"/>
                <w:b/>
                <w:color w:val="auto"/>
                <w:sz w:val="21"/>
                <w:szCs w:val="21"/>
                <w:lang w:val="en-US" w:eastAsia="zh-CN"/>
              </w:rPr>
              <w:t xml:space="preserve">7  </w:t>
            </w:r>
            <w:r>
              <w:rPr>
                <w:rFonts w:hint="default" w:ascii="Times New Roman" w:hAnsi="Times New Roman" w:eastAsia="宋体" w:cs="Times New Roman"/>
                <w:b/>
                <w:color w:val="auto"/>
                <w:sz w:val="21"/>
                <w:szCs w:val="21"/>
              </w:rPr>
              <w:t>公众曝露控制限值（部分）</w:t>
            </w:r>
          </w:p>
          <w:tbl>
            <w:tblPr>
              <w:tblStyle w:val="20"/>
              <w:tblW w:w="4961"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09"/>
              <w:gridCol w:w="1384"/>
              <w:gridCol w:w="1271"/>
              <w:gridCol w:w="1406"/>
              <w:gridCol w:w="177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20" w:hRule="atLeast"/>
              </w:trPr>
              <w:tc>
                <w:tcPr>
                  <w:tcW w:w="1327" w:type="pct"/>
                  <w:tcBorders>
                    <w:left w:val="nil"/>
                  </w:tcBorders>
                  <w:noWrap w:val="0"/>
                  <w:vAlign w:val="center"/>
                </w:tcPr>
                <w:p>
                  <w:pPr>
                    <w:adjustRightInd w:val="0"/>
                    <w:snapToGrid w:val="0"/>
                    <w:spacing w:before="48" w:beforeLines="20"/>
                    <w:jc w:val="center"/>
                    <w:rPr>
                      <w:color w:val="auto"/>
                      <w:szCs w:val="21"/>
                      <w:highlight w:val="none"/>
                    </w:rPr>
                  </w:pPr>
                  <w:r>
                    <w:rPr>
                      <w:color w:val="auto"/>
                      <w:szCs w:val="21"/>
                      <w:highlight w:val="none"/>
                    </w:rPr>
                    <w:t>频率范围</w:t>
                  </w:r>
                </w:p>
              </w:tc>
              <w:tc>
                <w:tcPr>
                  <w:tcW w:w="871" w:type="pct"/>
                  <w:noWrap w:val="0"/>
                  <w:vAlign w:val="center"/>
                </w:tcPr>
                <w:p>
                  <w:pPr>
                    <w:adjustRightInd w:val="0"/>
                    <w:snapToGrid w:val="0"/>
                    <w:spacing w:before="48" w:beforeLines="20"/>
                    <w:jc w:val="center"/>
                    <w:rPr>
                      <w:color w:val="auto"/>
                      <w:szCs w:val="21"/>
                      <w:highlight w:val="none"/>
                    </w:rPr>
                  </w:pPr>
                  <w:r>
                    <w:rPr>
                      <w:color w:val="auto"/>
                      <w:szCs w:val="21"/>
                      <w:highlight w:val="none"/>
                    </w:rPr>
                    <w:t>电场强度E（V/m)</w:t>
                  </w:r>
                </w:p>
              </w:tc>
              <w:tc>
                <w:tcPr>
                  <w:tcW w:w="800" w:type="pct"/>
                  <w:noWrap w:val="0"/>
                  <w:vAlign w:val="center"/>
                </w:tcPr>
                <w:p>
                  <w:pPr>
                    <w:adjustRightInd w:val="0"/>
                    <w:snapToGrid w:val="0"/>
                    <w:spacing w:before="48" w:beforeLines="20"/>
                    <w:jc w:val="center"/>
                    <w:rPr>
                      <w:color w:val="auto"/>
                      <w:szCs w:val="21"/>
                      <w:highlight w:val="none"/>
                    </w:rPr>
                  </w:pPr>
                  <w:r>
                    <w:rPr>
                      <w:color w:val="auto"/>
                      <w:szCs w:val="21"/>
                      <w:highlight w:val="none"/>
                    </w:rPr>
                    <w:t>磁场强度H（A/m）</w:t>
                  </w:r>
                </w:p>
              </w:tc>
              <w:tc>
                <w:tcPr>
                  <w:tcW w:w="885" w:type="pct"/>
                  <w:noWrap w:val="0"/>
                  <w:vAlign w:val="center"/>
                </w:tcPr>
                <w:p>
                  <w:pPr>
                    <w:adjustRightInd w:val="0"/>
                    <w:snapToGrid w:val="0"/>
                    <w:spacing w:before="48" w:beforeLines="20"/>
                    <w:jc w:val="center"/>
                    <w:rPr>
                      <w:color w:val="auto"/>
                      <w:szCs w:val="21"/>
                      <w:highlight w:val="none"/>
                    </w:rPr>
                  </w:pPr>
                  <w:r>
                    <w:rPr>
                      <w:color w:val="auto"/>
                      <w:szCs w:val="21"/>
                      <w:highlight w:val="none"/>
                    </w:rPr>
                    <w:t>磁感应强度</w:t>
                  </w:r>
                </w:p>
                <w:p>
                  <w:pPr>
                    <w:adjustRightInd w:val="0"/>
                    <w:snapToGrid w:val="0"/>
                    <w:spacing w:before="48" w:beforeLines="20"/>
                    <w:jc w:val="center"/>
                    <w:rPr>
                      <w:color w:val="auto"/>
                      <w:szCs w:val="21"/>
                      <w:highlight w:val="none"/>
                    </w:rPr>
                  </w:pPr>
                  <w:r>
                    <w:rPr>
                      <w:color w:val="auto"/>
                      <w:szCs w:val="21"/>
                      <w:highlight w:val="none"/>
                    </w:rPr>
                    <w:t>B</w:t>
                  </w:r>
                  <w:r>
                    <w:rPr>
                      <w:color w:val="auto"/>
                      <w:kern w:val="0"/>
                      <w:szCs w:val="21"/>
                      <w:highlight w:val="none"/>
                    </w:rPr>
                    <w:t>（</w:t>
                  </w:r>
                  <w:r>
                    <w:rPr>
                      <w:rFonts w:eastAsia="TimesNewRomanPS-BoldMT"/>
                      <w:bCs/>
                      <w:color w:val="auto"/>
                      <w:kern w:val="0"/>
                      <w:szCs w:val="21"/>
                      <w:highlight w:val="none"/>
                    </w:rPr>
                    <w:t>μT</w:t>
                  </w:r>
                  <w:r>
                    <w:rPr>
                      <w:color w:val="auto"/>
                      <w:kern w:val="0"/>
                      <w:szCs w:val="21"/>
                      <w:highlight w:val="none"/>
                    </w:rPr>
                    <w:t>）</w:t>
                  </w:r>
                </w:p>
              </w:tc>
              <w:tc>
                <w:tcPr>
                  <w:tcW w:w="1115" w:type="pct"/>
                  <w:tcBorders>
                    <w:right w:val="nil"/>
                  </w:tcBorders>
                  <w:noWrap w:val="0"/>
                  <w:vAlign w:val="center"/>
                </w:tcPr>
                <w:p>
                  <w:pPr>
                    <w:autoSpaceDE w:val="0"/>
                    <w:autoSpaceDN w:val="0"/>
                    <w:adjustRightInd w:val="0"/>
                    <w:jc w:val="left"/>
                    <w:rPr>
                      <w:color w:val="auto"/>
                      <w:kern w:val="0"/>
                      <w:szCs w:val="21"/>
                      <w:highlight w:val="none"/>
                    </w:rPr>
                  </w:pPr>
                  <w:r>
                    <w:rPr>
                      <w:color w:val="auto"/>
                      <w:kern w:val="0"/>
                      <w:szCs w:val="21"/>
                      <w:highlight w:val="none"/>
                    </w:rPr>
                    <w:t>等效平面波功率密度</w:t>
                  </w:r>
                  <w:r>
                    <w:rPr>
                      <w:rFonts w:eastAsia="TimesNewRomanPS-BoldMT"/>
                      <w:bCs/>
                      <w:color w:val="auto"/>
                      <w:kern w:val="0"/>
                      <w:szCs w:val="21"/>
                      <w:highlight w:val="none"/>
                    </w:rPr>
                    <w:t>S</w:t>
                  </w:r>
                  <w:r>
                    <w:rPr>
                      <w:rFonts w:eastAsia="TimesNewRomanPS-BoldMT"/>
                      <w:bCs/>
                      <w:color w:val="auto"/>
                      <w:kern w:val="0"/>
                      <w:sz w:val="14"/>
                      <w:szCs w:val="14"/>
                      <w:highlight w:val="none"/>
                    </w:rPr>
                    <w:t>eq</w:t>
                  </w:r>
                  <w:r>
                    <w:rPr>
                      <w:color w:val="auto"/>
                      <w:kern w:val="0"/>
                      <w:szCs w:val="21"/>
                      <w:highlight w:val="none"/>
                    </w:rPr>
                    <w:t>（</w:t>
                  </w:r>
                  <w:r>
                    <w:rPr>
                      <w:rFonts w:eastAsia="TimesNewRomanPS-BoldMT"/>
                      <w:bCs/>
                      <w:color w:val="auto"/>
                      <w:kern w:val="0"/>
                      <w:szCs w:val="21"/>
                      <w:highlight w:val="none"/>
                    </w:rPr>
                    <w:t>W/m</w:t>
                  </w:r>
                  <w:r>
                    <w:rPr>
                      <w:rFonts w:eastAsia="TimesNewRomanPS-BoldMT"/>
                      <w:bCs/>
                      <w:color w:val="auto"/>
                      <w:kern w:val="0"/>
                      <w:sz w:val="14"/>
                      <w:szCs w:val="14"/>
                      <w:highlight w:val="none"/>
                      <w:vertAlign w:val="superscript"/>
                    </w:rPr>
                    <w:t>2</w:t>
                  </w:r>
                  <w:r>
                    <w:rPr>
                      <w:color w:val="auto"/>
                      <w:kern w:val="0"/>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2" w:hRule="atLeast"/>
              </w:trPr>
              <w:tc>
                <w:tcPr>
                  <w:tcW w:w="1327" w:type="pct"/>
                  <w:tcBorders>
                    <w:left w:val="nil"/>
                  </w:tcBorders>
                  <w:noWrap w:val="0"/>
                  <w:vAlign w:val="center"/>
                </w:tcPr>
                <w:p>
                  <w:pPr>
                    <w:adjustRightInd w:val="0"/>
                    <w:snapToGrid w:val="0"/>
                    <w:spacing w:before="48" w:beforeLines="2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0.025kHz～1.2kHz</w:t>
                  </w:r>
                </w:p>
              </w:tc>
              <w:tc>
                <w:tcPr>
                  <w:tcW w:w="871" w:type="pct"/>
                  <w:noWrap w:val="0"/>
                  <w:vAlign w:val="center"/>
                </w:tcPr>
                <w:p>
                  <w:pPr>
                    <w:adjustRightInd w:val="0"/>
                    <w:snapToGrid w:val="0"/>
                    <w:spacing w:before="48" w:beforeLines="2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200/f</w:t>
                  </w:r>
                </w:p>
              </w:tc>
              <w:tc>
                <w:tcPr>
                  <w:tcW w:w="800" w:type="pct"/>
                  <w:noWrap w:val="0"/>
                  <w:vAlign w:val="center"/>
                </w:tcPr>
                <w:p>
                  <w:pPr>
                    <w:adjustRightInd w:val="0"/>
                    <w:snapToGrid w:val="0"/>
                    <w:spacing w:before="48" w:beforeLines="2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4/f</w:t>
                  </w:r>
                </w:p>
              </w:tc>
              <w:tc>
                <w:tcPr>
                  <w:tcW w:w="885" w:type="pct"/>
                  <w:noWrap w:val="0"/>
                  <w:vAlign w:val="center"/>
                </w:tcPr>
                <w:p>
                  <w:pPr>
                    <w:adjustRightInd w:val="0"/>
                    <w:snapToGrid w:val="0"/>
                    <w:spacing w:before="48" w:beforeLines="2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5/f</w:t>
                  </w:r>
                </w:p>
              </w:tc>
              <w:tc>
                <w:tcPr>
                  <w:tcW w:w="1115" w:type="pct"/>
                  <w:tcBorders>
                    <w:right w:val="nil"/>
                  </w:tcBorders>
                  <w:noWrap w:val="0"/>
                  <w:vAlign w:val="center"/>
                </w:tcPr>
                <w:p>
                  <w:pPr>
                    <w:adjustRightInd w:val="0"/>
                    <w:snapToGrid w:val="0"/>
                    <w:spacing w:before="48" w:beforeLines="2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2" w:hRule="atLeast"/>
              </w:trPr>
              <w:tc>
                <w:tcPr>
                  <w:tcW w:w="5000" w:type="pct"/>
                  <w:gridSpan w:val="5"/>
                  <w:tcBorders>
                    <w:left w:val="nil"/>
                    <w:right w:val="nil"/>
                  </w:tcBorders>
                  <w:noWrap w:val="0"/>
                  <w:vAlign w:val="center"/>
                </w:tcPr>
                <w:p>
                  <w:pPr>
                    <w:adjustRightInd w:val="0"/>
                    <w:snapToGrid w:val="0"/>
                    <w:spacing w:before="48" w:beforeLines="20"/>
                    <w:jc w:val="left"/>
                    <w:rPr>
                      <w:rFonts w:hint="default" w:ascii="Times New Roman" w:hAnsi="Times New Roman" w:cs="Times New Roman"/>
                      <w:color w:val="auto"/>
                      <w:szCs w:val="21"/>
                      <w:highlight w:val="none"/>
                    </w:rPr>
                  </w:pPr>
                  <w:r>
                    <w:rPr>
                      <w:rFonts w:hint="eastAsia"/>
                      <w:color w:val="auto"/>
                      <w:kern w:val="0"/>
                      <w:szCs w:val="21"/>
                      <w:highlight w:val="none"/>
                    </w:rPr>
                    <w:t>注：</w:t>
                  </w:r>
                  <w:r>
                    <w:rPr>
                      <w:rFonts w:hint="eastAsia"/>
                      <w:color w:val="auto"/>
                      <w:kern w:val="0"/>
                      <w:szCs w:val="21"/>
                      <w:highlight w:val="none"/>
                      <w:lang w:val="en-US" w:eastAsia="zh-CN"/>
                    </w:rPr>
                    <w:t>架空输电线路线下的耕地、园地、牧草地、畜禽饲养地、养殖水面、道路等场所，其频率50Hz的电场强度控制限值为10kV/m，且应给出警示和防护指示标志。</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输变电工程的工作频率为0.05kHz，因此，本项目工频电场强度执行4000V/m的公众暴露控制限值的要求，工频磁感应强度执行100μT的公众暴露控制限值的要求。</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、大气环境质量标准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评价区域大气环境质量执行《环境空气质量标准》(GB3095-2012)二级浓度限值。</w:t>
            </w:r>
          </w:p>
          <w:p>
            <w:pPr>
              <w:spacing w:line="240" w:lineRule="auto"/>
              <w:ind w:firstLine="211" w:firstLineChars="100"/>
              <w:contextualSpacing/>
              <w:jc w:val="center"/>
              <w:rPr>
                <w:rFonts w:hint="eastAsia" w:ascii="Times New Roman" w:hAnsi="Times New Roman" w:eastAsia="宋体" w:cs="Times New Roman"/>
                <w:b/>
                <w:color w:val="000000"/>
                <w:sz w:val="21"/>
                <w:szCs w:val="21"/>
                <w:lang w:val="en-US" w:eastAsia="zh-CN"/>
              </w:rPr>
            </w:pPr>
            <w:r>
              <w:rPr>
                <w:rFonts w:hint="eastAsia" w:ascii="Times New Roman" w:hAnsi="Times New Roman" w:eastAsia="宋体" w:cs="Times New Roman"/>
                <w:b/>
                <w:color w:val="000000"/>
                <w:sz w:val="21"/>
                <w:szCs w:val="21"/>
                <w:lang w:val="en-US" w:eastAsia="zh-CN"/>
              </w:rPr>
              <w:t>表3-</w:t>
            </w:r>
            <w:r>
              <w:rPr>
                <w:rFonts w:hint="eastAsia" w:cs="Times New Roman"/>
                <w:b/>
                <w:color w:val="000000"/>
                <w:sz w:val="21"/>
                <w:szCs w:val="21"/>
                <w:lang w:val="en-US" w:eastAsia="zh-CN"/>
              </w:rPr>
              <w:t>8</w:t>
            </w:r>
            <w:r>
              <w:rPr>
                <w:rFonts w:hint="eastAsia" w:ascii="Times New Roman" w:hAnsi="Times New Roman" w:eastAsia="宋体" w:cs="Times New Roman"/>
                <w:b/>
                <w:color w:val="000000"/>
                <w:sz w:val="21"/>
                <w:szCs w:val="21"/>
                <w:lang w:val="en-US" w:eastAsia="zh-CN"/>
              </w:rPr>
              <w:t xml:space="preserve">  环境空气质量评价标准（单位：mg/m</w:t>
            </w:r>
            <w:r>
              <w:rPr>
                <w:rFonts w:hint="eastAsia" w:ascii="Times New Roman" w:hAnsi="Times New Roman" w:eastAsia="宋体" w:cs="Times New Roman"/>
                <w:b/>
                <w:color w:val="000000"/>
                <w:sz w:val="21"/>
                <w:szCs w:val="21"/>
                <w:vertAlign w:val="superscript"/>
                <w:lang w:val="en-US" w:eastAsia="zh-CN"/>
              </w:rPr>
              <w:t>3</w:t>
            </w:r>
            <w:r>
              <w:rPr>
                <w:rFonts w:hint="eastAsia" w:ascii="Times New Roman" w:hAnsi="Times New Roman" w:eastAsia="宋体" w:cs="Times New Roman"/>
                <w:b/>
                <w:color w:val="000000"/>
                <w:sz w:val="21"/>
                <w:szCs w:val="21"/>
                <w:lang w:val="en-US" w:eastAsia="zh-CN"/>
              </w:rPr>
              <w:t>）</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61"/>
              <w:gridCol w:w="1838"/>
              <w:gridCol w:w="1943"/>
              <w:gridCol w:w="1786"/>
              <w:gridCol w:w="14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9" w:type="pct"/>
                  <w:vMerge w:val="restar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污染物</w:t>
                  </w:r>
                </w:p>
              </w:tc>
              <w:tc>
                <w:tcPr>
                  <w:tcW w:w="4320" w:type="pct"/>
                  <w:gridSpan w:val="4"/>
                  <w:tcBorders>
                    <w:bottom w:val="single" w:color="auto" w:sz="4" w:space="0"/>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环境质量标准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9" w:type="pct"/>
                  <w:vMerge w:val="continue"/>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p>
              </w:tc>
              <w:tc>
                <w:tcPr>
                  <w:tcW w:w="1071" w:type="pct"/>
                  <w:tcBorders>
                    <w:top w:val="single" w:color="auto" w:sz="4" w:space="0"/>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标准来源</w:t>
                  </w:r>
                </w:p>
              </w:tc>
              <w:tc>
                <w:tcPr>
                  <w:tcW w:w="3248" w:type="pct"/>
                  <w:gridSpan w:val="3"/>
                  <w:tcBorders>
                    <w:top w:val="single" w:color="auto" w:sz="4" w:space="0"/>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浓度限值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9"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u w:val="none"/>
                      <w:lang w:val="en-US" w:eastAsia="zh-CN"/>
                    </w:rPr>
                    <w:t>SO</w:t>
                  </w:r>
                  <w:r>
                    <w:rPr>
                      <w:rFonts w:hint="default" w:ascii="Times New Roman" w:hAnsi="Times New Roman" w:eastAsia="宋体" w:cs="Times New Roman"/>
                      <w:color w:val="auto"/>
                      <w:spacing w:val="0"/>
                      <w:w w:val="100"/>
                      <w:position w:val="0"/>
                      <w:sz w:val="21"/>
                      <w:szCs w:val="21"/>
                      <w:highlight w:val="none"/>
                      <w:u w:val="none"/>
                      <w:vertAlign w:val="subscript"/>
                      <w:lang w:val="en-US" w:eastAsia="zh-CN"/>
                    </w:rPr>
                    <w:t>2</w:t>
                  </w:r>
                </w:p>
              </w:tc>
              <w:tc>
                <w:tcPr>
                  <w:tcW w:w="1071" w:type="pct"/>
                  <w:vMerge w:val="restar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val="en-US" w:eastAsia="zh-CN"/>
                    </w:rPr>
                    <w:t>《环境空气质量标准》（GB3095-2012）表1中二级标准</w:t>
                  </w:r>
                </w:p>
              </w:tc>
              <w:tc>
                <w:tcPr>
                  <w:tcW w:w="1227"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小时平均：500</w:t>
                  </w:r>
                </w:p>
              </w:tc>
              <w:tc>
                <w:tcPr>
                  <w:tcW w:w="1129"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日平均：150</w:t>
                  </w:r>
                </w:p>
              </w:tc>
              <w:tc>
                <w:tcPr>
                  <w:tcW w:w="892"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9"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u w:val="none"/>
                      <w:lang w:val="en-US" w:eastAsia="zh-CN"/>
                    </w:rPr>
                    <w:t>NO</w:t>
                  </w:r>
                  <w:r>
                    <w:rPr>
                      <w:rFonts w:hint="default" w:ascii="Times New Roman" w:hAnsi="Times New Roman" w:eastAsia="宋体" w:cs="Times New Roman"/>
                      <w:color w:val="auto"/>
                      <w:spacing w:val="0"/>
                      <w:w w:val="100"/>
                      <w:position w:val="0"/>
                      <w:sz w:val="21"/>
                      <w:szCs w:val="21"/>
                      <w:highlight w:val="none"/>
                      <w:u w:val="none"/>
                      <w:vertAlign w:val="subscript"/>
                      <w:lang w:val="en-US" w:eastAsia="zh-CN"/>
                    </w:rPr>
                    <w:t>2</w:t>
                  </w:r>
                </w:p>
              </w:tc>
              <w:tc>
                <w:tcPr>
                  <w:tcW w:w="1071" w:type="pct"/>
                  <w:vMerge w:val="continue"/>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p>
              </w:tc>
              <w:tc>
                <w:tcPr>
                  <w:tcW w:w="1227"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小时平均：200</w:t>
                  </w:r>
                </w:p>
              </w:tc>
              <w:tc>
                <w:tcPr>
                  <w:tcW w:w="1129"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rPr>
                  </w:pPr>
                  <w:r>
                    <w:rPr>
                      <w:rFonts w:hint="default" w:ascii="Times New Roman" w:hAnsi="Times New Roman" w:eastAsia="宋体" w:cs="Times New Roman"/>
                      <w:color w:val="auto"/>
                      <w:spacing w:val="0"/>
                      <w:w w:val="100"/>
                      <w:position w:val="0"/>
                      <w:sz w:val="21"/>
                      <w:szCs w:val="21"/>
                      <w:highlight w:val="none"/>
                      <w:lang w:val="en-US" w:eastAsia="zh-CN"/>
                    </w:rPr>
                    <w:t>日平均：80</w:t>
                  </w:r>
                </w:p>
              </w:tc>
              <w:tc>
                <w:tcPr>
                  <w:tcW w:w="892"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年平均：40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9"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u w:val="none"/>
                      <w:lang w:val="en-US" w:eastAsia="zh-CN"/>
                    </w:rPr>
                    <w:t>CO</w:t>
                  </w:r>
                </w:p>
              </w:tc>
              <w:tc>
                <w:tcPr>
                  <w:tcW w:w="1071" w:type="pct"/>
                  <w:vMerge w:val="continue"/>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p>
              </w:tc>
              <w:tc>
                <w:tcPr>
                  <w:tcW w:w="1227"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小时平均：10000</w:t>
                  </w:r>
                </w:p>
              </w:tc>
              <w:tc>
                <w:tcPr>
                  <w:tcW w:w="1129"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rPr>
                  </w:pPr>
                  <w:r>
                    <w:rPr>
                      <w:rFonts w:hint="default" w:ascii="Times New Roman" w:hAnsi="Times New Roman" w:eastAsia="宋体" w:cs="Times New Roman"/>
                      <w:color w:val="auto"/>
                      <w:spacing w:val="0"/>
                      <w:w w:val="100"/>
                      <w:position w:val="0"/>
                      <w:sz w:val="21"/>
                      <w:szCs w:val="21"/>
                      <w:highlight w:val="none"/>
                      <w:lang w:val="en-US" w:eastAsia="zh-CN"/>
                    </w:rPr>
                    <w:t>日平均：4000</w:t>
                  </w:r>
                </w:p>
              </w:tc>
              <w:tc>
                <w:tcPr>
                  <w:tcW w:w="892"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9"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u w:val="none"/>
                      <w:lang w:val="en-US" w:eastAsia="zh-CN"/>
                    </w:rPr>
                    <w:t>O</w:t>
                  </w:r>
                  <w:r>
                    <w:rPr>
                      <w:rFonts w:hint="default" w:ascii="Times New Roman" w:hAnsi="Times New Roman" w:eastAsia="宋体" w:cs="Times New Roman"/>
                      <w:color w:val="auto"/>
                      <w:spacing w:val="0"/>
                      <w:w w:val="100"/>
                      <w:position w:val="0"/>
                      <w:sz w:val="21"/>
                      <w:szCs w:val="21"/>
                      <w:highlight w:val="none"/>
                      <w:u w:val="none"/>
                      <w:vertAlign w:val="subscript"/>
                      <w:lang w:val="en-US" w:eastAsia="zh-CN"/>
                    </w:rPr>
                    <w:t>3</w:t>
                  </w:r>
                </w:p>
              </w:tc>
              <w:tc>
                <w:tcPr>
                  <w:tcW w:w="1071" w:type="pct"/>
                  <w:vMerge w:val="continue"/>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p>
              </w:tc>
              <w:tc>
                <w:tcPr>
                  <w:tcW w:w="1227"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小时平均：200</w:t>
                  </w:r>
                </w:p>
              </w:tc>
              <w:tc>
                <w:tcPr>
                  <w:tcW w:w="1129"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rPr>
                  </w:pPr>
                  <w:r>
                    <w:rPr>
                      <w:rFonts w:hint="default" w:ascii="Times New Roman" w:hAnsi="Times New Roman" w:eastAsia="宋体" w:cs="Times New Roman"/>
                      <w:color w:val="auto"/>
                      <w:spacing w:val="0"/>
                      <w:w w:val="100"/>
                      <w:position w:val="0"/>
                      <w:sz w:val="21"/>
                      <w:szCs w:val="21"/>
                      <w:highlight w:val="none"/>
                      <w:lang w:val="en-US" w:eastAsia="zh-CN"/>
                    </w:rPr>
                    <w:t>8小时平均：160</w:t>
                  </w:r>
                </w:p>
              </w:tc>
              <w:tc>
                <w:tcPr>
                  <w:tcW w:w="892"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9"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u w:val="none"/>
                      <w:lang w:val="en-US" w:eastAsia="zh-CN"/>
                    </w:rPr>
                    <w:t>PM</w:t>
                  </w:r>
                  <w:r>
                    <w:rPr>
                      <w:rFonts w:hint="default" w:ascii="Times New Roman" w:hAnsi="Times New Roman" w:eastAsia="宋体" w:cs="Times New Roman"/>
                      <w:color w:val="auto"/>
                      <w:spacing w:val="0"/>
                      <w:w w:val="100"/>
                      <w:position w:val="0"/>
                      <w:sz w:val="21"/>
                      <w:szCs w:val="21"/>
                      <w:highlight w:val="none"/>
                      <w:u w:val="none"/>
                      <w:vertAlign w:val="subscript"/>
                      <w:lang w:val="en-US" w:eastAsia="zh-CN"/>
                    </w:rPr>
                    <w:t>10</w:t>
                  </w:r>
                </w:p>
              </w:tc>
              <w:tc>
                <w:tcPr>
                  <w:tcW w:w="1071" w:type="pct"/>
                  <w:vMerge w:val="continue"/>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p>
              </w:tc>
              <w:tc>
                <w:tcPr>
                  <w:tcW w:w="1227"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129"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rPr>
                  </w:pPr>
                  <w:r>
                    <w:rPr>
                      <w:rFonts w:hint="default" w:ascii="Times New Roman" w:hAnsi="Times New Roman" w:eastAsia="宋体" w:cs="Times New Roman"/>
                      <w:color w:val="auto"/>
                      <w:spacing w:val="0"/>
                      <w:w w:val="100"/>
                      <w:position w:val="0"/>
                      <w:sz w:val="21"/>
                      <w:szCs w:val="21"/>
                      <w:highlight w:val="none"/>
                      <w:lang w:val="en-US" w:eastAsia="zh-CN"/>
                    </w:rPr>
                    <w:t>日平均：150</w:t>
                  </w:r>
                </w:p>
              </w:tc>
              <w:tc>
                <w:tcPr>
                  <w:tcW w:w="892"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年平均：70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9"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PM</w:t>
                  </w:r>
                  <w:r>
                    <w:rPr>
                      <w:rFonts w:hint="default" w:ascii="Times New Roman" w:hAnsi="Times New Roman" w:eastAsia="宋体" w:cs="Times New Roman"/>
                      <w:color w:val="auto"/>
                      <w:spacing w:val="0"/>
                      <w:w w:val="100"/>
                      <w:position w:val="0"/>
                      <w:sz w:val="21"/>
                      <w:szCs w:val="21"/>
                      <w:highlight w:val="none"/>
                      <w:vertAlign w:val="subscript"/>
                    </w:rPr>
                    <w:t>2.5</w:t>
                  </w:r>
                </w:p>
              </w:tc>
              <w:tc>
                <w:tcPr>
                  <w:tcW w:w="1071" w:type="pct"/>
                  <w:vMerge w:val="continue"/>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rPr>
                  </w:pPr>
                </w:p>
              </w:tc>
              <w:tc>
                <w:tcPr>
                  <w:tcW w:w="1227" w:type="pct"/>
                  <w:tcBorders>
                    <w:tl2br w:val="nil"/>
                    <w:tr2bl w:val="nil"/>
                  </w:tcBorders>
                  <w:vAlign w:val="center"/>
                </w:tcPr>
                <w:p>
                  <w:pPr>
                    <w:pStyle w:val="50"/>
                    <w:tabs>
                      <w:tab w:val="center" w:pos="4153"/>
                      <w:tab w:val="right" w:pos="8306"/>
                    </w:tabs>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129"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rPr>
                  </w:pPr>
                  <w:r>
                    <w:rPr>
                      <w:rFonts w:hint="default" w:ascii="Times New Roman" w:hAnsi="Times New Roman" w:eastAsia="宋体" w:cs="Times New Roman"/>
                      <w:color w:val="auto"/>
                      <w:spacing w:val="0"/>
                      <w:w w:val="100"/>
                      <w:position w:val="0"/>
                      <w:sz w:val="21"/>
                      <w:szCs w:val="21"/>
                      <w:highlight w:val="none"/>
                      <w:lang w:val="en-US" w:eastAsia="zh-CN"/>
                    </w:rPr>
                    <w:t>日平均：75</w:t>
                  </w:r>
                </w:p>
              </w:tc>
              <w:tc>
                <w:tcPr>
                  <w:tcW w:w="892" w:type="pct"/>
                  <w:tcBorders>
                    <w:tl2br w:val="nil"/>
                    <w:tr2bl w:val="nil"/>
                  </w:tcBorders>
                  <w:vAlign w:val="center"/>
                </w:tcPr>
                <w:p>
                  <w:pPr>
                    <w:snapToGrid w:val="0"/>
                    <w:spacing w:beforeLines="0" w:afterLines="0"/>
                    <w:ind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年平均：35</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kern w:val="21"/>
                <w:sz w:val="24"/>
                <w:szCs w:val="24"/>
                <w:lang w:val="en-US" w:eastAsia="zh-CN"/>
              </w:rPr>
            </w:pPr>
            <w:r>
              <w:rPr>
                <w:rFonts w:hint="default" w:ascii="Times New Roman" w:hAnsi="Times New Roman" w:eastAsia="宋体" w:cs="Times New Roman"/>
                <w:b/>
                <w:bCs/>
                <w:color w:val="000000"/>
                <w:kern w:val="21"/>
                <w:sz w:val="24"/>
                <w:szCs w:val="24"/>
                <w:lang w:val="en-US" w:eastAsia="zh-CN"/>
              </w:rPr>
              <w:t>二、污染物排放标准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1</w:t>
            </w: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声环境</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FF0000"/>
                <w:spacing w:val="0"/>
                <w:w w:val="100"/>
                <w:kern w:val="0"/>
                <w:position w:val="0"/>
                <w:sz w:val="24"/>
                <w:szCs w:val="24"/>
                <w:highlight w:val="none"/>
                <w:lang w:val="en-US" w:eastAsia="zh-CN"/>
              </w:rPr>
            </w:pPr>
            <w:r>
              <w:rPr>
                <w:rFonts w:hint="eastAsia" w:ascii="Times New Roman" w:hAnsi="Times New Roman" w:eastAsia="宋体" w:cs="Times New Roman"/>
                <w:color w:val="FF0000"/>
                <w:spacing w:val="0"/>
                <w:w w:val="100"/>
                <w:kern w:val="0"/>
                <w:position w:val="0"/>
                <w:sz w:val="24"/>
                <w:szCs w:val="24"/>
                <w:highlight w:val="none"/>
                <w:lang w:val="en-US" w:eastAsia="zh-CN"/>
              </w:rPr>
              <w:t>施工期执行</w:t>
            </w:r>
            <w:r>
              <w:rPr>
                <w:rFonts w:hint="default" w:ascii="Times New Roman" w:hAnsi="Times New Roman" w:eastAsia="宋体" w:cs="Times New Roman"/>
                <w:color w:val="FF0000"/>
                <w:spacing w:val="0"/>
                <w:w w:val="100"/>
                <w:kern w:val="0"/>
                <w:position w:val="0"/>
                <w:sz w:val="24"/>
                <w:szCs w:val="24"/>
                <w:highlight w:val="none"/>
                <w:lang w:val="en-US" w:eastAsia="zh-CN"/>
              </w:rPr>
              <w:t>《建筑施工噪声排放标准》（GB12523-20</w:t>
            </w:r>
            <w:r>
              <w:rPr>
                <w:rFonts w:hint="eastAsia" w:cs="Times New Roman"/>
                <w:color w:val="FF0000"/>
                <w:spacing w:val="0"/>
                <w:w w:val="100"/>
                <w:kern w:val="0"/>
                <w:position w:val="0"/>
                <w:sz w:val="24"/>
                <w:szCs w:val="24"/>
                <w:highlight w:val="none"/>
                <w:lang w:val="en-US" w:eastAsia="zh-CN"/>
              </w:rPr>
              <w:t>25</w:t>
            </w:r>
            <w:r>
              <w:rPr>
                <w:rFonts w:hint="default" w:ascii="Times New Roman" w:hAnsi="Times New Roman" w:eastAsia="宋体" w:cs="Times New Roman"/>
                <w:color w:val="FF0000"/>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color w:val="FF0000"/>
                <w:spacing w:val="0"/>
                <w:w w:val="100"/>
                <w:kern w:val="0"/>
                <w:position w:val="0"/>
                <w:sz w:val="24"/>
                <w:szCs w:val="24"/>
                <w:highlight w:val="none"/>
                <w:lang w:val="en-US" w:eastAsia="zh-CN"/>
              </w:rPr>
              <w:t>运营期</w:t>
            </w:r>
            <w:r>
              <w:rPr>
                <w:rFonts w:hint="eastAsia" w:ascii="Times New Roman" w:hAnsi="Times New Roman" w:eastAsia="宋体" w:cs="Times New Roman"/>
                <w:color w:val="FF0000"/>
                <w:spacing w:val="0"/>
                <w:w w:val="100"/>
                <w:kern w:val="0"/>
                <w:position w:val="0"/>
                <w:sz w:val="24"/>
                <w:szCs w:val="24"/>
                <w:highlight w:val="none"/>
                <w:lang w:val="en-US" w:eastAsia="zh-CN"/>
              </w:rPr>
              <w:t>变电站</w:t>
            </w:r>
            <w:r>
              <w:rPr>
                <w:rFonts w:hint="default" w:ascii="Times New Roman" w:hAnsi="Times New Roman" w:eastAsia="宋体" w:cs="Times New Roman"/>
                <w:color w:val="FF0000"/>
                <w:spacing w:val="0"/>
                <w:w w:val="100"/>
                <w:kern w:val="0"/>
                <w:position w:val="0"/>
                <w:sz w:val="24"/>
                <w:szCs w:val="24"/>
                <w:highlight w:val="none"/>
                <w:lang w:val="en-US" w:eastAsia="zh-CN"/>
              </w:rPr>
              <w:t>站界声环境执行《工业企业厂界环境噪声排放标准》</w:t>
            </w:r>
            <w:r>
              <w:rPr>
                <w:rFonts w:hint="eastAsia" w:ascii="Times New Roman" w:hAnsi="Times New Roman" w:eastAsia="宋体" w:cs="Times New Roman"/>
                <w:color w:val="FF0000"/>
                <w:spacing w:val="0"/>
                <w:w w:val="100"/>
                <w:kern w:val="0"/>
                <w:position w:val="0"/>
                <w:sz w:val="24"/>
                <w:szCs w:val="24"/>
                <w:highlight w:val="none"/>
                <w:lang w:val="en-US" w:eastAsia="zh-CN"/>
              </w:rPr>
              <w:t>（</w:t>
            </w:r>
            <w:r>
              <w:rPr>
                <w:rFonts w:hint="default" w:ascii="Times New Roman" w:hAnsi="Times New Roman" w:eastAsia="宋体" w:cs="Times New Roman"/>
                <w:color w:val="FF0000"/>
                <w:spacing w:val="0"/>
                <w:w w:val="100"/>
                <w:kern w:val="0"/>
                <w:position w:val="0"/>
                <w:sz w:val="24"/>
                <w:szCs w:val="24"/>
                <w:highlight w:val="none"/>
                <w:lang w:val="en-US" w:eastAsia="zh-CN"/>
              </w:rPr>
              <w:t>GB12348-2008</w:t>
            </w:r>
            <w:r>
              <w:rPr>
                <w:rFonts w:hint="eastAsia" w:ascii="Times New Roman" w:hAnsi="Times New Roman" w:eastAsia="宋体" w:cs="Times New Roman"/>
                <w:color w:val="FF0000"/>
                <w:spacing w:val="0"/>
                <w:w w:val="100"/>
                <w:kern w:val="0"/>
                <w:position w:val="0"/>
                <w:sz w:val="24"/>
                <w:szCs w:val="24"/>
                <w:highlight w:val="none"/>
                <w:lang w:val="en-US" w:eastAsia="zh-CN"/>
              </w:rPr>
              <w:t>）</w:t>
            </w:r>
            <w:r>
              <w:rPr>
                <w:rFonts w:hint="default" w:ascii="Times New Roman" w:hAnsi="Times New Roman" w:eastAsia="宋体" w:cs="Times New Roman"/>
                <w:color w:val="FF0000"/>
                <w:spacing w:val="0"/>
                <w:w w:val="100"/>
                <w:kern w:val="0"/>
                <w:position w:val="0"/>
                <w:sz w:val="24"/>
                <w:szCs w:val="24"/>
                <w:highlight w:val="none"/>
                <w:lang w:val="en-US" w:eastAsia="zh-CN"/>
              </w:rPr>
              <w:t>表1中</w:t>
            </w:r>
            <w:r>
              <w:rPr>
                <w:rFonts w:hint="eastAsia" w:cs="Times New Roman"/>
                <w:color w:val="FF0000"/>
                <w:spacing w:val="0"/>
                <w:w w:val="100"/>
                <w:kern w:val="0"/>
                <w:position w:val="0"/>
                <w:sz w:val="24"/>
                <w:szCs w:val="24"/>
                <w:highlight w:val="none"/>
                <w:lang w:val="en-US" w:eastAsia="zh-CN"/>
              </w:rPr>
              <w:t>2</w:t>
            </w:r>
            <w:r>
              <w:rPr>
                <w:rFonts w:hint="eastAsia" w:ascii="Times New Roman" w:hAnsi="Times New Roman" w:eastAsia="宋体" w:cs="Times New Roman"/>
                <w:color w:val="FF0000"/>
                <w:spacing w:val="0"/>
                <w:w w:val="100"/>
                <w:kern w:val="0"/>
                <w:position w:val="0"/>
                <w:sz w:val="24"/>
                <w:szCs w:val="24"/>
                <w:highlight w:val="none"/>
                <w:lang w:val="en-US" w:eastAsia="zh-CN"/>
              </w:rPr>
              <w:t>类</w:t>
            </w:r>
            <w:r>
              <w:rPr>
                <w:rFonts w:hint="default" w:ascii="Times New Roman" w:hAnsi="Times New Roman" w:eastAsia="宋体" w:cs="Times New Roman"/>
                <w:color w:val="FF0000"/>
                <w:spacing w:val="0"/>
                <w:w w:val="100"/>
                <w:kern w:val="0"/>
                <w:position w:val="0"/>
                <w:sz w:val="24"/>
                <w:szCs w:val="24"/>
                <w:highlight w:val="none"/>
                <w:lang w:val="en-US" w:eastAsia="zh-CN"/>
              </w:rPr>
              <w:t>标准。</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rFonts w:hint="eastAsia" w:ascii="Times New Roman" w:hAnsi="Times New Roman" w:eastAsia="宋体" w:cs="Times New Roman"/>
                <w:color w:val="FF0000"/>
                <w:kern w:val="21"/>
                <w:sz w:val="21"/>
                <w:szCs w:val="21"/>
                <w:lang w:eastAsia="zh-CN"/>
              </w:rPr>
            </w:pPr>
            <w:r>
              <w:rPr>
                <w:rFonts w:hint="default" w:ascii="Times New Roman" w:hAnsi="Times New Roman" w:cs="Times New Roman"/>
                <w:b/>
                <w:bCs/>
                <w:color w:val="FF0000"/>
                <w:kern w:val="21"/>
                <w:sz w:val="21"/>
                <w:szCs w:val="21"/>
              </w:rPr>
              <w:t>表</w:t>
            </w:r>
            <w:r>
              <w:rPr>
                <w:rFonts w:hint="default" w:ascii="Times New Roman" w:hAnsi="Times New Roman" w:cs="Times New Roman"/>
                <w:b/>
                <w:bCs/>
                <w:color w:val="FF0000"/>
                <w:kern w:val="21"/>
                <w:sz w:val="21"/>
                <w:szCs w:val="21"/>
                <w:lang w:val="en-US" w:eastAsia="zh-CN"/>
              </w:rPr>
              <w:t>3-</w:t>
            </w:r>
            <w:r>
              <w:rPr>
                <w:rFonts w:hint="eastAsia" w:cs="Times New Roman"/>
                <w:b/>
                <w:bCs/>
                <w:color w:val="FF0000"/>
                <w:kern w:val="21"/>
                <w:sz w:val="21"/>
                <w:szCs w:val="21"/>
                <w:lang w:val="en-US" w:eastAsia="zh-CN"/>
              </w:rPr>
              <w:t>9</w:t>
            </w:r>
            <w:r>
              <w:rPr>
                <w:rFonts w:hint="eastAsia" w:ascii="Times New Roman" w:hAnsi="Times New Roman" w:cs="Times New Roman"/>
                <w:b/>
                <w:bCs/>
                <w:color w:val="FF0000"/>
                <w:kern w:val="21"/>
                <w:sz w:val="21"/>
                <w:szCs w:val="21"/>
                <w:lang w:val="en-US" w:eastAsia="zh-CN"/>
              </w:rPr>
              <w:t xml:space="preserve"> </w:t>
            </w:r>
            <w:r>
              <w:rPr>
                <w:rFonts w:hint="default" w:ascii="Times New Roman" w:hAnsi="Times New Roman" w:cs="Times New Roman"/>
                <w:b/>
                <w:bCs/>
                <w:color w:val="FF0000"/>
                <w:kern w:val="21"/>
                <w:sz w:val="21"/>
                <w:szCs w:val="21"/>
              </w:rPr>
              <w:t xml:space="preserve"> </w:t>
            </w:r>
            <w:r>
              <w:rPr>
                <w:rFonts w:hint="default" w:ascii="Times New Roman" w:hAnsi="Times New Roman" w:cs="Times New Roman"/>
                <w:b/>
                <w:bCs/>
                <w:color w:val="FF0000"/>
                <w:kern w:val="21"/>
                <w:sz w:val="21"/>
                <w:szCs w:val="21"/>
                <w:lang w:val="en-US" w:eastAsia="zh-CN"/>
              </w:rPr>
              <w:t>建筑施工噪声排放</w:t>
            </w:r>
            <w:r>
              <w:rPr>
                <w:rFonts w:hint="default" w:ascii="Times New Roman" w:hAnsi="Times New Roman" w:cs="Times New Roman"/>
                <w:b/>
                <w:bCs/>
                <w:color w:val="FF0000"/>
                <w:kern w:val="21"/>
                <w:sz w:val="21"/>
                <w:szCs w:val="21"/>
              </w:rPr>
              <w:t>限</w:t>
            </w:r>
            <w:r>
              <w:rPr>
                <w:rFonts w:hint="default" w:ascii="Times New Roman" w:hAnsi="Times New Roman" w:eastAsia="宋体" w:cs="Times New Roman"/>
                <w:b/>
                <w:bCs/>
                <w:color w:val="FF0000"/>
                <w:kern w:val="21"/>
                <w:sz w:val="21"/>
                <w:szCs w:val="21"/>
              </w:rPr>
              <w:t>值（GB12523-20</w:t>
            </w:r>
            <w:r>
              <w:rPr>
                <w:rFonts w:hint="eastAsia" w:cs="Times New Roman"/>
                <w:b/>
                <w:bCs/>
                <w:color w:val="FF0000"/>
                <w:kern w:val="21"/>
                <w:sz w:val="21"/>
                <w:szCs w:val="21"/>
                <w:lang w:val="en-US" w:eastAsia="zh-CN"/>
              </w:rPr>
              <w:t>25</w:t>
            </w:r>
            <w:r>
              <w:rPr>
                <w:rFonts w:hint="default" w:ascii="Times New Roman" w:hAnsi="Times New Roman" w:eastAsia="宋体" w:cs="Times New Roman"/>
                <w:b/>
                <w:bCs/>
                <w:color w:val="FF0000"/>
                <w:kern w:val="21"/>
                <w:sz w:val="21"/>
                <w:szCs w:val="21"/>
              </w:rPr>
              <w:t>）</w:t>
            </w:r>
            <w:r>
              <w:rPr>
                <w:rFonts w:hint="default" w:ascii="Times New Roman" w:hAnsi="Times New Roman" w:cs="Times New Roman"/>
                <w:b/>
                <w:bCs/>
                <w:color w:val="FF0000"/>
                <w:kern w:val="21"/>
                <w:sz w:val="21"/>
                <w:szCs w:val="21"/>
              </w:rPr>
              <w:t xml:space="preserve">    单位：dB</w:t>
            </w:r>
            <w:r>
              <w:rPr>
                <w:rFonts w:hint="eastAsia" w:ascii="Times New Roman" w:hAnsi="Times New Roman" w:cs="Times New Roman"/>
                <w:b/>
                <w:bCs/>
                <w:color w:val="FF0000"/>
                <w:kern w:val="21"/>
                <w:sz w:val="21"/>
                <w:szCs w:val="21"/>
                <w:lang w:val="en-US" w:eastAsia="zh-CN"/>
              </w:rPr>
              <w:t>(</w:t>
            </w:r>
            <w:r>
              <w:rPr>
                <w:rFonts w:hint="default" w:ascii="Times New Roman" w:hAnsi="Times New Roman" w:cs="Times New Roman"/>
                <w:b/>
                <w:bCs/>
                <w:color w:val="FF0000"/>
                <w:kern w:val="21"/>
                <w:sz w:val="21"/>
                <w:szCs w:val="21"/>
              </w:rPr>
              <w:t>A</w:t>
            </w:r>
            <w:r>
              <w:rPr>
                <w:rFonts w:hint="eastAsia" w:ascii="Times New Roman" w:hAnsi="Times New Roman" w:cs="Times New Roman"/>
                <w:b/>
                <w:bCs/>
                <w:color w:val="FF0000"/>
                <w:kern w:val="21"/>
                <w:sz w:val="21"/>
                <w:szCs w:val="21"/>
                <w:lang w:val="en-US" w:eastAsia="zh-CN"/>
              </w:rPr>
              <w:t>)</w:t>
            </w:r>
          </w:p>
          <w:tbl>
            <w:tblPr>
              <w:tblStyle w:val="2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04"/>
              <w:gridCol w:w="2003"/>
              <w:gridCol w:w="21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4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eastAsia" w:ascii="Times New Roman" w:hAnsi="Times New Roman" w:eastAsia="宋体" w:cs="Times New Roman"/>
                      <w:color w:val="FF0000"/>
                      <w:kern w:val="21"/>
                      <w:sz w:val="21"/>
                      <w:szCs w:val="21"/>
                      <w:lang w:val="en-US" w:eastAsia="zh-CN"/>
                    </w:rPr>
                  </w:pPr>
                  <w:r>
                    <w:rPr>
                      <w:rFonts w:hint="eastAsia" w:ascii="Times New Roman" w:hAnsi="Times New Roman" w:cs="Times New Roman"/>
                      <w:color w:val="FF0000"/>
                      <w:kern w:val="21"/>
                      <w:sz w:val="21"/>
                      <w:szCs w:val="21"/>
                      <w:lang w:val="en-US" w:eastAsia="zh-CN"/>
                    </w:rPr>
                    <w:t>标准</w:t>
                  </w:r>
                </w:p>
              </w:tc>
              <w:tc>
                <w:tcPr>
                  <w:tcW w:w="2570"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eastAsia" w:ascii="Times New Roman" w:hAnsi="Times New Roman" w:eastAsia="宋体" w:cs="Times New Roman"/>
                      <w:color w:val="FF0000"/>
                      <w:kern w:val="21"/>
                      <w:sz w:val="21"/>
                      <w:szCs w:val="21"/>
                      <w:lang w:val="en-US" w:eastAsia="zh-CN"/>
                    </w:rPr>
                  </w:pPr>
                  <w:r>
                    <w:rPr>
                      <w:rFonts w:hint="eastAsia" w:ascii="Times New Roman" w:hAnsi="Times New Roman" w:cs="Times New Roman"/>
                      <w:color w:val="FF0000"/>
                      <w:kern w:val="21"/>
                      <w:sz w:val="21"/>
                      <w:szCs w:val="21"/>
                      <w:lang w:val="en-US" w:eastAsia="zh-CN"/>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42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eastAsia" w:ascii="Times New Roman" w:hAnsi="Times New Roman" w:eastAsia="宋体" w:cs="Times New Roman"/>
                      <w:color w:val="FF0000"/>
                      <w:kern w:val="21"/>
                      <w:sz w:val="21"/>
                      <w:szCs w:val="21"/>
                      <w:lang w:val="en-US" w:eastAsia="zh-CN"/>
                    </w:rPr>
                  </w:pPr>
                  <w:r>
                    <w:rPr>
                      <w:rFonts w:hint="eastAsia" w:ascii="Times New Roman" w:hAnsi="Times New Roman" w:cs="Times New Roman"/>
                      <w:color w:val="FF0000"/>
                      <w:kern w:val="21"/>
                      <w:sz w:val="21"/>
                      <w:szCs w:val="21"/>
                      <w:lang w:val="en-US" w:eastAsia="zh-CN"/>
                    </w:rPr>
                    <w:t>《建筑施工噪声排放标准》（GB12523-20</w:t>
                  </w:r>
                  <w:r>
                    <w:rPr>
                      <w:rFonts w:hint="eastAsia" w:cs="Times New Roman"/>
                      <w:color w:val="FF0000"/>
                      <w:kern w:val="21"/>
                      <w:sz w:val="21"/>
                      <w:szCs w:val="21"/>
                      <w:lang w:val="en-US" w:eastAsia="zh-CN"/>
                    </w:rPr>
                    <w:t>25</w:t>
                  </w:r>
                  <w:r>
                    <w:rPr>
                      <w:rFonts w:hint="eastAsia" w:ascii="Times New Roman" w:hAnsi="Times New Roman" w:cs="Times New Roman"/>
                      <w:color w:val="FF0000"/>
                      <w:kern w:val="21"/>
                      <w:sz w:val="21"/>
                      <w:szCs w:val="21"/>
                      <w:lang w:val="en-US" w:eastAsia="zh-CN"/>
                    </w:rPr>
                    <w:t>）</w:t>
                  </w:r>
                </w:p>
              </w:tc>
              <w:tc>
                <w:tcPr>
                  <w:tcW w:w="12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cs="Times New Roman"/>
                      <w:color w:val="FF0000"/>
                      <w:kern w:val="21"/>
                      <w:sz w:val="21"/>
                      <w:szCs w:val="21"/>
                      <w:lang w:val="en-US" w:eastAsia="zh-CN" w:bidi="ar-SA"/>
                    </w:rPr>
                  </w:pPr>
                  <w:r>
                    <w:rPr>
                      <w:rFonts w:hint="default" w:ascii="Times New Roman" w:hAnsi="Times New Roman" w:cs="Times New Roman"/>
                      <w:color w:val="FF0000"/>
                      <w:kern w:val="21"/>
                      <w:sz w:val="21"/>
                      <w:szCs w:val="21"/>
                    </w:rPr>
                    <w:t>昼间</w:t>
                  </w:r>
                </w:p>
              </w:tc>
              <w:tc>
                <w:tcPr>
                  <w:tcW w:w="13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cs="Times New Roman"/>
                      <w:color w:val="FF0000"/>
                      <w:kern w:val="21"/>
                      <w:sz w:val="21"/>
                      <w:szCs w:val="21"/>
                      <w:lang w:val="en-US" w:eastAsia="zh-CN" w:bidi="ar-SA"/>
                    </w:rPr>
                  </w:pPr>
                  <w:r>
                    <w:rPr>
                      <w:rFonts w:hint="default" w:ascii="Times New Roman" w:hAnsi="Times New Roman" w:cs="Times New Roman"/>
                      <w:color w:val="FF0000"/>
                      <w:kern w:val="21"/>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42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cs="Times New Roman"/>
                      <w:color w:val="FF0000"/>
                      <w:kern w:val="21"/>
                      <w:sz w:val="21"/>
                      <w:szCs w:val="21"/>
                    </w:rPr>
                  </w:pPr>
                </w:p>
              </w:tc>
              <w:tc>
                <w:tcPr>
                  <w:tcW w:w="12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cs="Times New Roman"/>
                      <w:color w:val="FF0000"/>
                      <w:kern w:val="21"/>
                      <w:sz w:val="21"/>
                      <w:szCs w:val="21"/>
                      <w:lang w:val="en-US" w:eastAsia="zh-CN" w:bidi="ar-SA"/>
                    </w:rPr>
                  </w:pPr>
                  <w:r>
                    <w:rPr>
                      <w:rFonts w:hint="default" w:ascii="Times New Roman" w:hAnsi="Times New Roman" w:cs="Times New Roman"/>
                      <w:color w:val="FF0000"/>
                      <w:kern w:val="21"/>
                      <w:sz w:val="21"/>
                      <w:szCs w:val="21"/>
                    </w:rPr>
                    <w:t>70</w:t>
                  </w:r>
                </w:p>
              </w:tc>
              <w:tc>
                <w:tcPr>
                  <w:tcW w:w="13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cs="Times New Roman"/>
                      <w:color w:val="FF0000"/>
                      <w:kern w:val="21"/>
                      <w:sz w:val="21"/>
                      <w:szCs w:val="21"/>
                      <w:lang w:val="en-US" w:eastAsia="zh-CN" w:bidi="ar-SA"/>
                    </w:rPr>
                  </w:pPr>
                  <w:r>
                    <w:rPr>
                      <w:rFonts w:hint="default" w:ascii="Times New Roman" w:hAnsi="Times New Roman" w:cs="Times New Roman"/>
                      <w:color w:val="FF0000"/>
                      <w:kern w:val="21"/>
                      <w:sz w:val="21"/>
                      <w:szCs w:val="21"/>
                    </w:rPr>
                    <w:t>55</w:t>
                  </w:r>
                </w:p>
              </w:tc>
            </w:tr>
          </w:tbl>
          <w:p>
            <w:pPr>
              <w:keepNext w:val="0"/>
              <w:keepLines w:val="0"/>
              <w:pageBreakBefore w:val="0"/>
              <w:widowControl w:val="0"/>
              <w:kinsoku/>
              <w:wordWrap/>
              <w:overflowPunct/>
              <w:topLinePunct w:val="0"/>
              <w:autoSpaceDE/>
              <w:autoSpaceDN/>
              <w:bidi w:val="0"/>
              <w:adjustRightInd/>
              <w:snapToGrid/>
              <w:spacing w:line="240" w:lineRule="auto"/>
              <w:ind w:firstLine="422" w:firstLineChars="200"/>
              <w:contextualSpacing/>
              <w:jc w:val="center"/>
              <w:textAlignment w:val="auto"/>
              <w:rPr>
                <w:rFonts w:hint="default" w:ascii="Times New Roman" w:hAnsi="Times New Roman" w:cs="Times New Roman"/>
                <w:b/>
                <w:bCs/>
                <w:color w:val="000000"/>
                <w:kern w:val="21"/>
                <w:sz w:val="21"/>
                <w:szCs w:val="21"/>
              </w:rPr>
            </w:pPr>
            <w:r>
              <w:rPr>
                <w:rFonts w:hint="default" w:ascii="Times New Roman" w:hAnsi="Times New Roman" w:cs="Times New Roman"/>
                <w:b/>
                <w:bCs/>
                <w:color w:val="000000"/>
                <w:kern w:val="21"/>
                <w:sz w:val="21"/>
                <w:szCs w:val="21"/>
              </w:rPr>
              <w:t>表</w:t>
            </w:r>
            <w:r>
              <w:rPr>
                <w:rFonts w:hint="default" w:ascii="Times New Roman" w:hAnsi="Times New Roman" w:cs="Times New Roman"/>
                <w:b/>
                <w:bCs/>
                <w:color w:val="000000"/>
                <w:kern w:val="21"/>
                <w:sz w:val="21"/>
                <w:szCs w:val="21"/>
                <w:lang w:val="en-US" w:eastAsia="zh-CN"/>
              </w:rPr>
              <w:t>3-</w:t>
            </w:r>
            <w:r>
              <w:rPr>
                <w:rFonts w:hint="eastAsia" w:cs="Times New Roman"/>
                <w:b/>
                <w:bCs/>
                <w:color w:val="000000"/>
                <w:kern w:val="21"/>
                <w:sz w:val="21"/>
                <w:szCs w:val="21"/>
                <w:lang w:val="en-US" w:eastAsia="zh-CN"/>
              </w:rPr>
              <w:t>10</w:t>
            </w:r>
            <w:r>
              <w:rPr>
                <w:rFonts w:hint="default" w:ascii="Times New Roman" w:hAnsi="Times New Roman" w:cs="Times New Roman"/>
                <w:b/>
                <w:bCs/>
                <w:color w:val="000000"/>
                <w:kern w:val="21"/>
                <w:sz w:val="21"/>
                <w:szCs w:val="21"/>
              </w:rPr>
              <w:t xml:space="preserve">  工业企业厂界环境噪声排放限值（GB12348-2008）   单位：dB（A）</w:t>
            </w:r>
          </w:p>
          <w:tbl>
            <w:tblPr>
              <w:tblStyle w:val="2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04"/>
              <w:gridCol w:w="2003"/>
              <w:gridCol w:w="21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4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eastAsia" w:ascii="Times New Roman" w:hAnsi="Times New Roman" w:eastAsia="宋体" w:cs="Times New Roman"/>
                      <w:color w:val="FF0000"/>
                      <w:kern w:val="21"/>
                      <w:sz w:val="21"/>
                      <w:szCs w:val="21"/>
                      <w:lang w:val="en-US" w:eastAsia="zh-CN"/>
                    </w:rPr>
                  </w:pPr>
                  <w:r>
                    <w:rPr>
                      <w:rFonts w:hint="eastAsia" w:ascii="Times New Roman" w:hAnsi="Times New Roman" w:cs="Times New Roman"/>
                      <w:color w:val="FF0000"/>
                      <w:kern w:val="21"/>
                      <w:sz w:val="21"/>
                      <w:szCs w:val="21"/>
                      <w:lang w:val="en-US" w:eastAsia="zh-CN"/>
                    </w:rPr>
                    <w:t>标准</w:t>
                  </w:r>
                </w:p>
              </w:tc>
              <w:tc>
                <w:tcPr>
                  <w:tcW w:w="2570"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eastAsia" w:ascii="Times New Roman" w:hAnsi="Times New Roman" w:eastAsia="宋体" w:cs="Times New Roman"/>
                      <w:color w:val="FF0000"/>
                      <w:kern w:val="21"/>
                      <w:sz w:val="21"/>
                      <w:szCs w:val="21"/>
                      <w:lang w:val="en-US" w:eastAsia="zh-CN"/>
                    </w:rPr>
                  </w:pPr>
                  <w:r>
                    <w:rPr>
                      <w:rFonts w:hint="eastAsia" w:ascii="Times New Roman" w:hAnsi="Times New Roman" w:cs="Times New Roman"/>
                      <w:color w:val="FF0000"/>
                      <w:kern w:val="21"/>
                      <w:sz w:val="21"/>
                      <w:szCs w:val="21"/>
                      <w:lang w:val="en-US" w:eastAsia="zh-CN"/>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42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eastAsia" w:ascii="Times New Roman" w:hAnsi="Times New Roman" w:eastAsia="宋体" w:cs="Times New Roman"/>
                      <w:color w:val="FF0000"/>
                      <w:kern w:val="21"/>
                      <w:sz w:val="21"/>
                      <w:szCs w:val="21"/>
                      <w:lang w:val="en-US" w:eastAsia="zh-CN"/>
                    </w:rPr>
                  </w:pPr>
                  <w:r>
                    <w:rPr>
                      <w:rFonts w:hint="eastAsia" w:ascii="Times New Roman" w:hAnsi="Times New Roman" w:cs="Times New Roman"/>
                      <w:color w:val="FF0000"/>
                      <w:kern w:val="21"/>
                      <w:sz w:val="21"/>
                      <w:szCs w:val="21"/>
                      <w:lang w:val="en-US" w:eastAsia="zh-CN"/>
                    </w:rPr>
                    <w:t>《工业企业厂界环境噪声排放限值》（GB12348-2008）</w:t>
                  </w:r>
                </w:p>
              </w:tc>
              <w:tc>
                <w:tcPr>
                  <w:tcW w:w="12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cs="Times New Roman"/>
                      <w:color w:val="FF0000"/>
                      <w:kern w:val="21"/>
                      <w:sz w:val="21"/>
                      <w:szCs w:val="21"/>
                      <w:lang w:val="en-US" w:eastAsia="zh-CN" w:bidi="ar-SA"/>
                    </w:rPr>
                  </w:pPr>
                  <w:r>
                    <w:rPr>
                      <w:rFonts w:hint="default" w:ascii="Times New Roman" w:hAnsi="Times New Roman" w:cs="Times New Roman"/>
                      <w:color w:val="FF0000"/>
                      <w:kern w:val="21"/>
                      <w:sz w:val="21"/>
                      <w:szCs w:val="21"/>
                    </w:rPr>
                    <w:t>昼间</w:t>
                  </w:r>
                </w:p>
              </w:tc>
              <w:tc>
                <w:tcPr>
                  <w:tcW w:w="13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cs="Times New Roman"/>
                      <w:color w:val="FF0000"/>
                      <w:kern w:val="21"/>
                      <w:sz w:val="21"/>
                      <w:szCs w:val="21"/>
                      <w:lang w:val="en-US" w:eastAsia="zh-CN" w:bidi="ar-SA"/>
                    </w:rPr>
                  </w:pPr>
                  <w:r>
                    <w:rPr>
                      <w:rFonts w:hint="default" w:ascii="Times New Roman" w:hAnsi="Times New Roman" w:cs="Times New Roman"/>
                      <w:color w:val="FF0000"/>
                      <w:kern w:val="21"/>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42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cs="Times New Roman"/>
                      <w:color w:val="FF0000"/>
                      <w:kern w:val="21"/>
                      <w:sz w:val="21"/>
                      <w:szCs w:val="21"/>
                    </w:rPr>
                  </w:pPr>
                </w:p>
              </w:tc>
              <w:tc>
                <w:tcPr>
                  <w:tcW w:w="12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FF0000"/>
                      <w:kern w:val="21"/>
                      <w:sz w:val="21"/>
                      <w:szCs w:val="21"/>
                      <w:lang w:val="en-US" w:eastAsia="zh-CN" w:bidi="ar-SA"/>
                    </w:rPr>
                  </w:pPr>
                  <w:r>
                    <w:rPr>
                      <w:rFonts w:hint="eastAsia" w:cs="Times New Roman"/>
                      <w:color w:val="FF0000"/>
                      <w:kern w:val="21"/>
                      <w:sz w:val="21"/>
                      <w:szCs w:val="21"/>
                      <w:lang w:val="en-US" w:eastAsia="zh-CN"/>
                    </w:rPr>
                    <w:t>60</w:t>
                  </w:r>
                </w:p>
              </w:tc>
              <w:tc>
                <w:tcPr>
                  <w:tcW w:w="13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FF0000"/>
                      <w:kern w:val="21"/>
                      <w:sz w:val="21"/>
                      <w:szCs w:val="21"/>
                      <w:lang w:val="en-US" w:eastAsia="zh-CN" w:bidi="ar-SA"/>
                    </w:rPr>
                  </w:pPr>
                  <w:r>
                    <w:rPr>
                      <w:rFonts w:hint="eastAsia" w:cs="Times New Roman"/>
                      <w:color w:val="FF0000"/>
                      <w:kern w:val="21"/>
                      <w:sz w:val="21"/>
                      <w:szCs w:val="21"/>
                      <w:lang w:val="en-US" w:eastAsia="zh-CN" w:bidi="ar-SA"/>
                    </w:rPr>
                    <w:t>50</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2、大气环境</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施工期颗粒物</w:t>
            </w:r>
            <w:r>
              <w:rPr>
                <w:rFonts w:hint="eastAsia" w:ascii="Times New Roman" w:hAnsi="Times New Roman" w:eastAsia="宋体" w:cs="Times New Roman"/>
                <w:spacing w:val="0"/>
                <w:w w:val="100"/>
                <w:kern w:val="0"/>
                <w:position w:val="0"/>
                <w:sz w:val="24"/>
                <w:szCs w:val="24"/>
                <w:highlight w:val="none"/>
                <w:lang w:val="en-US" w:eastAsia="zh-CN"/>
              </w:rPr>
              <w:t>、二氧化硫、氮氧化物和非甲烷总烃</w:t>
            </w:r>
            <w:r>
              <w:rPr>
                <w:rFonts w:hint="default" w:ascii="Times New Roman" w:hAnsi="Times New Roman" w:eastAsia="宋体" w:cs="Times New Roman"/>
                <w:spacing w:val="0"/>
                <w:w w:val="100"/>
                <w:kern w:val="0"/>
                <w:position w:val="0"/>
                <w:sz w:val="24"/>
                <w:szCs w:val="24"/>
                <w:highlight w:val="none"/>
                <w:lang w:val="en-US" w:eastAsia="zh-CN"/>
              </w:rPr>
              <w:t>执行《大气污染物综合排放标准》（GB16297-1996）表2中污染物无组织排放监控浓度限值。</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contextualSpacing/>
              <w:jc w:val="center"/>
              <w:textAlignment w:val="auto"/>
              <w:rPr>
                <w:rFonts w:hint="default" w:ascii="Times New Roman" w:hAnsi="Times New Roman" w:cs="Times New Roman"/>
                <w:b/>
                <w:color w:val="000000"/>
                <w:kern w:val="21"/>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contextualSpacing/>
              <w:jc w:val="center"/>
              <w:textAlignment w:val="auto"/>
              <w:rPr>
                <w:rFonts w:hint="default" w:ascii="Times New Roman" w:hAnsi="Times New Roman" w:cs="Times New Roman"/>
                <w:b/>
                <w:color w:val="000000"/>
                <w:kern w:val="21"/>
                <w:sz w:val="21"/>
                <w:szCs w:val="21"/>
                <w:vertAlign w:val="superscript"/>
              </w:rPr>
            </w:pPr>
            <w:r>
              <w:rPr>
                <w:rFonts w:hint="default" w:ascii="Times New Roman" w:hAnsi="Times New Roman" w:cs="Times New Roman"/>
                <w:b/>
                <w:color w:val="000000"/>
                <w:kern w:val="21"/>
                <w:sz w:val="21"/>
                <w:szCs w:val="21"/>
              </w:rPr>
              <w:t>表</w:t>
            </w:r>
            <w:r>
              <w:rPr>
                <w:rFonts w:hint="default" w:ascii="Times New Roman" w:hAnsi="Times New Roman" w:cs="Times New Roman"/>
                <w:b/>
                <w:color w:val="000000"/>
                <w:kern w:val="21"/>
                <w:sz w:val="21"/>
                <w:szCs w:val="21"/>
                <w:lang w:val="en-US" w:eastAsia="zh-CN"/>
              </w:rPr>
              <w:t>3-</w:t>
            </w:r>
            <w:r>
              <w:rPr>
                <w:rFonts w:hint="eastAsia" w:ascii="Times New Roman" w:hAnsi="Times New Roman" w:cs="Times New Roman"/>
                <w:b/>
                <w:color w:val="000000"/>
                <w:kern w:val="21"/>
                <w:sz w:val="21"/>
                <w:szCs w:val="21"/>
                <w:lang w:val="en-US" w:eastAsia="zh-CN"/>
              </w:rPr>
              <w:t>1</w:t>
            </w:r>
            <w:r>
              <w:rPr>
                <w:rFonts w:hint="eastAsia" w:cs="Times New Roman"/>
                <w:b/>
                <w:color w:val="000000"/>
                <w:kern w:val="21"/>
                <w:sz w:val="21"/>
                <w:szCs w:val="21"/>
                <w:lang w:val="en-US" w:eastAsia="zh-CN"/>
              </w:rPr>
              <w:t>1</w:t>
            </w:r>
            <w:r>
              <w:rPr>
                <w:rFonts w:hint="eastAsia" w:ascii="Times New Roman" w:hAnsi="Times New Roman" w:cs="Times New Roman"/>
                <w:b/>
                <w:color w:val="000000"/>
                <w:kern w:val="21"/>
                <w:sz w:val="21"/>
                <w:szCs w:val="21"/>
                <w:lang w:val="en-US" w:eastAsia="zh-CN"/>
              </w:rPr>
              <w:t xml:space="preserve"> </w:t>
            </w:r>
            <w:r>
              <w:rPr>
                <w:rFonts w:hint="default" w:ascii="Times New Roman" w:hAnsi="Times New Roman" w:cs="Times New Roman"/>
                <w:b/>
                <w:color w:val="000000"/>
                <w:kern w:val="21"/>
                <w:sz w:val="21"/>
                <w:szCs w:val="21"/>
              </w:rPr>
              <w:t xml:space="preserve"> 新污染源大气污染物排放限值</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2"/>
              <w:gridCol w:w="2807"/>
              <w:gridCol w:w="1919"/>
              <w:gridCol w:w="18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r>
                    <w:rPr>
                      <w:rFonts w:hint="default" w:ascii="Times New Roman" w:hAnsi="Times New Roman" w:cs="Times New Roman"/>
                      <w:color w:val="000000"/>
                      <w:kern w:val="21"/>
                      <w:sz w:val="21"/>
                      <w:szCs w:val="21"/>
                    </w:rPr>
                    <w:t>污染物</w:t>
                  </w:r>
                </w:p>
              </w:tc>
              <w:tc>
                <w:tcPr>
                  <w:tcW w:w="174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r>
                    <w:rPr>
                      <w:rFonts w:hint="default" w:ascii="Times New Roman" w:hAnsi="Times New Roman" w:cs="Times New Roman"/>
                      <w:color w:val="000000"/>
                      <w:kern w:val="21"/>
                      <w:sz w:val="21"/>
                      <w:szCs w:val="21"/>
                    </w:rPr>
                    <w:t>最高允许排放浓度mg/m</w:t>
                  </w:r>
                  <w:r>
                    <w:rPr>
                      <w:rFonts w:hint="default" w:ascii="Times New Roman" w:hAnsi="Times New Roman" w:cs="Times New Roman"/>
                      <w:color w:val="000000"/>
                      <w:kern w:val="21"/>
                      <w:sz w:val="21"/>
                      <w:szCs w:val="21"/>
                      <w:vertAlign w:val="superscript"/>
                    </w:rPr>
                    <w:t>3</w:t>
                  </w:r>
                </w:p>
              </w:tc>
              <w:tc>
                <w:tcPr>
                  <w:tcW w:w="233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r>
                    <w:rPr>
                      <w:rFonts w:hint="default" w:ascii="Times New Roman" w:hAnsi="Times New Roman" w:cs="Times New Roman"/>
                      <w:color w:val="000000"/>
                      <w:kern w:val="21"/>
                      <w:sz w:val="21"/>
                      <w:szCs w:val="21"/>
                    </w:rPr>
                    <w:t>无组织放浓度监控限值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color w:val="000000"/>
                      <w:kern w:val="21"/>
                      <w:sz w:val="21"/>
                      <w:szCs w:val="21"/>
                    </w:rPr>
                  </w:pPr>
                </w:p>
              </w:tc>
              <w:tc>
                <w:tcPr>
                  <w:tcW w:w="174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color w:val="000000"/>
                      <w:kern w:val="21"/>
                      <w:sz w:val="21"/>
                      <w:szCs w:val="21"/>
                    </w:rPr>
                  </w:pPr>
                </w:p>
              </w:tc>
              <w:tc>
                <w:tcPr>
                  <w:tcW w:w="11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r>
                    <w:rPr>
                      <w:rFonts w:hint="default" w:ascii="Times New Roman" w:hAnsi="Times New Roman" w:cs="Times New Roman"/>
                      <w:color w:val="000000"/>
                      <w:kern w:val="21"/>
                      <w:sz w:val="21"/>
                      <w:szCs w:val="21"/>
                    </w:rPr>
                    <w:t>监控点</w:t>
                  </w:r>
                </w:p>
              </w:tc>
              <w:tc>
                <w:tcPr>
                  <w:tcW w:w="11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r>
                    <w:rPr>
                      <w:rFonts w:hint="default" w:ascii="Times New Roman" w:hAnsi="Times New Roman" w:cs="Times New Roman"/>
                      <w:color w:val="000000"/>
                      <w:kern w:val="21"/>
                      <w:sz w:val="21"/>
                      <w:szCs w:val="21"/>
                    </w:rPr>
                    <w:t>浓度mg/m</w:t>
                  </w:r>
                  <w:r>
                    <w:rPr>
                      <w:rFonts w:hint="default" w:ascii="Times New Roman" w:hAnsi="Times New Roman" w:cs="Times New Roman"/>
                      <w:color w:val="000000"/>
                      <w:kern w:val="21"/>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rPr>
                  </w:pPr>
                  <w:r>
                    <w:rPr>
                      <w:rFonts w:hint="default" w:ascii="Times New Roman" w:hAnsi="Times New Roman" w:eastAsia="宋体" w:cs="Times New Roman"/>
                      <w:color w:val="000000"/>
                      <w:kern w:val="21"/>
                      <w:sz w:val="21"/>
                      <w:szCs w:val="21"/>
                    </w:rPr>
                    <w:t>颗粒物</w:t>
                  </w:r>
                </w:p>
              </w:tc>
              <w:tc>
                <w:tcPr>
                  <w:tcW w:w="17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rPr>
                  </w:pPr>
                  <w:r>
                    <w:rPr>
                      <w:rFonts w:hint="default" w:ascii="Times New Roman" w:hAnsi="Times New Roman" w:eastAsia="宋体" w:cs="Times New Roman"/>
                      <w:color w:val="000000"/>
                      <w:kern w:val="21"/>
                      <w:sz w:val="21"/>
                      <w:szCs w:val="21"/>
                    </w:rPr>
                    <w:t>120</w:t>
                  </w:r>
                  <w:r>
                    <w:rPr>
                      <w:rFonts w:hint="eastAsia" w:ascii="Times New Roman" w:hAnsi="Times New Roman" w:eastAsia="宋体" w:cs="Times New Roman"/>
                      <w:color w:val="000000"/>
                      <w:kern w:val="21"/>
                      <w:sz w:val="21"/>
                      <w:szCs w:val="21"/>
                      <w:lang w:eastAsia="zh-CN"/>
                    </w:rPr>
                    <w:t>（</w:t>
                  </w:r>
                  <w:r>
                    <w:rPr>
                      <w:rFonts w:hint="default" w:ascii="Times New Roman" w:hAnsi="Times New Roman" w:eastAsia="宋体" w:cs="Times New Roman"/>
                      <w:color w:val="000000"/>
                      <w:kern w:val="21"/>
                      <w:sz w:val="21"/>
                      <w:szCs w:val="21"/>
                    </w:rPr>
                    <w:t>其它</w:t>
                  </w:r>
                  <w:r>
                    <w:rPr>
                      <w:rFonts w:hint="eastAsia" w:ascii="Times New Roman" w:hAnsi="Times New Roman" w:eastAsia="宋体" w:cs="Times New Roman"/>
                      <w:color w:val="000000"/>
                      <w:kern w:val="21"/>
                      <w:sz w:val="21"/>
                      <w:szCs w:val="21"/>
                      <w:lang w:eastAsia="zh-CN"/>
                    </w:rPr>
                    <w:t>）</w:t>
                  </w:r>
                </w:p>
              </w:tc>
              <w:tc>
                <w:tcPr>
                  <w:tcW w:w="119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r>
                    <w:rPr>
                      <w:rFonts w:hint="default" w:ascii="Times New Roman" w:hAnsi="Times New Roman" w:cs="Times New Roman"/>
                      <w:color w:val="000000"/>
                      <w:kern w:val="21"/>
                      <w:sz w:val="21"/>
                      <w:szCs w:val="21"/>
                    </w:rPr>
                    <w:t>周界外浓度最高点</w:t>
                  </w:r>
                </w:p>
              </w:tc>
              <w:tc>
                <w:tcPr>
                  <w:tcW w:w="11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r>
                    <w:rPr>
                      <w:rFonts w:hint="default" w:ascii="Times New Roman" w:hAnsi="Times New Roman" w:cs="Times New Roman"/>
                      <w:color w:val="000000"/>
                      <w:kern w:val="21"/>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lang w:val="en-US" w:eastAsia="zh-CN"/>
                    </w:rPr>
                  </w:pPr>
                  <w:r>
                    <w:rPr>
                      <w:rFonts w:hint="eastAsia" w:ascii="Times New Roman" w:hAnsi="Times New Roman" w:eastAsia="宋体" w:cs="Times New Roman"/>
                      <w:color w:val="000000"/>
                      <w:kern w:val="21"/>
                      <w:sz w:val="21"/>
                      <w:szCs w:val="21"/>
                      <w:lang w:val="en-US" w:eastAsia="zh-CN"/>
                    </w:rPr>
                    <w:t>氮氧化物</w:t>
                  </w:r>
                </w:p>
              </w:tc>
              <w:tc>
                <w:tcPr>
                  <w:tcW w:w="17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lang w:val="en-US" w:eastAsia="zh-CN"/>
                    </w:rPr>
                  </w:pPr>
                  <w:r>
                    <w:rPr>
                      <w:rFonts w:hint="eastAsia" w:ascii="Times New Roman" w:hAnsi="Times New Roman" w:eastAsia="宋体" w:cs="Times New Roman"/>
                      <w:color w:val="000000"/>
                      <w:kern w:val="21"/>
                      <w:sz w:val="21"/>
                      <w:szCs w:val="21"/>
                      <w:lang w:val="en-US" w:eastAsia="zh-CN"/>
                    </w:rPr>
                    <w:t>240</w:t>
                  </w:r>
                </w:p>
              </w:tc>
              <w:tc>
                <w:tcPr>
                  <w:tcW w:w="119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p>
              </w:tc>
              <w:tc>
                <w:tcPr>
                  <w:tcW w:w="11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lang w:val="en-US" w:eastAsia="zh-CN"/>
                    </w:rPr>
                  </w:pPr>
                  <w:r>
                    <w:rPr>
                      <w:rFonts w:hint="eastAsia" w:ascii="Times New Roman" w:hAnsi="Times New Roman" w:cs="Times New Roman"/>
                      <w:color w:val="000000"/>
                      <w:kern w:val="21"/>
                      <w:sz w:val="21"/>
                      <w:szCs w:val="21"/>
                      <w:lang w:val="en-US" w:eastAsia="zh-CN"/>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lang w:val="en-US" w:eastAsia="zh-CN"/>
                    </w:rPr>
                  </w:pPr>
                  <w:r>
                    <w:rPr>
                      <w:rFonts w:hint="eastAsia" w:ascii="Times New Roman" w:hAnsi="Times New Roman" w:eastAsia="宋体" w:cs="Times New Roman"/>
                      <w:color w:val="000000"/>
                      <w:kern w:val="21"/>
                      <w:sz w:val="21"/>
                      <w:szCs w:val="21"/>
                      <w:lang w:val="en-US" w:eastAsia="zh-CN"/>
                    </w:rPr>
                    <w:t>二氧化硫</w:t>
                  </w:r>
                </w:p>
              </w:tc>
              <w:tc>
                <w:tcPr>
                  <w:tcW w:w="17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lang w:val="en-US" w:eastAsia="zh-CN"/>
                    </w:rPr>
                  </w:pPr>
                  <w:r>
                    <w:rPr>
                      <w:rFonts w:hint="eastAsia" w:ascii="Times New Roman" w:hAnsi="Times New Roman" w:eastAsia="宋体" w:cs="Times New Roman"/>
                      <w:color w:val="000000"/>
                      <w:kern w:val="21"/>
                      <w:sz w:val="21"/>
                      <w:szCs w:val="21"/>
                      <w:lang w:val="en-US" w:eastAsia="zh-CN"/>
                    </w:rPr>
                    <w:t>550</w:t>
                  </w:r>
                </w:p>
              </w:tc>
              <w:tc>
                <w:tcPr>
                  <w:tcW w:w="119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p>
              </w:tc>
              <w:tc>
                <w:tcPr>
                  <w:tcW w:w="11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lang w:val="en-US" w:eastAsia="zh-CN"/>
                    </w:rPr>
                  </w:pPr>
                  <w:r>
                    <w:rPr>
                      <w:rFonts w:hint="eastAsia" w:ascii="Times New Roman" w:hAnsi="Times New Roman" w:cs="Times New Roman"/>
                      <w:color w:val="000000"/>
                      <w:kern w:val="21"/>
                      <w:sz w:val="21"/>
                      <w:szCs w:val="21"/>
                      <w:lang w:val="en-US" w:eastAsia="zh-CN"/>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lang w:val="en-US" w:eastAsia="zh-CN"/>
                    </w:rPr>
                  </w:pPr>
                  <w:r>
                    <w:rPr>
                      <w:rFonts w:hint="eastAsia" w:ascii="Times New Roman" w:hAnsi="Times New Roman" w:eastAsia="宋体" w:cs="Times New Roman"/>
                      <w:color w:val="000000"/>
                      <w:kern w:val="21"/>
                      <w:sz w:val="21"/>
                      <w:szCs w:val="21"/>
                      <w:lang w:val="en-US" w:eastAsia="zh-CN"/>
                    </w:rPr>
                    <w:t>非甲烷总烃</w:t>
                  </w:r>
                </w:p>
              </w:tc>
              <w:tc>
                <w:tcPr>
                  <w:tcW w:w="17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color w:val="000000"/>
                      <w:kern w:val="21"/>
                      <w:sz w:val="21"/>
                      <w:szCs w:val="21"/>
                      <w:lang w:val="en-US" w:eastAsia="zh-CN"/>
                    </w:rPr>
                  </w:pPr>
                  <w:r>
                    <w:rPr>
                      <w:rFonts w:hint="eastAsia" w:ascii="Times New Roman" w:hAnsi="Times New Roman" w:eastAsia="宋体" w:cs="Times New Roman"/>
                      <w:color w:val="000000"/>
                      <w:kern w:val="21"/>
                      <w:sz w:val="21"/>
                      <w:szCs w:val="21"/>
                      <w:lang w:val="en-US" w:eastAsia="zh-CN"/>
                    </w:rPr>
                    <w:t>120</w:t>
                  </w:r>
                </w:p>
              </w:tc>
              <w:tc>
                <w:tcPr>
                  <w:tcW w:w="119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rPr>
                  </w:pPr>
                </w:p>
              </w:tc>
              <w:tc>
                <w:tcPr>
                  <w:tcW w:w="11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cs="Times New Roman"/>
                      <w:color w:val="000000"/>
                      <w:kern w:val="21"/>
                      <w:sz w:val="21"/>
                      <w:szCs w:val="21"/>
                      <w:lang w:val="en-US" w:eastAsia="zh-CN"/>
                    </w:rPr>
                  </w:pPr>
                  <w:r>
                    <w:rPr>
                      <w:rFonts w:hint="eastAsia" w:ascii="Times New Roman" w:hAnsi="Times New Roman" w:cs="Times New Roman"/>
                      <w:color w:val="000000"/>
                      <w:kern w:val="21"/>
                      <w:sz w:val="21"/>
                      <w:szCs w:val="21"/>
                      <w:lang w:val="en-US" w:eastAsia="zh-CN"/>
                    </w:rPr>
                    <w:t>4.0</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、固体废物</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s="宋体"/>
                <w:kern w:val="0"/>
                <w:szCs w:val="21"/>
              </w:rPr>
            </w:pPr>
            <w:r>
              <w:rPr>
                <w:rFonts w:hint="default" w:ascii="Times New Roman" w:hAnsi="Times New Roman" w:eastAsia="宋体" w:cs="Times New Roman"/>
                <w:spacing w:val="0"/>
                <w:w w:val="100"/>
                <w:kern w:val="0"/>
                <w:position w:val="0"/>
                <w:sz w:val="24"/>
                <w:szCs w:val="24"/>
                <w:highlight w:val="none"/>
                <w:lang w:val="en-US" w:eastAsia="zh-CN"/>
              </w:rPr>
              <w:t>一般固体废物执行《一般工业固体废物贮存和填埋污染控制标准》（GB18599-2020）</w:t>
            </w:r>
            <w:r>
              <w:rPr>
                <w:rFonts w:hint="eastAsia" w:cs="Times New Roman"/>
                <w:color w:val="auto"/>
                <w:spacing w:val="0"/>
                <w:w w:val="100"/>
                <w:kern w:val="0"/>
                <w:position w:val="0"/>
                <w:sz w:val="24"/>
                <w:szCs w:val="24"/>
                <w:highlight w:val="none"/>
                <w:lang w:val="en-US" w:eastAsia="zh-CN"/>
              </w:rPr>
              <w:t>；危险废物贮存执行《危险废物贮存污染控制标准》（GB18597-2023）和《危险废物收集、贮存、运输技术规范》（HJ2025-2012）。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904" w:type="dxa"/>
            <w:noWrap w:val="0"/>
            <w:vAlign w:val="center"/>
          </w:tcPr>
          <w:p>
            <w:pPr>
              <w:adjustRightInd w:val="0"/>
              <w:snapToGrid w:val="0"/>
              <w:jc w:val="center"/>
              <w:rPr>
                <w:rFonts w:ascii="宋体" w:hAnsi="宋体" w:cs="宋体"/>
                <w:kern w:val="0"/>
                <w:sz w:val="24"/>
                <w:szCs w:val="24"/>
              </w:rPr>
            </w:pPr>
            <w:r>
              <w:rPr>
                <w:rFonts w:hint="eastAsia" w:ascii="宋体" w:hAnsi="宋体" w:cs="宋体"/>
                <w:kern w:val="0"/>
                <w:sz w:val="24"/>
                <w:szCs w:val="24"/>
              </w:rPr>
              <w:t>其他</w:t>
            </w:r>
          </w:p>
        </w:tc>
        <w:tc>
          <w:tcPr>
            <w:tcW w:w="825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s="宋体"/>
                <w:kern w:val="0"/>
                <w:szCs w:val="21"/>
              </w:rPr>
            </w:pPr>
            <w:r>
              <w:rPr>
                <w:rFonts w:hint="eastAsia" w:ascii="Times New Roman" w:hAnsi="Times New Roman" w:eastAsia="宋体" w:cs="Times New Roman"/>
                <w:spacing w:val="0"/>
                <w:w w:val="100"/>
                <w:kern w:val="0"/>
                <w:position w:val="0"/>
                <w:sz w:val="24"/>
                <w:szCs w:val="24"/>
                <w:highlight w:val="none"/>
                <w:lang w:val="en-US" w:eastAsia="zh-CN"/>
              </w:rPr>
              <w:t>本工程无废气排放；无生产废水排放，无需申请总量控制指标。</w:t>
            </w:r>
          </w:p>
        </w:tc>
      </w:tr>
    </w:tbl>
    <w:p>
      <w:pPr>
        <w:pStyle w:val="17"/>
        <w:adjustRightInd w:val="0"/>
        <w:snapToGrid w:val="0"/>
        <w:spacing w:before="0" w:beforeAutospacing="0" w:after="0" w:afterAutospacing="0" w:line="14" w:lineRule="auto"/>
        <w:jc w:val="center"/>
        <w:outlineLvl w:val="9"/>
        <w:rPr>
          <w:rFonts w:ascii="黑体" w:hAnsi="黑体" w:eastAsia="黑体"/>
          <w:snapToGrid w:val="0"/>
          <w:kern w:val="2"/>
          <w:sz w:val="36"/>
          <w:szCs w:val="36"/>
        </w:rPr>
      </w:pPr>
    </w:p>
    <w:p>
      <w:pPr>
        <w:pStyle w:val="17"/>
        <w:jc w:val="center"/>
        <w:outlineLvl w:val="0"/>
        <w:rPr>
          <w:rFonts w:ascii="黑体" w:hAnsi="黑体" w:eastAsia="黑体"/>
          <w:snapToGrid w:val="0"/>
          <w:sz w:val="30"/>
          <w:szCs w:val="30"/>
        </w:rPr>
      </w:pPr>
      <w:r>
        <w:rPr>
          <w:rFonts w:ascii="黑体" w:hAnsi="黑体" w:eastAsia="黑体"/>
          <w:snapToGrid w:val="0"/>
          <w:kern w:val="2"/>
          <w:sz w:val="36"/>
          <w:szCs w:val="36"/>
        </w:rPr>
        <w:br w:type="page"/>
      </w:r>
      <w:bookmarkStart w:id="47" w:name="_Toc17253"/>
      <w:r>
        <w:rPr>
          <w:rFonts w:hint="eastAsia" w:ascii="黑体" w:hAnsi="黑体" w:eastAsia="黑体"/>
          <w:snapToGrid w:val="0"/>
          <w:sz w:val="30"/>
          <w:szCs w:val="30"/>
        </w:rPr>
        <w:t>四、生态环境影响分析</w:t>
      </w:r>
      <w:bookmarkEnd w:id="47"/>
    </w:p>
    <w:tbl>
      <w:tblPr>
        <w:tblStyle w:val="20"/>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83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0" w:hRule="atLeast"/>
          <w:jc w:val="center"/>
        </w:trPr>
        <w:tc>
          <w:tcPr>
            <w:tcW w:w="879" w:type="dxa"/>
            <w:noWrap w:val="0"/>
            <w:tcMar>
              <w:left w:w="28" w:type="dxa"/>
              <w:right w:w="28" w:type="dxa"/>
            </w:tcMar>
            <w:vAlign w:val="center"/>
          </w:tcPr>
          <w:p>
            <w:pPr>
              <w:pStyle w:val="17"/>
              <w:adjustRightInd w:val="0"/>
              <w:snapToGrid w:val="0"/>
              <w:spacing w:before="0" w:beforeAutospacing="0" w:after="0" w:afterAutospacing="0"/>
              <w:jc w:val="center"/>
              <w:rPr>
                <w:rFonts w:cs="宋体"/>
                <w:bCs/>
                <w:kern w:val="2"/>
                <w:sz w:val="24"/>
                <w:szCs w:val="24"/>
              </w:rPr>
            </w:pPr>
            <w:bookmarkStart w:id="48" w:name="_Hlk49796138"/>
            <w:r>
              <w:rPr>
                <w:rFonts w:hint="eastAsia" w:cs="宋体"/>
                <w:bCs/>
                <w:spacing w:val="10"/>
                <w:kern w:val="2"/>
                <w:sz w:val="24"/>
                <w:szCs w:val="24"/>
                <w:highlight w:val="none"/>
              </w:rPr>
              <w:t>施工期生态环境影响分析</w:t>
            </w:r>
            <w:bookmarkEnd w:id="48"/>
          </w:p>
        </w:tc>
        <w:tc>
          <w:tcPr>
            <w:tcW w:w="8363"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施工期间，会产生生活污水、生活垃圾、扬尘、建材运输车辆的尾气、噪声以及永久和临时占地等，均会对环境造成一定的影响。工程建设完成后，除部分永久性占地为持续性影响外，其余环境影响仅在施工期存在，并且影响范围小、时间短。</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1、生态环境环境影响分析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本项目为</w:t>
            </w:r>
            <w:r>
              <w:rPr>
                <w:rFonts w:hint="eastAsia" w:ascii="Times New Roman" w:hAnsi="Times New Roman" w:eastAsia="宋体" w:cs="Times New Roman"/>
                <w:spacing w:val="0"/>
                <w:w w:val="100"/>
                <w:kern w:val="0"/>
                <w:position w:val="0"/>
                <w:sz w:val="24"/>
                <w:szCs w:val="24"/>
                <w:highlight w:val="none"/>
                <w:lang w:val="en-US" w:eastAsia="zh-CN"/>
              </w:rPr>
              <w:t>输变电</w:t>
            </w:r>
            <w:r>
              <w:rPr>
                <w:rFonts w:hint="default" w:ascii="Times New Roman" w:hAnsi="Times New Roman" w:eastAsia="宋体" w:cs="Times New Roman"/>
                <w:spacing w:val="0"/>
                <w:w w:val="100"/>
                <w:kern w:val="0"/>
                <w:position w:val="0"/>
                <w:sz w:val="24"/>
                <w:szCs w:val="24"/>
                <w:highlight w:val="none"/>
                <w:lang w:val="en-US" w:eastAsia="zh-CN"/>
              </w:rPr>
              <w:t>项目，永久占地</w:t>
            </w:r>
            <w:r>
              <w:rPr>
                <w:rFonts w:hint="eastAsia" w:ascii="Times New Roman" w:hAnsi="Times New Roman" w:eastAsia="宋体" w:cs="Times New Roman"/>
                <w:spacing w:val="0"/>
                <w:w w:val="100"/>
                <w:kern w:val="0"/>
                <w:position w:val="0"/>
                <w:sz w:val="24"/>
                <w:szCs w:val="24"/>
                <w:highlight w:val="none"/>
                <w:lang w:val="en-US" w:eastAsia="zh-CN"/>
              </w:rPr>
              <w:t>和</w:t>
            </w:r>
            <w:r>
              <w:rPr>
                <w:rFonts w:hint="default" w:ascii="Times New Roman" w:hAnsi="Times New Roman" w:eastAsia="宋体" w:cs="Times New Roman"/>
                <w:spacing w:val="0"/>
                <w:w w:val="100"/>
                <w:kern w:val="0"/>
                <w:position w:val="0"/>
                <w:sz w:val="24"/>
                <w:szCs w:val="24"/>
                <w:highlight w:val="none"/>
                <w:lang w:val="en-US" w:eastAsia="zh-CN"/>
              </w:rPr>
              <w:t>临时占地性质为</w:t>
            </w:r>
            <w:r>
              <w:rPr>
                <w:rFonts w:hint="eastAsia" w:ascii="Times New Roman" w:hAnsi="Times New Roman" w:eastAsia="宋体" w:cs="Times New Roman"/>
                <w:spacing w:val="0"/>
                <w:w w:val="100"/>
                <w:kern w:val="0"/>
                <w:position w:val="0"/>
                <w:sz w:val="24"/>
                <w:szCs w:val="24"/>
                <w:highlight w:val="none"/>
                <w:lang w:val="en-US" w:eastAsia="zh-CN"/>
              </w:rPr>
              <w:t>农用地</w:t>
            </w:r>
            <w:r>
              <w:rPr>
                <w:rFonts w:hint="default" w:ascii="Times New Roman" w:hAnsi="Times New Roman" w:eastAsia="宋体" w:cs="Times New Roman"/>
                <w:spacing w:val="0"/>
                <w:w w:val="100"/>
                <w:kern w:val="0"/>
                <w:position w:val="0"/>
                <w:sz w:val="24"/>
                <w:szCs w:val="24"/>
                <w:highlight w:val="none"/>
                <w:lang w:val="en-US" w:eastAsia="zh-CN"/>
              </w:rPr>
              <w:t>，占地范围内工程施工包括</w:t>
            </w:r>
            <w:r>
              <w:rPr>
                <w:rFonts w:hint="eastAsia" w:ascii="Times New Roman" w:hAnsi="Times New Roman" w:eastAsia="宋体" w:cs="Times New Roman"/>
                <w:spacing w:val="0"/>
                <w:w w:val="100"/>
                <w:kern w:val="0"/>
                <w:position w:val="0"/>
                <w:sz w:val="24"/>
                <w:szCs w:val="24"/>
                <w:highlight w:val="none"/>
                <w:lang w:val="en-US" w:eastAsia="zh-CN"/>
              </w:rPr>
              <w:t>变电站</w:t>
            </w:r>
            <w:r>
              <w:rPr>
                <w:rFonts w:hint="eastAsia" w:cs="Times New Roman"/>
                <w:spacing w:val="0"/>
                <w:w w:val="100"/>
                <w:kern w:val="0"/>
                <w:position w:val="0"/>
                <w:sz w:val="24"/>
                <w:szCs w:val="24"/>
                <w:highlight w:val="none"/>
                <w:lang w:val="en-US" w:eastAsia="zh-CN"/>
              </w:rPr>
              <w:t>扩建间隔</w:t>
            </w:r>
            <w:r>
              <w:rPr>
                <w:rFonts w:hint="eastAsia" w:ascii="Times New Roman" w:hAnsi="Times New Roman" w:eastAsia="宋体" w:cs="Times New Roman"/>
                <w:spacing w:val="0"/>
                <w:w w:val="100"/>
                <w:kern w:val="0"/>
                <w:position w:val="0"/>
                <w:sz w:val="24"/>
                <w:szCs w:val="24"/>
                <w:highlight w:val="none"/>
                <w:lang w:val="en-US" w:eastAsia="zh-CN"/>
              </w:rPr>
              <w:t>、输电</w:t>
            </w:r>
            <w:r>
              <w:rPr>
                <w:rFonts w:hint="default" w:ascii="Times New Roman" w:hAnsi="Times New Roman" w:eastAsia="宋体" w:cs="Times New Roman"/>
                <w:spacing w:val="0"/>
                <w:w w:val="100"/>
                <w:kern w:val="0"/>
                <w:position w:val="0"/>
                <w:sz w:val="24"/>
                <w:szCs w:val="24"/>
                <w:highlight w:val="none"/>
                <w:lang w:val="en-US" w:eastAsia="zh-CN"/>
              </w:rPr>
              <w:t>线路等。建设项目临时占地和永久占地内土石方开挖，以及施工人员踩踏，会对原有生态环境将造成一定的影响，</w:t>
            </w:r>
            <w:r>
              <w:rPr>
                <w:rFonts w:hint="eastAsia" w:ascii="Times New Roman" w:hAnsi="Times New Roman" w:eastAsia="宋体" w:cs="Times New Roman"/>
                <w:spacing w:val="0"/>
                <w:w w:val="100"/>
                <w:kern w:val="0"/>
                <w:position w:val="0"/>
                <w:sz w:val="24"/>
                <w:szCs w:val="24"/>
                <w:highlight w:val="none"/>
                <w:lang w:val="en-US" w:eastAsia="zh-CN"/>
              </w:rPr>
              <w:t>输电</w:t>
            </w:r>
            <w:r>
              <w:rPr>
                <w:rFonts w:hint="default" w:ascii="Times New Roman" w:hAnsi="Times New Roman" w:eastAsia="宋体" w:cs="Times New Roman"/>
                <w:spacing w:val="0"/>
                <w:w w:val="100"/>
                <w:kern w:val="0"/>
                <w:position w:val="0"/>
                <w:sz w:val="24"/>
                <w:szCs w:val="24"/>
                <w:highlight w:val="none"/>
                <w:lang w:val="en-US" w:eastAsia="zh-CN"/>
              </w:rPr>
              <w:t>线路塔基的建设</w:t>
            </w:r>
            <w:r>
              <w:rPr>
                <w:rFonts w:hint="eastAsia" w:cs="Times New Roman"/>
                <w:spacing w:val="0"/>
                <w:w w:val="100"/>
                <w:kern w:val="0"/>
                <w:position w:val="0"/>
                <w:sz w:val="24"/>
                <w:szCs w:val="24"/>
                <w:highlight w:val="none"/>
                <w:lang w:val="en-US" w:eastAsia="zh-CN"/>
              </w:rPr>
              <w:t>引起</w:t>
            </w:r>
            <w:r>
              <w:rPr>
                <w:rFonts w:hint="default" w:ascii="Times New Roman" w:hAnsi="Times New Roman" w:eastAsia="宋体" w:cs="Times New Roman"/>
                <w:spacing w:val="0"/>
                <w:w w:val="100"/>
                <w:kern w:val="0"/>
                <w:position w:val="0"/>
                <w:sz w:val="24"/>
                <w:szCs w:val="24"/>
                <w:highlight w:val="none"/>
                <w:lang w:val="en-US" w:eastAsia="zh-CN"/>
              </w:rPr>
              <w:t>土壤扰动、地表植被破坏、景观破坏以及施工噪声对当地野生动物栖息环境的影响。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（1）</w:t>
            </w:r>
            <w:r>
              <w:rPr>
                <w:rFonts w:hint="default" w:ascii="Times New Roman" w:hAnsi="Times New Roman" w:eastAsia="宋体" w:cs="Times New Roman"/>
                <w:spacing w:val="0"/>
                <w:w w:val="100"/>
                <w:kern w:val="0"/>
                <w:position w:val="0"/>
                <w:sz w:val="24"/>
                <w:szCs w:val="24"/>
                <w:highlight w:val="none"/>
                <w:lang w:val="en-US" w:eastAsia="zh-CN"/>
              </w:rPr>
              <w:t>对植被的影响：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项目道路修建、场地平整、基础开挖、材料的临时堆放等施工活动均会引起局部地表扰动，易形成裸露地表，在施工过程中改变原有地貌和植被，损坏原有水土保持功能，项目开挖土方全部回填，无弃土产生，不设取弃土场；土方开挖将扰动原土层结构，造成土质松动。</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本项目工程施工引起的生物量损失较小，</w:t>
            </w:r>
            <w:r>
              <w:rPr>
                <w:rFonts w:hint="eastAsia" w:ascii="Times New Roman" w:hAnsi="Times New Roman" w:eastAsia="宋体" w:cs="Times New Roman"/>
                <w:spacing w:val="0"/>
                <w:w w:val="100"/>
                <w:kern w:val="0"/>
                <w:position w:val="0"/>
                <w:sz w:val="24"/>
                <w:szCs w:val="24"/>
                <w:highlight w:val="none"/>
                <w:lang w:val="en-US" w:eastAsia="zh-CN"/>
              </w:rPr>
              <w:t>项目区</w:t>
            </w:r>
            <w:r>
              <w:rPr>
                <w:rFonts w:hint="default" w:ascii="Times New Roman" w:hAnsi="Times New Roman" w:eastAsia="宋体" w:cs="Times New Roman"/>
                <w:spacing w:val="0"/>
                <w:w w:val="100"/>
                <w:kern w:val="0"/>
                <w:position w:val="0"/>
                <w:sz w:val="24"/>
                <w:szCs w:val="24"/>
                <w:highlight w:val="none"/>
                <w:lang w:val="en-US" w:eastAsia="zh-CN"/>
              </w:rPr>
              <w:t>的植被主要为农田，植被类型单一，本项目会改变局部植被地貌特征，但对整体区域植被影响不大。在建设过程中</w:t>
            </w:r>
            <w:r>
              <w:rPr>
                <w:rFonts w:hint="eastAsia" w:ascii="Times New Roman" w:hAnsi="Times New Roman" w:eastAsia="宋体" w:cs="Times New Roman"/>
                <w:spacing w:val="0"/>
                <w:w w:val="100"/>
                <w:kern w:val="0"/>
                <w:position w:val="0"/>
                <w:sz w:val="24"/>
                <w:szCs w:val="24"/>
                <w:highlight w:val="none"/>
                <w:lang w:val="en-US" w:eastAsia="zh-CN"/>
              </w:rPr>
              <w:t>不砍伐树木，</w:t>
            </w:r>
            <w:r>
              <w:rPr>
                <w:rFonts w:hint="default" w:ascii="Times New Roman" w:hAnsi="Times New Roman" w:eastAsia="宋体" w:cs="Times New Roman"/>
                <w:spacing w:val="0"/>
                <w:w w:val="100"/>
                <w:kern w:val="0"/>
                <w:position w:val="0"/>
                <w:sz w:val="24"/>
                <w:szCs w:val="24"/>
                <w:highlight w:val="none"/>
                <w:lang w:val="en-US" w:eastAsia="zh-CN"/>
              </w:rPr>
              <w:t>对植被影响</w:t>
            </w:r>
            <w:r>
              <w:rPr>
                <w:rFonts w:hint="eastAsia" w:ascii="Times New Roman" w:hAnsi="Times New Roman" w:eastAsia="宋体" w:cs="Times New Roman"/>
                <w:spacing w:val="0"/>
                <w:w w:val="100"/>
                <w:kern w:val="0"/>
                <w:position w:val="0"/>
                <w:sz w:val="24"/>
                <w:szCs w:val="24"/>
                <w:highlight w:val="none"/>
                <w:lang w:val="en-US" w:eastAsia="zh-CN"/>
              </w:rPr>
              <w:t>较小</w:t>
            </w:r>
            <w:r>
              <w:rPr>
                <w:rFonts w:hint="default" w:ascii="Times New Roman" w:hAnsi="Times New Roman" w:eastAsia="宋体" w:cs="Times New Roman"/>
                <w:spacing w:val="0"/>
                <w:w w:val="100"/>
                <w:kern w:val="0"/>
                <w:position w:val="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土壤扰动的影响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在施工过程中，进行地面平整、填挖土石方、道路修建等活动，会扰动地表、占压土地、破坏植被，对土壤造成侵扰，造成水土流失。项目</w:t>
            </w:r>
            <w:r>
              <w:rPr>
                <w:rFonts w:hint="eastAsia" w:ascii="Times New Roman" w:hAnsi="Times New Roman" w:eastAsia="宋体" w:cs="Times New Roman"/>
                <w:spacing w:val="0"/>
                <w:w w:val="100"/>
                <w:kern w:val="0"/>
                <w:position w:val="0"/>
                <w:sz w:val="24"/>
                <w:szCs w:val="24"/>
                <w:highlight w:val="none"/>
                <w:lang w:val="en-US" w:eastAsia="zh-CN"/>
              </w:rPr>
              <w:t>输电</w:t>
            </w:r>
            <w:r>
              <w:rPr>
                <w:rFonts w:hint="default" w:ascii="Times New Roman" w:hAnsi="Times New Roman" w:eastAsia="宋体" w:cs="Times New Roman"/>
                <w:spacing w:val="0"/>
                <w:w w:val="100"/>
                <w:kern w:val="0"/>
                <w:position w:val="0"/>
                <w:sz w:val="24"/>
                <w:szCs w:val="24"/>
                <w:highlight w:val="none"/>
                <w:lang w:val="en-US" w:eastAsia="zh-CN"/>
              </w:rPr>
              <w:t>线路塔基施工将扰动原地貌、占压土地，并有土石方开挖，这些活动将对工程区域造成原有地表被破坏引起水土流失。土方开挖形成临时堆土，若不采取行之有效的措施，一遇雨天，松散的堆积土极易形成水土流失，天旱则易产生扬尘污染。</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1）</w:t>
            </w:r>
            <w:r>
              <w:rPr>
                <w:rFonts w:hint="eastAsia" w:ascii="Times New Roman" w:hAnsi="Times New Roman" w:eastAsia="宋体" w:cs="Times New Roman"/>
                <w:spacing w:val="0"/>
                <w:w w:val="100"/>
                <w:kern w:val="0"/>
                <w:position w:val="0"/>
                <w:sz w:val="24"/>
                <w:szCs w:val="24"/>
                <w:highlight w:val="none"/>
                <w:lang w:val="en-US" w:eastAsia="zh-CN"/>
              </w:rPr>
              <w:t>变电</w:t>
            </w:r>
            <w:r>
              <w:rPr>
                <w:rFonts w:hint="default" w:ascii="Times New Roman" w:hAnsi="Times New Roman" w:eastAsia="宋体" w:cs="Times New Roman"/>
                <w:spacing w:val="0"/>
                <w:w w:val="100"/>
                <w:kern w:val="0"/>
                <w:position w:val="0"/>
                <w:sz w:val="24"/>
                <w:szCs w:val="24"/>
                <w:highlight w:val="none"/>
                <w:lang w:val="en-US" w:eastAsia="zh-CN"/>
              </w:rPr>
              <w:t>站区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220kV太保变电站</w:t>
            </w:r>
            <w:r>
              <w:rPr>
                <w:rFonts w:hint="eastAsia" w:cs="Times New Roman"/>
                <w:spacing w:val="0"/>
                <w:w w:val="100"/>
                <w:kern w:val="0"/>
                <w:position w:val="0"/>
                <w:sz w:val="24"/>
                <w:szCs w:val="24"/>
                <w:highlight w:val="none"/>
                <w:lang w:val="en-US" w:eastAsia="zh-CN"/>
              </w:rPr>
              <w:t>在预留位置</w:t>
            </w:r>
            <w:r>
              <w:rPr>
                <w:rFonts w:hint="default" w:ascii="Times New Roman" w:hAnsi="Times New Roman" w:eastAsia="宋体" w:cs="Times New Roman"/>
                <w:spacing w:val="0"/>
                <w:w w:val="100"/>
                <w:kern w:val="0"/>
                <w:position w:val="0"/>
                <w:sz w:val="24"/>
                <w:szCs w:val="24"/>
                <w:highlight w:val="none"/>
                <w:lang w:val="en-US" w:eastAsia="zh-CN"/>
              </w:rPr>
              <w:t>扩建1个220kV间隔，主接线不变仍为双母线接线，远期双母线接线。不新增永久占地</w:t>
            </w:r>
            <w:r>
              <w:rPr>
                <w:rFonts w:hint="eastAsia" w:cs="Times New Roman"/>
                <w:spacing w:val="0"/>
                <w:w w:val="100"/>
                <w:kern w:val="0"/>
                <w:position w:val="0"/>
                <w:sz w:val="24"/>
                <w:szCs w:val="24"/>
                <w:highlight w:val="none"/>
                <w:lang w:val="en-US" w:eastAsia="zh-CN"/>
              </w:rPr>
              <w:t>，不会对</w:t>
            </w:r>
            <w:r>
              <w:rPr>
                <w:rFonts w:hint="default" w:ascii="Times New Roman" w:hAnsi="Times New Roman" w:eastAsia="宋体" w:cs="Times New Roman"/>
                <w:spacing w:val="0"/>
                <w:w w:val="100"/>
                <w:kern w:val="0"/>
                <w:position w:val="0"/>
                <w:sz w:val="24"/>
                <w:szCs w:val="24"/>
                <w:highlight w:val="none"/>
                <w:lang w:val="en-US" w:eastAsia="zh-CN"/>
              </w:rPr>
              <w:t>环境造成影响。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cs="Times New Roman"/>
                <w:spacing w:val="0"/>
                <w:w w:val="100"/>
                <w:kern w:val="0"/>
                <w:position w:val="0"/>
                <w:sz w:val="24"/>
                <w:szCs w:val="24"/>
                <w:highlight w:val="none"/>
                <w:lang w:val="en-US" w:eastAsia="zh-CN"/>
              </w:rPr>
              <w:t>施工便道</w:t>
            </w:r>
            <w:r>
              <w:rPr>
                <w:rFonts w:hint="default" w:ascii="Times New Roman" w:hAnsi="Times New Roman" w:eastAsia="宋体" w:cs="Times New Roman"/>
                <w:spacing w:val="0"/>
                <w:w w:val="100"/>
                <w:kern w:val="0"/>
                <w:position w:val="0"/>
                <w:sz w:val="24"/>
                <w:szCs w:val="24"/>
                <w:highlight w:val="none"/>
                <w:lang w:val="en-US" w:eastAsia="zh-CN"/>
              </w:rPr>
              <w:t>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工程施工前对</w:t>
            </w:r>
            <w:r>
              <w:rPr>
                <w:rFonts w:hint="eastAsia" w:ascii="Times New Roman" w:hAnsi="Times New Roman" w:eastAsia="宋体" w:cs="Times New Roman"/>
                <w:spacing w:val="0"/>
                <w:w w:val="100"/>
                <w:kern w:val="0"/>
                <w:position w:val="0"/>
                <w:sz w:val="24"/>
                <w:szCs w:val="24"/>
                <w:highlight w:val="none"/>
                <w:lang w:val="en-US" w:eastAsia="zh-CN"/>
              </w:rPr>
              <w:t>输电</w:t>
            </w:r>
            <w:r>
              <w:rPr>
                <w:rFonts w:hint="default" w:ascii="Times New Roman" w:hAnsi="Times New Roman" w:eastAsia="宋体" w:cs="Times New Roman"/>
                <w:spacing w:val="0"/>
                <w:w w:val="100"/>
                <w:kern w:val="0"/>
                <w:position w:val="0"/>
                <w:sz w:val="24"/>
                <w:szCs w:val="24"/>
                <w:highlight w:val="none"/>
                <w:lang w:val="en-US" w:eastAsia="zh-CN"/>
              </w:rPr>
              <w:t>线路临时占地施工区域进行表土剥离；施工结束后，对区内临时占地进行土地整治、回覆表土后复耕。施工期遇降水或大风等恶劣天气时，对施工场地作业的临时堆土进行临时苫盖。</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）塔基施工区</w:t>
            </w:r>
            <w:r>
              <w:rPr>
                <w:rFonts w:hint="eastAsia" w:cs="Times New Roman"/>
                <w:spacing w:val="0"/>
                <w:w w:val="100"/>
                <w:kern w:val="0"/>
                <w:position w:val="0"/>
                <w:sz w:val="24"/>
                <w:szCs w:val="24"/>
                <w:highlight w:val="none"/>
                <w:lang w:val="en-US" w:eastAsia="zh-CN"/>
              </w:rPr>
              <w:t>和张牵</w:t>
            </w:r>
            <w:r>
              <w:rPr>
                <w:rFonts w:hint="default" w:ascii="Times New Roman" w:hAnsi="Times New Roman" w:eastAsia="宋体" w:cs="Times New Roman"/>
                <w:spacing w:val="0"/>
                <w:w w:val="100"/>
                <w:kern w:val="0"/>
                <w:position w:val="0"/>
                <w:sz w:val="24"/>
                <w:szCs w:val="24"/>
                <w:highlight w:val="none"/>
                <w:lang w:val="en-US" w:eastAsia="zh-CN"/>
              </w:rPr>
              <w:t>场地区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工程施工前先对工程占压的区域进行表土剥离，剥离厚度约0.3m，剥离的土方堆放在项目区内临时堆土区，并采取临时拦挡等措施，后期及时回填复垦。施工过程中，施工场地周边设置临时土排水沟，施工结束后，对复耕区域进行土地整治回覆表土。</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塔基施工过程中应避免或减少临时场地占用，控制用地范围，注意保护相邻植被，表土和挖方土分层堆放及回填，堆土场采取草袋土拦挡和</w:t>
            </w:r>
            <w:r>
              <w:rPr>
                <w:rFonts w:hint="eastAsia" w:ascii="Times New Roman" w:hAnsi="Times New Roman" w:eastAsia="宋体" w:cs="Times New Roman"/>
                <w:spacing w:val="0"/>
                <w:w w:val="100"/>
                <w:kern w:val="0"/>
                <w:position w:val="0"/>
                <w:sz w:val="24"/>
                <w:szCs w:val="24"/>
                <w:highlight w:val="none"/>
                <w:lang w:val="en-US" w:eastAsia="zh-CN"/>
              </w:rPr>
              <w:t>土工布</w:t>
            </w:r>
            <w:r>
              <w:rPr>
                <w:rFonts w:hint="default" w:ascii="Times New Roman" w:hAnsi="Times New Roman" w:eastAsia="宋体" w:cs="Times New Roman"/>
                <w:spacing w:val="0"/>
                <w:w w:val="100"/>
                <w:kern w:val="0"/>
                <w:position w:val="0"/>
                <w:sz w:val="24"/>
                <w:szCs w:val="24"/>
                <w:highlight w:val="none"/>
                <w:lang w:val="en-US" w:eastAsia="zh-CN"/>
              </w:rPr>
              <w:t>苫盖，设置截水沟，施工结束后及时恢复临时占地及绿化，减少对生态环境的破坏。本项目施工时分层开挖、分层堆放，挖方及时回填，避免在大风天施工作业。施工结束后，拆除临时建筑，挖方回填，用于</w:t>
            </w:r>
            <w:r>
              <w:rPr>
                <w:rFonts w:hint="eastAsia" w:ascii="Times New Roman" w:hAnsi="Times New Roman" w:eastAsia="宋体" w:cs="Times New Roman"/>
                <w:spacing w:val="0"/>
                <w:w w:val="100"/>
                <w:kern w:val="0"/>
                <w:position w:val="0"/>
                <w:sz w:val="24"/>
                <w:szCs w:val="24"/>
                <w:highlight w:val="none"/>
                <w:lang w:val="en-US" w:eastAsia="zh-CN"/>
              </w:rPr>
              <w:t>生态恢复</w:t>
            </w:r>
            <w:r>
              <w:rPr>
                <w:rFonts w:hint="default" w:ascii="Times New Roman" w:hAnsi="Times New Roman" w:eastAsia="宋体" w:cs="Times New Roman"/>
                <w:spacing w:val="0"/>
                <w:w w:val="100"/>
                <w:kern w:val="0"/>
                <w:position w:val="0"/>
                <w:sz w:val="24"/>
                <w:szCs w:val="24"/>
                <w:highlight w:val="none"/>
                <w:lang w:val="en-US" w:eastAsia="zh-CN"/>
              </w:rPr>
              <w:t>覆土，恢复占用土地生态功能。同时对建筑物周围进行种植适宜本土生长的植物，防止水土流失。工程建成后将采用因地制宜的植被恢复方式进行生态补偿，保证工程区域内植被数量不会减少。因此，本期工程建设对当地植被数量总体影响不大，且随着保护力度的加强和生态恢复措施的实施，可恢复并增加区内植被覆盖率，丰富区内的植物物种多样性，有利于工程所在区域生态环境的改善。</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对景观风貌的影响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w:t>
            </w:r>
            <w:r>
              <w:rPr>
                <w:rFonts w:hint="eastAsia" w:ascii="Times New Roman" w:hAnsi="Times New Roman" w:eastAsia="宋体" w:cs="Times New Roman"/>
                <w:spacing w:val="0"/>
                <w:w w:val="100"/>
                <w:kern w:val="0"/>
                <w:position w:val="0"/>
                <w:sz w:val="24"/>
                <w:szCs w:val="24"/>
                <w:highlight w:val="none"/>
                <w:lang w:val="en-US" w:eastAsia="zh-CN"/>
              </w:rPr>
              <w:t>项目输电</w:t>
            </w:r>
            <w:r>
              <w:rPr>
                <w:rFonts w:hint="default" w:ascii="Times New Roman" w:hAnsi="Times New Roman" w:eastAsia="宋体" w:cs="Times New Roman"/>
                <w:spacing w:val="0"/>
                <w:w w:val="100"/>
                <w:kern w:val="0"/>
                <w:position w:val="0"/>
                <w:sz w:val="24"/>
                <w:szCs w:val="24"/>
                <w:highlight w:val="none"/>
                <w:lang w:val="en-US" w:eastAsia="zh-CN"/>
              </w:rPr>
              <w:t>线路的建设以及临时占地会破坏周边原生态环境景观，对部分地形地貌景观产生扰动。但随着施工期的结束，工程将对其占地进行绿化恢复。</w:t>
            </w:r>
            <w:r>
              <w:rPr>
                <w:rFonts w:hint="eastAsia" w:ascii="Times New Roman" w:hAnsi="Times New Roman" w:eastAsia="宋体" w:cs="Times New Roman"/>
                <w:spacing w:val="0"/>
                <w:w w:val="100"/>
                <w:kern w:val="0"/>
                <w:position w:val="0"/>
                <w:sz w:val="24"/>
                <w:szCs w:val="24"/>
                <w:highlight w:val="none"/>
                <w:lang w:val="en-US" w:eastAsia="zh-CN"/>
              </w:rPr>
              <w:t>项目</w:t>
            </w:r>
            <w:r>
              <w:rPr>
                <w:rFonts w:hint="default" w:ascii="Times New Roman" w:hAnsi="Times New Roman" w:eastAsia="宋体" w:cs="Times New Roman"/>
                <w:spacing w:val="0"/>
                <w:w w:val="100"/>
                <w:kern w:val="0"/>
                <w:position w:val="0"/>
                <w:sz w:val="24"/>
                <w:szCs w:val="24"/>
                <w:highlight w:val="none"/>
                <w:lang w:val="en-US" w:eastAsia="zh-CN"/>
              </w:rPr>
              <w:t>建成后，构成一个独特的人文景观，为单调的农田增添了活力，增加了区域景观欣赏性。</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（4）</w:t>
            </w:r>
            <w:r>
              <w:rPr>
                <w:rFonts w:hint="default" w:ascii="Times New Roman" w:hAnsi="Times New Roman" w:eastAsia="宋体" w:cs="Times New Roman"/>
                <w:spacing w:val="0"/>
                <w:w w:val="100"/>
                <w:kern w:val="0"/>
                <w:position w:val="0"/>
                <w:sz w:val="24"/>
                <w:szCs w:val="24"/>
                <w:highlight w:val="none"/>
                <w:lang w:val="en-US" w:eastAsia="zh-CN"/>
              </w:rPr>
              <w:t>对动物的影响：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建设区域及周围无大型兽类，无国家保护物种，主要陆生动物包括小型动物（如鼠类）、昆虫类、鸟类（麻雀、家燕等）。施工期施工人员的施工活动，将对以上陆生动物造成影响，主要影响表现为工程占地减少了动物的栖息地，同时，施工活动中的人员嘈杂声、工程施工噪声等使动物产生趋避反映，远离施工现场，缩小活动区域，但不会对其种群生存产生危害。因此，项目建设对区域附近陆生动物影响比较小，只要加强对施工人员和管理人员的教育，禁止乱捕乱杀，随着施工期活动的结束，对动物的影响也随之消失。所以不会造成动物链的破坏，不会破坏生态平衡。</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cs="Times New Roman"/>
                <w:spacing w:val="0"/>
                <w:w w:val="100"/>
                <w:kern w:val="0"/>
                <w:position w:val="0"/>
                <w:sz w:val="24"/>
                <w:szCs w:val="24"/>
                <w:highlight w:val="none"/>
                <w:lang w:val="en-US" w:eastAsia="zh-CN"/>
              </w:rPr>
              <w:t>（5）对水土流失的影响</w:t>
            </w:r>
          </w:p>
          <w:p>
            <w:pPr>
              <w:pStyle w:val="56"/>
              <w:keepNext w:val="0"/>
              <w:keepLines w:val="0"/>
              <w:pageBreakBefore w:val="0"/>
              <w:numPr>
                <w:ilvl w:val="0"/>
                <w:numId w:val="0"/>
              </w:numPr>
              <w:kinsoku/>
              <w:wordWrap/>
              <w:overflowPunct/>
              <w:topLinePunct w:val="0"/>
              <w:bidi w:val="0"/>
              <w:spacing w:line="360" w:lineRule="auto"/>
              <w:ind w:firstLine="480" w:firstLineChars="200"/>
              <w:textAlignment w:val="auto"/>
              <w:rPr>
                <w:rFonts w:hint="eastAsia" w:ascii="宋体" w:hAnsi="宋体" w:eastAsia="宋体" w:cs="宋体"/>
                <w:bCs/>
                <w:smallCaps w:val="0"/>
                <w:color w:val="auto"/>
                <w:spacing w:val="0"/>
                <w:w w:val="100"/>
                <w:position w:val="0"/>
                <w:sz w:val="24"/>
              </w:rPr>
            </w:pPr>
            <w:r>
              <w:rPr>
                <w:rFonts w:hint="eastAsia" w:ascii="宋体" w:hAnsi="宋体" w:eastAsia="宋体" w:cs="宋体"/>
                <w:smallCaps w:val="0"/>
                <w:color w:val="auto"/>
                <w:spacing w:val="0"/>
                <w:w w:val="100"/>
                <w:kern w:val="0"/>
                <w:position w:val="0"/>
                <w:sz w:val="24"/>
              </w:rPr>
              <w:t>在施工过程中，进行地面平整、填挖土石方、道路修建等活动，会扰动地表、占压土地、破坏植被，对土壤造成侵扰，造成水土流失。</w:t>
            </w:r>
            <w:r>
              <w:rPr>
                <w:rFonts w:hint="eastAsia" w:ascii="宋体" w:hAnsi="宋体" w:eastAsia="宋体" w:cs="宋体"/>
                <w:bCs/>
                <w:smallCaps w:val="0"/>
                <w:color w:val="auto"/>
                <w:spacing w:val="0"/>
                <w:w w:val="100"/>
                <w:position w:val="0"/>
                <w:sz w:val="24"/>
              </w:rPr>
              <w:t>一般情况下，只要存在一定的坡度，就不可避免地造成水土流失的发生。工程施工期间，地表</w:t>
            </w:r>
            <w:r>
              <w:rPr>
                <w:rFonts w:hint="eastAsia" w:ascii="宋体" w:hAnsi="宋体" w:eastAsia="宋体" w:cs="宋体"/>
                <w:bCs/>
                <w:smallCaps w:val="0"/>
                <w:color w:val="auto"/>
                <w:spacing w:val="0"/>
                <w:w w:val="100"/>
                <w:position w:val="0"/>
                <w:sz w:val="24"/>
                <w:lang w:val="en-US" w:eastAsia="zh-CN"/>
              </w:rPr>
              <w:t>的</w:t>
            </w:r>
            <w:r>
              <w:rPr>
                <w:rFonts w:hint="eastAsia" w:ascii="宋体" w:hAnsi="宋体" w:eastAsia="宋体" w:cs="宋体"/>
                <w:bCs/>
                <w:smallCaps w:val="0"/>
                <w:color w:val="auto"/>
                <w:spacing w:val="0"/>
                <w:w w:val="100"/>
                <w:position w:val="0"/>
                <w:sz w:val="24"/>
              </w:rPr>
              <w:t>开挖使地表植被破坏，原地面坡度、坡长改变；施工导致土壤松散和裸露，造成原地表植被水土保持功能降低，在雨季受雨滴溅击和地表径流冲刷，而以面蚀和沟蚀的方式产生明显的水土流失。其可能造成的危害如下：</w:t>
            </w:r>
          </w:p>
          <w:p>
            <w:pPr>
              <w:pStyle w:val="56"/>
              <w:keepNext w:val="0"/>
              <w:keepLines w:val="0"/>
              <w:pageBreakBefore w:val="0"/>
              <w:numPr>
                <w:ilvl w:val="0"/>
                <w:numId w:val="0"/>
              </w:numPr>
              <w:kinsoku/>
              <w:wordWrap/>
              <w:overflowPunct/>
              <w:topLinePunct w:val="0"/>
              <w:bidi w:val="0"/>
              <w:spacing w:line="360" w:lineRule="auto"/>
              <w:ind w:firstLine="480" w:firstLineChars="200"/>
              <w:textAlignment w:val="auto"/>
              <w:rPr>
                <w:rFonts w:hint="default" w:ascii="Times New Roman" w:hAnsi="Times New Roman" w:eastAsia="宋体" w:cs="Times New Roman"/>
                <w:bCs/>
                <w:smallCaps w:val="0"/>
                <w:color w:val="auto"/>
                <w:spacing w:val="0"/>
                <w:w w:val="100"/>
                <w:position w:val="0"/>
                <w:sz w:val="24"/>
              </w:rPr>
            </w:pPr>
            <w:r>
              <w:rPr>
                <w:rFonts w:hint="default" w:ascii="Times New Roman" w:hAnsi="Times New Roman" w:cs="Times New Roman"/>
                <w:bCs/>
                <w:smallCaps w:val="0"/>
                <w:color w:val="auto"/>
                <w:spacing w:val="0"/>
                <w:w w:val="100"/>
                <w:position w:val="0"/>
                <w:sz w:val="24"/>
                <w:lang w:val="en-US" w:eastAsia="zh-CN"/>
              </w:rPr>
              <w:t>1）</w:t>
            </w:r>
            <w:r>
              <w:rPr>
                <w:rFonts w:hint="default" w:ascii="Times New Roman" w:hAnsi="Times New Roman" w:eastAsia="宋体" w:cs="Times New Roman"/>
                <w:bCs/>
                <w:smallCaps w:val="0"/>
                <w:color w:val="auto"/>
                <w:spacing w:val="0"/>
                <w:w w:val="100"/>
                <w:position w:val="0"/>
                <w:sz w:val="24"/>
              </w:rPr>
              <w:t>增加水体的泥沙淤积：水土流失发生时，流失的泥沙将随地表径流进入附近水体，造成水体淤积。</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smallCaps w:val="0"/>
                <w:color w:val="auto"/>
                <w:spacing w:val="0"/>
                <w:w w:val="100"/>
                <w:position w:val="0"/>
                <w:sz w:val="24"/>
              </w:rPr>
            </w:pPr>
            <w:r>
              <w:rPr>
                <w:rFonts w:hint="default" w:ascii="Times New Roman" w:hAnsi="Times New Roman" w:cs="Times New Roman"/>
                <w:bCs/>
                <w:smallCaps w:val="0"/>
                <w:color w:val="auto"/>
                <w:spacing w:val="0"/>
                <w:w w:val="100"/>
                <w:position w:val="0"/>
                <w:sz w:val="24"/>
                <w:lang w:val="en-US" w:eastAsia="zh-CN"/>
              </w:rPr>
              <w:t>2）</w:t>
            </w:r>
            <w:r>
              <w:rPr>
                <w:rFonts w:hint="default" w:ascii="Times New Roman" w:hAnsi="Times New Roman" w:eastAsia="宋体" w:cs="Times New Roman"/>
                <w:bCs/>
                <w:smallCaps w:val="0"/>
                <w:color w:val="auto"/>
                <w:spacing w:val="0"/>
                <w:w w:val="100"/>
                <w:position w:val="0"/>
                <w:sz w:val="24"/>
              </w:rPr>
              <w:t>影响土地生产力：施工设施占用一定的土地，扰动</w:t>
            </w:r>
            <w:r>
              <w:rPr>
                <w:rFonts w:hint="default" w:ascii="Times New Roman" w:hAnsi="Times New Roman" w:cs="Times New Roman"/>
                <w:bCs/>
                <w:smallCaps w:val="0"/>
                <w:color w:val="auto"/>
                <w:spacing w:val="0"/>
                <w:w w:val="100"/>
                <w:position w:val="0"/>
                <w:sz w:val="24"/>
                <w:lang w:eastAsia="zh-CN"/>
              </w:rPr>
              <w:t>原地</w:t>
            </w:r>
            <w:r>
              <w:rPr>
                <w:rFonts w:hint="default" w:ascii="Times New Roman" w:hAnsi="Times New Roman" w:eastAsia="宋体" w:cs="Times New Roman"/>
                <w:bCs/>
                <w:smallCaps w:val="0"/>
                <w:color w:val="auto"/>
                <w:spacing w:val="0"/>
                <w:w w:val="100"/>
                <w:position w:val="0"/>
                <w:sz w:val="24"/>
              </w:rPr>
              <w:t>地貌，损坏原有表层土壤结构和地表植被，使地表失去良好保护层，拦截地表径流能力下降。降雨直接打在土壤表面，使土壤中氮、磷等有机物及无机盐含量迅速下降，土壤动植物、微生物及其繁衍资源减少，造成土地生产力的下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（6）对基本农田影响</w:t>
            </w:r>
          </w:p>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kern w:val="0"/>
                <w:sz w:val="24"/>
                <w:lang w:val="en-US" w:eastAsia="zh-CN" w:bidi="ar"/>
              </w:rPr>
              <w:t>本项目</w:t>
            </w:r>
            <w:r>
              <w:rPr>
                <w:rFonts w:hint="eastAsia" w:ascii="Times New Roman" w:hAnsi="Times New Roman" w:cs="Times New Roman"/>
                <w:color w:val="auto"/>
                <w:kern w:val="0"/>
                <w:sz w:val="24"/>
                <w:lang w:val="en-US" w:eastAsia="zh-CN" w:bidi="ar"/>
              </w:rPr>
              <w:t>共计79基铁塔占用基本农田，</w:t>
            </w:r>
            <w:r>
              <w:rPr>
                <w:rFonts w:hint="eastAsia" w:ascii="Times New Roman" w:hAnsi="Times New Roman" w:eastAsia="宋体" w:cs="Times New Roman"/>
                <w:color w:val="auto"/>
                <w:sz w:val="24"/>
                <w:szCs w:val="24"/>
                <w:lang w:val="en-US" w:eastAsia="zh-CN"/>
              </w:rPr>
              <w:t>工程设计阶段通过优化塔位布置</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尽可能</w:t>
            </w:r>
            <w:r>
              <w:rPr>
                <w:rFonts w:hint="eastAsia" w:cs="Times New Roman"/>
                <w:color w:val="auto"/>
                <w:sz w:val="24"/>
                <w:szCs w:val="24"/>
                <w:lang w:val="en-US" w:eastAsia="zh-CN"/>
              </w:rPr>
              <w:t>减少塔基数量</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铁塔选型及基础设计时，减小铁塔跟开、增大基础埋深、减少基础主柱宽度，以</w:t>
            </w:r>
            <w:r>
              <w:rPr>
                <w:rFonts w:hint="default" w:ascii="Times New Roman" w:hAnsi="Times New Roman" w:eastAsia="宋体" w:cs="Times New Roman"/>
                <w:color w:val="auto"/>
                <w:sz w:val="24"/>
                <w:szCs w:val="24"/>
              </w:rPr>
              <w:t>减少塔基永久占地</w:t>
            </w:r>
            <w:r>
              <w:rPr>
                <w:rFonts w:hint="eastAsia" w:ascii="Times New Roman" w:hAnsi="Times New Roman" w:eastAsia="宋体" w:cs="Times New Roman"/>
                <w:color w:val="auto"/>
                <w:sz w:val="24"/>
                <w:szCs w:val="24"/>
                <w:lang w:val="en-US" w:eastAsia="zh-CN"/>
              </w:rPr>
              <w:t>。</w:t>
            </w:r>
          </w:p>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0"/>
                <w:sz w:val="24"/>
                <w:lang w:val="en-US" w:eastAsia="zh-CN" w:bidi="ar"/>
              </w:rPr>
            </w:pPr>
            <w:r>
              <w:rPr>
                <w:rFonts w:hint="eastAsia" w:ascii="Times New Roman" w:hAnsi="Times New Roman" w:eastAsia="宋体" w:cs="Times New Roman"/>
                <w:color w:val="auto"/>
                <w:kern w:val="0"/>
                <w:sz w:val="24"/>
                <w:lang w:val="en-US" w:eastAsia="zh-CN" w:bidi="ar"/>
              </w:rPr>
              <w:t>根据《黑龙江省自然资源厅 黑龙江省发展和改革委员会关于简化用地管理加快电网建设的通知》（黑自然资函〔2018〕46号），本工程所占耕地经与当地农村经济组织及农民协商达成协议后，通过协议补偿等方式直接使用，在工程使用期结束后恢复原地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大气环境影响分析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施工期间土地平整、地基开挖、</w:t>
            </w:r>
            <w:r>
              <w:rPr>
                <w:rFonts w:hint="eastAsia" w:ascii="Times New Roman" w:hAnsi="Times New Roman" w:eastAsia="宋体" w:cs="Times New Roman"/>
                <w:spacing w:val="0"/>
                <w:w w:val="100"/>
                <w:kern w:val="0"/>
                <w:position w:val="0"/>
                <w:sz w:val="24"/>
                <w:szCs w:val="24"/>
                <w:highlight w:val="none"/>
                <w:lang w:val="en-US" w:eastAsia="zh-CN"/>
              </w:rPr>
              <w:t>输电</w:t>
            </w:r>
            <w:r>
              <w:rPr>
                <w:rFonts w:hint="default" w:ascii="Times New Roman" w:hAnsi="Times New Roman" w:eastAsia="宋体" w:cs="Times New Roman"/>
                <w:spacing w:val="0"/>
                <w:w w:val="100"/>
                <w:kern w:val="0"/>
                <w:position w:val="0"/>
                <w:sz w:val="24"/>
                <w:szCs w:val="24"/>
                <w:highlight w:val="none"/>
                <w:lang w:val="en-US" w:eastAsia="zh-CN"/>
              </w:rPr>
              <w:t>线路桩基础建设、车辆行驶等均会产生扬尘。根据类比资料，影响起尘量的因素包括：基础开挖量、施工渣土堆存量、进出车辆带泥沙量、水泥搬运量以及起尘高度、采取的防护措施、空气湿度、风速等。施工阶段，使用机动车辆运输原材料、施工设备、器材及建筑垃圾，排出的机动车尾气主要污染物是HC、CO、NO</w:t>
            </w:r>
            <w:r>
              <w:rPr>
                <w:rFonts w:hint="eastAsia" w:ascii="Times New Roman" w:hAnsi="Times New Roman" w:eastAsia="宋体" w:cs="Times New Roman"/>
                <w:spacing w:val="0"/>
                <w:w w:val="100"/>
                <w:kern w:val="0"/>
                <w:position w:val="0"/>
                <w:sz w:val="24"/>
                <w:szCs w:val="24"/>
                <w:highlight w:val="none"/>
                <w:vertAlign w:val="subscript"/>
                <w:lang w:val="en-US" w:eastAsia="zh-CN"/>
              </w:rPr>
              <w:t>X</w:t>
            </w:r>
            <w:r>
              <w:rPr>
                <w:rFonts w:hint="default" w:ascii="Times New Roman" w:hAnsi="Times New Roman" w:eastAsia="宋体" w:cs="Times New Roman"/>
                <w:spacing w:val="0"/>
                <w:w w:val="100"/>
                <w:kern w:val="0"/>
                <w:position w:val="0"/>
                <w:sz w:val="24"/>
                <w:szCs w:val="24"/>
                <w:highlight w:val="none"/>
                <w:lang w:val="en-US" w:eastAsia="zh-CN"/>
              </w:rPr>
              <w:t>等。</w:t>
            </w:r>
            <w:r>
              <w:rPr>
                <w:rFonts w:hint="eastAsia" w:ascii="Times New Roman" w:hAnsi="Times New Roman" w:eastAsia="宋体" w:cs="Times New Roman"/>
                <w:spacing w:val="0"/>
                <w:w w:val="100"/>
                <w:kern w:val="0"/>
                <w:position w:val="0"/>
                <w:sz w:val="24"/>
                <w:szCs w:val="24"/>
                <w:highlight w:val="none"/>
                <w:lang w:val="en-US" w:eastAsia="zh-CN"/>
              </w:rPr>
              <w:t>施工期柴油发电机会释放出氮氧化物、二氧化硫和颗粒物及非甲烷总烃等污染物。</w:t>
            </w:r>
          </w:p>
          <w:p>
            <w:pPr>
              <w:keepNext w:val="0"/>
              <w:keepLines w:val="0"/>
              <w:pageBreakBefore w:val="0"/>
              <w:widowControl/>
              <w:kinsoku/>
              <w:wordWrap/>
              <w:overflowPunct/>
              <w:topLinePunct w:val="0"/>
              <w:bidi w:val="0"/>
              <w:spacing w:line="360" w:lineRule="auto"/>
              <w:ind w:firstLine="480" w:firstLineChars="200"/>
              <w:textAlignment w:val="auto"/>
              <w:rPr>
                <w:rFonts w:hint="eastAsia" w:ascii="Times New Roman" w:hAnsi="宋体" w:cs="Times New Roman"/>
                <w:color w:val="000000" w:themeColor="text1"/>
                <w:kern w:val="0"/>
                <w:sz w:val="24"/>
                <w14:textFill>
                  <w14:solidFill>
                    <w14:schemeClr w14:val="tx1"/>
                  </w14:solidFill>
                </w14:textFill>
              </w:rPr>
            </w:pPr>
            <w:r>
              <w:rPr>
                <w:rFonts w:hint="eastAsia" w:ascii="Times New Roman" w:hAnsi="宋体" w:cs="Times New Roman"/>
                <w:color w:val="000000" w:themeColor="text1"/>
                <w:kern w:val="0"/>
                <w:sz w:val="24"/>
                <w:lang w:val="en-US" w:eastAsia="zh-CN"/>
                <w14:textFill>
                  <w14:solidFill>
                    <w14:schemeClr w14:val="tx1"/>
                  </w14:solidFill>
                </w14:textFill>
              </w:rPr>
              <w:t>本项目</w:t>
            </w:r>
            <w:r>
              <w:rPr>
                <w:rFonts w:hint="eastAsia" w:ascii="Times New Roman" w:hAnsi="宋体" w:cs="Times New Roman"/>
                <w:color w:val="000000" w:themeColor="text1"/>
                <w:kern w:val="0"/>
                <w:sz w:val="24"/>
                <w:lang w:eastAsia="zh-CN"/>
                <w14:textFill>
                  <w14:solidFill>
                    <w14:schemeClr w14:val="tx1"/>
                  </w14:solidFill>
                </w14:textFill>
              </w:rPr>
              <w:t>施工运输</w:t>
            </w:r>
            <w:r>
              <w:rPr>
                <w:rFonts w:hint="eastAsia" w:ascii="Times New Roman" w:hAnsi="宋体" w:cs="Times New Roman"/>
                <w:color w:val="000000" w:themeColor="text1"/>
                <w:kern w:val="0"/>
                <w:sz w:val="24"/>
                <w14:textFill>
                  <w14:solidFill>
                    <w14:schemeClr w14:val="tx1"/>
                  </w14:solidFill>
                </w14:textFill>
              </w:rPr>
              <w:t>道路扬尘</w:t>
            </w:r>
            <w:r>
              <w:rPr>
                <w:rFonts w:hint="eastAsia" w:ascii="Times New Roman" w:hAnsi="宋体" w:cs="Times New Roman"/>
                <w:color w:val="000000" w:themeColor="text1"/>
                <w:kern w:val="0"/>
                <w:sz w:val="24"/>
                <w:lang w:eastAsia="zh-CN"/>
                <w14:textFill>
                  <w14:solidFill>
                    <w14:schemeClr w14:val="tx1"/>
                  </w14:solidFill>
                </w14:textFill>
              </w:rPr>
              <w:t>主要为</w:t>
            </w:r>
            <w:r>
              <w:rPr>
                <w:rFonts w:hint="eastAsia" w:ascii="Times New Roman" w:hAnsi="宋体" w:cs="Times New Roman"/>
                <w:color w:val="000000" w:themeColor="text1"/>
                <w:kern w:val="0"/>
                <w:sz w:val="24"/>
                <w14:textFill>
                  <w14:solidFill>
                    <w14:schemeClr w14:val="tx1"/>
                  </w14:solidFill>
                </w14:textFill>
              </w:rPr>
              <w:t>汽车行驶路面扬尘以及由车辆车轮附带的泥土产生的扬尘，在同样路面清洁程度条件下，车速越快，扬尘量越大；在同样车速条件下，路面尘土量越大，扬尘越大。因此，限制施工车辆速度和保持路面清洁是减小扬尘的有效手段。</w:t>
            </w:r>
          </w:p>
          <w:p>
            <w:pPr>
              <w:keepNext w:val="0"/>
              <w:keepLines w:val="0"/>
              <w:pageBreakBefore w:val="0"/>
              <w:widowControl/>
              <w:kinsoku/>
              <w:wordWrap/>
              <w:overflowPunct/>
              <w:topLinePunct w:val="0"/>
              <w:bidi w:val="0"/>
              <w:spacing w:line="360" w:lineRule="auto"/>
              <w:ind w:firstLine="480" w:firstLineChars="200"/>
              <w:textAlignment w:val="auto"/>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如果在施工期间对车辆行驶的路面实施洒水抑尘，每天洒水4～5次，可使扬尘减少70%左右。下表为某施工场地洒水抑尘的试验结果。</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表</w:t>
            </w:r>
            <w:r>
              <w:rPr>
                <w:rFonts w:hint="default" w:ascii="Times New Roman" w:hAnsi="Times New Roman" w:cs="Times New Roman"/>
                <w:b/>
                <w:color w:val="000000" w:themeColor="text1"/>
                <w:sz w:val="21"/>
                <w:szCs w:val="21"/>
                <w:lang w:val="en-US" w:eastAsia="zh-CN"/>
                <w14:textFill>
                  <w14:solidFill>
                    <w14:schemeClr w14:val="tx1"/>
                  </w14:solidFill>
                </w14:textFill>
              </w:rPr>
              <w:t>4-1</w:t>
            </w:r>
            <w:r>
              <w:rPr>
                <w:rFonts w:hint="default" w:ascii="Times New Roman" w:hAnsi="Times New Roman" w:cs="Times New Roman"/>
                <w:b/>
                <w:color w:val="000000" w:themeColor="text1"/>
                <w:sz w:val="21"/>
                <w:szCs w:val="21"/>
                <w14:textFill>
                  <w14:solidFill>
                    <w14:schemeClr w14:val="tx1"/>
                  </w14:solidFill>
                </w14:textFill>
              </w:rPr>
              <w:t xml:space="preserve">  </w:t>
            </w:r>
            <w:r>
              <w:rPr>
                <w:rFonts w:hint="default" w:ascii="Times New Roman" w:hAnsi="Times New Roman" w:cs="Times New Roman"/>
                <w:b/>
                <w:color w:val="000000" w:themeColor="text1"/>
                <w:kern w:val="0"/>
                <w:sz w:val="21"/>
                <w:szCs w:val="21"/>
                <w:lang w:bidi="ar"/>
                <w14:textFill>
                  <w14:solidFill>
                    <w14:schemeClr w14:val="tx1"/>
                  </w14:solidFill>
                </w14:textFill>
              </w:rPr>
              <w:t>施工场地洒水抑尘试验结果</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3"/>
              <w:gridCol w:w="1061"/>
              <w:gridCol w:w="1265"/>
              <w:gridCol w:w="1206"/>
              <w:gridCol w:w="1234"/>
              <w:gridCol w:w="1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89" w:type="pct"/>
                  <w:gridSpan w:val="2"/>
                  <w:tcBorders>
                    <w:top w:val="single" w:color="auto" w:sz="12" w:space="0"/>
                    <w:left w:val="nil"/>
                    <w:bottom w:val="single" w:color="auto" w:sz="4" w:space="0"/>
                    <w:right w:val="single" w:color="auto" w:sz="4" w:space="0"/>
                  </w:tcBorders>
                  <w:shd w:val="clear" w:color="auto" w:fill="auto"/>
                  <w:noWrap w:val="0"/>
                  <w:vAlign w:val="center"/>
                </w:tcPr>
                <w:p>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Cs w:val="21"/>
                      <w:lang w:bidi="ar"/>
                      <w14:textFill>
                        <w14:solidFill>
                          <w14:schemeClr w14:val="tx1"/>
                        </w14:solidFill>
                      </w14:textFill>
                    </w:rPr>
                    <w:t>距路边距离（m）</w:t>
                  </w:r>
                </w:p>
              </w:tc>
              <w:tc>
                <w:tcPr>
                  <w:tcW w:w="776" w:type="pct"/>
                  <w:tcBorders>
                    <w:top w:val="single" w:color="auto" w:sz="12" w:space="0"/>
                    <w:left w:val="single" w:color="auto" w:sz="4" w:space="0"/>
                    <w:bottom w:val="single" w:color="auto" w:sz="4" w:space="0"/>
                    <w:right w:val="single" w:color="auto" w:sz="4" w:space="0"/>
                  </w:tcBorders>
                  <w:shd w:val="clear" w:color="auto" w:fill="auto"/>
                  <w:noWrap w:val="0"/>
                  <w:vAlign w:val="center"/>
                </w:tcPr>
                <w:p>
                  <w:pPr>
                    <w:widowControl/>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5</w:t>
                  </w:r>
                </w:p>
              </w:tc>
              <w:tc>
                <w:tcPr>
                  <w:tcW w:w="740" w:type="pct"/>
                  <w:tcBorders>
                    <w:top w:val="single" w:color="auto" w:sz="12" w:space="0"/>
                    <w:left w:val="single" w:color="auto" w:sz="4" w:space="0"/>
                    <w:bottom w:val="single" w:color="auto" w:sz="4" w:space="0"/>
                    <w:right w:val="single" w:color="auto" w:sz="4" w:space="0"/>
                  </w:tcBorders>
                  <w:shd w:val="clear" w:color="auto" w:fill="auto"/>
                  <w:noWrap w:val="0"/>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20</w:t>
                  </w:r>
                </w:p>
              </w:tc>
              <w:tc>
                <w:tcPr>
                  <w:tcW w:w="757" w:type="pct"/>
                  <w:tcBorders>
                    <w:top w:val="single" w:color="auto" w:sz="12" w:space="0"/>
                    <w:left w:val="single" w:color="auto" w:sz="4" w:space="0"/>
                    <w:bottom w:val="single" w:color="auto" w:sz="4" w:space="0"/>
                    <w:right w:val="single" w:color="auto" w:sz="4" w:space="0"/>
                  </w:tcBorders>
                  <w:shd w:val="clear" w:color="auto" w:fill="auto"/>
                  <w:noWrap w:val="0"/>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50</w:t>
                  </w:r>
                </w:p>
              </w:tc>
              <w:tc>
                <w:tcPr>
                  <w:tcW w:w="637" w:type="pct"/>
                  <w:tcBorders>
                    <w:top w:val="single" w:color="auto" w:sz="12" w:space="0"/>
                    <w:left w:val="single" w:color="auto" w:sz="4" w:space="0"/>
                    <w:bottom w:val="single" w:color="auto" w:sz="4" w:space="0"/>
                    <w:right w:val="nil"/>
                  </w:tcBorders>
                  <w:shd w:val="clear" w:color="auto" w:fill="auto"/>
                  <w:noWrap w:val="0"/>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8" w:type="pct"/>
                  <w:vMerge w:val="restar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TSP小时平均浓度（mg/m</w:t>
                  </w:r>
                  <w:r>
                    <w:rPr>
                      <w:rFonts w:hint="default" w:ascii="Times New Roman" w:hAnsi="Times New Roman" w:cs="Times New Roman"/>
                      <w:color w:val="000000" w:themeColor="text1"/>
                      <w:szCs w:val="21"/>
                      <w:vertAlign w:val="superscript"/>
                      <w14:textFill>
                        <w14:solidFill>
                          <w14:schemeClr w14:val="tx1"/>
                        </w14:solidFill>
                      </w14:textFill>
                    </w:rPr>
                    <w:t>3</w:t>
                  </w:r>
                  <w:r>
                    <w:rPr>
                      <w:rFonts w:hint="default" w:ascii="Times New Roman" w:hAnsi="Times New Roman" w:cs="Times New Roman"/>
                      <w:color w:val="000000" w:themeColor="text1"/>
                      <w:szCs w:val="21"/>
                      <w14:textFill>
                        <w14:solidFill>
                          <w14:schemeClr w14:val="tx1"/>
                        </w14:solidFill>
                      </w14:textFill>
                    </w:rPr>
                    <w:t>）</w:t>
                  </w:r>
                </w:p>
              </w:tc>
              <w:tc>
                <w:tcPr>
                  <w:tcW w:w="650"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不洒水</w:t>
                  </w:r>
                </w:p>
              </w:tc>
              <w:tc>
                <w:tcPr>
                  <w:tcW w:w="776"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10.14</w:t>
                  </w:r>
                </w:p>
              </w:tc>
              <w:tc>
                <w:tcPr>
                  <w:tcW w:w="740"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2.89</w:t>
                  </w:r>
                </w:p>
              </w:tc>
              <w:tc>
                <w:tcPr>
                  <w:tcW w:w="7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1.15</w:t>
                  </w:r>
                </w:p>
              </w:tc>
              <w:tc>
                <w:tcPr>
                  <w:tcW w:w="637" w:type="pct"/>
                  <w:tcBorders>
                    <w:top w:val="single" w:color="auto" w:sz="4" w:space="0"/>
                    <w:left w:val="single" w:color="auto" w:sz="4" w:space="0"/>
                    <w:bottom w:val="single" w:color="auto" w:sz="4" w:space="0"/>
                    <w:right w:val="nil"/>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8" w:type="pct"/>
                  <w:vMerge w:val="continue"/>
                  <w:tcBorders>
                    <w:top w:val="single" w:color="auto" w:sz="4" w:space="0"/>
                    <w:left w:val="nil"/>
                    <w:bottom w:val="single" w:color="auto" w:sz="12" w:space="0"/>
                    <w:right w:val="single" w:color="auto" w:sz="4" w:space="0"/>
                  </w:tcBorders>
                  <w:noWrap w:val="0"/>
                  <w:vAlign w:val="center"/>
                </w:tcPr>
                <w:p>
                  <w:pPr>
                    <w:widowControl/>
                    <w:jc w:val="left"/>
                    <w:rPr>
                      <w:rFonts w:hint="default" w:ascii="Times New Roman" w:hAnsi="Times New Roman" w:cs="Times New Roman"/>
                      <w:color w:val="000000" w:themeColor="text1"/>
                      <w:szCs w:val="21"/>
                      <w14:textFill>
                        <w14:solidFill>
                          <w14:schemeClr w14:val="tx1"/>
                        </w14:solidFill>
                      </w14:textFill>
                    </w:rPr>
                  </w:pPr>
                </w:p>
              </w:tc>
              <w:tc>
                <w:tcPr>
                  <w:tcW w:w="650" w:type="pct"/>
                  <w:tcBorders>
                    <w:top w:val="single" w:color="auto" w:sz="4" w:space="0"/>
                    <w:left w:val="single" w:color="auto" w:sz="4" w:space="0"/>
                    <w:bottom w:val="single" w:color="auto" w:sz="12" w:space="0"/>
                    <w:right w:val="single" w:color="auto" w:sz="4" w:space="0"/>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洒水</w:t>
                  </w:r>
                </w:p>
              </w:tc>
              <w:tc>
                <w:tcPr>
                  <w:tcW w:w="776" w:type="pct"/>
                  <w:tcBorders>
                    <w:top w:val="single" w:color="auto" w:sz="4" w:space="0"/>
                    <w:left w:val="single" w:color="auto" w:sz="4" w:space="0"/>
                    <w:bottom w:val="single" w:color="auto" w:sz="12" w:space="0"/>
                    <w:right w:val="single" w:color="auto" w:sz="4" w:space="0"/>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2.01</w:t>
                  </w:r>
                </w:p>
              </w:tc>
              <w:tc>
                <w:tcPr>
                  <w:tcW w:w="740" w:type="pct"/>
                  <w:tcBorders>
                    <w:top w:val="single" w:color="auto" w:sz="4" w:space="0"/>
                    <w:left w:val="single" w:color="auto" w:sz="4" w:space="0"/>
                    <w:bottom w:val="single" w:color="auto" w:sz="12" w:space="0"/>
                    <w:right w:val="single" w:color="auto" w:sz="4" w:space="0"/>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1.40</w:t>
                  </w:r>
                </w:p>
              </w:tc>
              <w:tc>
                <w:tcPr>
                  <w:tcW w:w="757" w:type="pct"/>
                  <w:tcBorders>
                    <w:top w:val="single" w:color="auto" w:sz="4" w:space="0"/>
                    <w:left w:val="single" w:color="auto" w:sz="4" w:space="0"/>
                    <w:bottom w:val="single" w:color="auto" w:sz="12" w:space="0"/>
                    <w:right w:val="single" w:color="auto" w:sz="4" w:space="0"/>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0.67</w:t>
                  </w:r>
                </w:p>
              </w:tc>
              <w:tc>
                <w:tcPr>
                  <w:tcW w:w="637" w:type="pct"/>
                  <w:tcBorders>
                    <w:top w:val="single" w:color="auto" w:sz="4" w:space="0"/>
                    <w:left w:val="single" w:color="auto" w:sz="4" w:space="0"/>
                    <w:bottom w:val="single" w:color="auto" w:sz="12" w:space="0"/>
                    <w:right w:val="nil"/>
                  </w:tcBorders>
                  <w:noWrap w:val="0"/>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0.60</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结果表明：每天洒水4～5次，可有效地控制交通扬尘，TSP污染物扩散距离可缩小到20m～50m范围。因此，限速行驶及保持路面清洁，同时适当洒水可有效控制施工道路扬尘。</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为减轻扬尘影响，施工工地应加强施工管理，提倡文明施工方面采取有效措施，进行必要的蔽挡，挖掘的土方应及时回填或运离，限制扬尘的扩散及其带来的不利影响。施工现场四周设置围挡，施工场地洒水降尘，临时堆土遮盖，控制运输车辆等措施，防止扬尘对环境空气影响。场界粉尘排放浓度符合《大气污染物综合排放标准》（GB16297-1996）表2中颗粒物无组织排放监控浓度限值。施工场地应定期洒水，施工时减少粉尘的露天堆放量和时间，物料运输不超出车厢且中速平稳行驶，从而减轻施工中对项目区环境空气的影响。动力机械及运输车辆排出的废气通过及时检修和日常维护减少尾气的排放。</w:t>
            </w:r>
            <w:r>
              <w:rPr>
                <w:rFonts w:hint="eastAsia" w:ascii="Times New Roman" w:hAnsi="Times New Roman" w:eastAsia="宋体" w:cs="Times New Roman"/>
                <w:spacing w:val="0"/>
                <w:w w:val="100"/>
                <w:kern w:val="0"/>
                <w:position w:val="0"/>
                <w:sz w:val="24"/>
                <w:szCs w:val="24"/>
                <w:highlight w:val="none"/>
                <w:lang w:val="en-US" w:eastAsia="zh-CN"/>
              </w:rPr>
              <w:t>柴油发电机使用低硫柴油，通过及时检修和日常维护减少柴油挥发及废气的排放。</w:t>
            </w:r>
            <w:r>
              <w:rPr>
                <w:rFonts w:hint="default" w:ascii="Times New Roman" w:hAnsi="Times New Roman" w:eastAsia="宋体" w:cs="Times New Roman"/>
                <w:spacing w:val="0"/>
                <w:w w:val="100"/>
                <w:kern w:val="0"/>
                <w:position w:val="0"/>
                <w:sz w:val="24"/>
                <w:szCs w:val="24"/>
                <w:highlight w:val="none"/>
                <w:lang w:val="en-US" w:eastAsia="zh-CN"/>
              </w:rPr>
              <w:t>施工期间产生的环境空气污染物将随着施工的结束而消失，因此在严格执行本报告所提出的污染防治措施的前提下，施工扬尘及</w:t>
            </w:r>
            <w:r>
              <w:rPr>
                <w:rFonts w:hint="eastAsia" w:ascii="Times New Roman" w:hAnsi="Times New Roman" w:eastAsia="宋体" w:cs="Times New Roman"/>
                <w:spacing w:val="0"/>
                <w:w w:val="100"/>
                <w:kern w:val="0"/>
                <w:position w:val="0"/>
                <w:sz w:val="24"/>
                <w:szCs w:val="24"/>
                <w:highlight w:val="none"/>
                <w:lang w:val="en-US" w:eastAsia="zh-CN"/>
              </w:rPr>
              <w:t>尾气</w:t>
            </w:r>
            <w:r>
              <w:rPr>
                <w:rFonts w:hint="default" w:ascii="Times New Roman" w:hAnsi="Times New Roman" w:eastAsia="宋体" w:cs="Times New Roman"/>
                <w:spacing w:val="0"/>
                <w:w w:val="100"/>
                <w:kern w:val="0"/>
                <w:position w:val="0"/>
                <w:sz w:val="24"/>
                <w:szCs w:val="24"/>
                <w:highlight w:val="none"/>
                <w:lang w:val="en-US" w:eastAsia="zh-CN"/>
              </w:rPr>
              <w:t>的影响可以被周围的环境所接受的。</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、水环境影响分析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废水主要包括</w:t>
            </w:r>
            <w:r>
              <w:rPr>
                <w:rFonts w:hint="eastAsia" w:ascii="Times New Roman" w:hAnsi="Times New Roman" w:eastAsia="宋体" w:cs="Times New Roman"/>
                <w:spacing w:val="0"/>
                <w:w w:val="100"/>
                <w:kern w:val="0"/>
                <w:position w:val="0"/>
                <w:sz w:val="24"/>
                <w:szCs w:val="24"/>
                <w:highlight w:val="none"/>
                <w:lang w:val="en-US" w:eastAsia="zh-CN"/>
              </w:rPr>
              <w:t>施工</w:t>
            </w:r>
            <w:r>
              <w:rPr>
                <w:rFonts w:hint="default" w:ascii="Times New Roman" w:hAnsi="Times New Roman" w:eastAsia="宋体" w:cs="Times New Roman"/>
                <w:spacing w:val="0"/>
                <w:w w:val="100"/>
                <w:kern w:val="0"/>
                <w:position w:val="0"/>
                <w:sz w:val="24"/>
                <w:szCs w:val="24"/>
                <w:highlight w:val="none"/>
                <w:lang w:val="en-US" w:eastAsia="zh-CN"/>
              </w:rPr>
              <w:t>废水和生活污水。施工人员产生的生活污水</w:t>
            </w:r>
            <w:r>
              <w:rPr>
                <w:rFonts w:hint="eastAsia" w:ascii="Times New Roman" w:hAnsi="Times New Roman" w:eastAsia="宋体" w:cs="Times New Roman"/>
                <w:spacing w:val="0"/>
                <w:w w:val="100"/>
                <w:kern w:val="0"/>
                <w:position w:val="0"/>
                <w:sz w:val="24"/>
                <w:szCs w:val="24"/>
                <w:highlight w:val="none"/>
                <w:lang w:val="en-US" w:eastAsia="zh-CN"/>
              </w:rPr>
              <w:t>中</w:t>
            </w:r>
            <w:r>
              <w:rPr>
                <w:rFonts w:hint="default" w:ascii="Times New Roman" w:hAnsi="Times New Roman" w:eastAsia="宋体" w:cs="Times New Roman"/>
                <w:spacing w:val="0"/>
                <w:w w:val="100"/>
                <w:kern w:val="0"/>
                <w:position w:val="0"/>
                <w:sz w:val="24"/>
                <w:szCs w:val="24"/>
                <w:highlight w:val="none"/>
                <w:lang w:val="en-US" w:eastAsia="zh-CN"/>
              </w:rPr>
              <w:t>主要污染物有COD、BOD</w:t>
            </w:r>
            <w:r>
              <w:rPr>
                <w:rFonts w:hint="default" w:ascii="Times New Roman" w:hAnsi="Times New Roman" w:eastAsia="宋体" w:cs="Times New Roman"/>
                <w:spacing w:val="0"/>
                <w:w w:val="100"/>
                <w:kern w:val="0"/>
                <w:position w:val="0"/>
                <w:sz w:val="24"/>
                <w:szCs w:val="24"/>
                <w:highlight w:val="none"/>
                <w:vertAlign w:val="subscript"/>
                <w:lang w:val="en-US" w:eastAsia="zh-CN"/>
              </w:rPr>
              <w:t>5</w:t>
            </w:r>
            <w:r>
              <w:rPr>
                <w:rFonts w:hint="default" w:ascii="Times New Roman" w:hAnsi="Times New Roman" w:eastAsia="宋体" w:cs="Times New Roman"/>
                <w:spacing w:val="0"/>
                <w:w w:val="100"/>
                <w:kern w:val="0"/>
                <w:position w:val="0"/>
                <w:sz w:val="24"/>
                <w:szCs w:val="24"/>
                <w:highlight w:val="none"/>
                <w:lang w:val="en-US" w:eastAsia="zh-CN"/>
              </w:rPr>
              <w:t>、氨氮和TP等。施工人员产生的生活污水排入临时化粪池暂存，定期清掏，外运堆肥。</w:t>
            </w:r>
            <w:r>
              <w:rPr>
                <w:rFonts w:hint="eastAsia" w:ascii="Times New Roman" w:hAnsi="Times New Roman" w:eastAsia="宋体" w:cs="Times New Roman"/>
                <w:spacing w:val="0"/>
                <w:w w:val="100"/>
                <w:kern w:val="0"/>
                <w:position w:val="0"/>
                <w:sz w:val="24"/>
                <w:szCs w:val="24"/>
                <w:highlight w:val="none"/>
                <w:lang w:val="en-US" w:eastAsia="zh-CN"/>
              </w:rPr>
              <w:t>施工</w:t>
            </w:r>
            <w:r>
              <w:rPr>
                <w:rFonts w:hint="default" w:ascii="Times New Roman" w:hAnsi="Times New Roman" w:eastAsia="宋体" w:cs="Times New Roman"/>
                <w:spacing w:val="0"/>
                <w:w w:val="100"/>
                <w:kern w:val="0"/>
                <w:position w:val="0"/>
                <w:sz w:val="24"/>
                <w:szCs w:val="24"/>
                <w:highlight w:val="none"/>
                <w:lang w:val="en-US" w:eastAsia="zh-CN"/>
              </w:rPr>
              <w:t>废水主要来自施工设备的冷却和洗涤用水，施工现场清洗等，这类废水均含有一定的泥沙，设置沉淀池，生产废水经沉淀后洒水抑尘。施工期间，厂方必须加强环保意识，采取积极措施，以减轻对周围环境的影响。施工期产生的污水对环境影响较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4</w:t>
            </w:r>
            <w:r>
              <w:rPr>
                <w:rFonts w:hint="default" w:ascii="Times New Roman" w:hAnsi="Times New Roman" w:eastAsia="宋体" w:cs="Times New Roman"/>
                <w:spacing w:val="0"/>
                <w:w w:val="100"/>
                <w:kern w:val="0"/>
                <w:position w:val="0"/>
                <w:sz w:val="24"/>
                <w:szCs w:val="24"/>
                <w:highlight w:val="none"/>
                <w:lang w:val="en-US" w:eastAsia="zh-CN"/>
              </w:rPr>
              <w:t>、施工期噪声环境影响分析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施工期噪声主要来自施工机械噪声、施工作业噪声和运输车辆噪声。施工机械噪声由施工机械所造成，如挖土机械等，多为点声源；施工作业噪声主要指一些零星的敲打声、装卸建材的撞击声、拆装模板的撞击声等，多为瞬间噪声；商品混凝土输送泵、空压机为持续噪声源；运输车辆的噪声属于交通噪声。在这些施工噪声中对声环境影响最大的是施工机械噪声，其声级约在8</w:t>
            </w:r>
            <w:r>
              <w:rPr>
                <w:rFonts w:hint="eastAsia" w:cs="Times New Roman"/>
                <w:spacing w:val="0"/>
                <w:w w:val="100"/>
                <w:kern w:val="0"/>
                <w:position w:val="0"/>
                <w:sz w:val="24"/>
                <w:szCs w:val="24"/>
                <w:highlight w:val="none"/>
                <w:lang w:val="en-US" w:eastAsia="zh-CN"/>
              </w:rPr>
              <w:t>6</w:t>
            </w:r>
            <w:r>
              <w:rPr>
                <w:rFonts w:hint="default" w:ascii="Times New Roman" w:hAnsi="Times New Roman" w:eastAsia="宋体" w:cs="Times New Roman"/>
                <w:spacing w:val="0"/>
                <w:w w:val="100"/>
                <w:kern w:val="0"/>
                <w:position w:val="0"/>
                <w:sz w:val="24"/>
                <w:szCs w:val="24"/>
                <w:highlight w:val="none"/>
                <w:lang w:val="en-US" w:eastAsia="zh-CN"/>
              </w:rPr>
              <w:t>dB(A)～9</w:t>
            </w:r>
            <w:r>
              <w:rPr>
                <w:rFonts w:hint="eastAsia" w:cs="Times New Roman"/>
                <w:spacing w:val="0"/>
                <w:w w:val="100"/>
                <w:kern w:val="0"/>
                <w:position w:val="0"/>
                <w:sz w:val="24"/>
                <w:szCs w:val="24"/>
                <w:highlight w:val="none"/>
                <w:lang w:val="en-US" w:eastAsia="zh-CN"/>
              </w:rPr>
              <w:t>6</w:t>
            </w:r>
            <w:r>
              <w:rPr>
                <w:rFonts w:hint="default" w:ascii="Times New Roman" w:hAnsi="Times New Roman" w:eastAsia="宋体" w:cs="Times New Roman"/>
                <w:spacing w:val="0"/>
                <w:w w:val="100"/>
                <w:kern w:val="0"/>
                <w:position w:val="0"/>
                <w:sz w:val="24"/>
                <w:szCs w:val="24"/>
                <w:highlight w:val="none"/>
                <w:lang w:val="en-US" w:eastAsia="zh-CN"/>
              </w:rPr>
              <w:t>dB(A)范围内</w:t>
            </w:r>
            <w:r>
              <w:rPr>
                <w:rFonts w:hint="eastAsia" w:ascii="Times New Roman" w:hAnsi="Times New Roman" w:eastAsia="宋体" w:cs="Times New Roman"/>
                <w:spacing w:val="0"/>
                <w:w w:val="100"/>
                <w:kern w:val="0"/>
                <w:position w:val="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主要施工机械和车辆的噪声级见表</w:t>
            </w:r>
            <w:r>
              <w:rPr>
                <w:rFonts w:hint="eastAsia" w:ascii="Times New Roman" w:hAnsi="Times New Roman" w:eastAsia="宋体" w:cs="Times New Roman"/>
                <w:spacing w:val="0"/>
                <w:w w:val="100"/>
                <w:kern w:val="0"/>
                <w:position w:val="0"/>
                <w:sz w:val="24"/>
                <w:szCs w:val="24"/>
                <w:highlight w:val="none"/>
                <w:lang w:val="en-US" w:eastAsia="zh-CN"/>
              </w:rPr>
              <w:t>4-</w:t>
            </w:r>
            <w:r>
              <w:rPr>
                <w:rFonts w:hint="eastAsia"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，主要施工机械不同距离处的噪声级见表</w:t>
            </w:r>
            <w:r>
              <w:rPr>
                <w:rFonts w:hint="eastAsia" w:ascii="Times New Roman" w:hAnsi="Times New Roman" w:eastAsia="宋体" w:cs="Times New Roman"/>
                <w:spacing w:val="0"/>
                <w:w w:val="100"/>
                <w:kern w:val="0"/>
                <w:position w:val="0"/>
                <w:sz w:val="24"/>
                <w:szCs w:val="24"/>
                <w:highlight w:val="none"/>
                <w:lang w:val="en-US" w:eastAsia="zh-CN"/>
              </w:rPr>
              <w:t>4-</w:t>
            </w:r>
            <w:r>
              <w:rPr>
                <w:rFonts w:hint="eastAsia"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contextualSpacing/>
              <w:jc w:val="center"/>
              <w:textAlignment w:val="auto"/>
              <w:rPr>
                <w:rFonts w:hint="default" w:ascii="Times New Roman" w:hAnsi="Times New Roman" w:cs="Times New Roman"/>
                <w:b/>
                <w:color w:val="000000"/>
                <w:sz w:val="21"/>
                <w:szCs w:val="21"/>
                <w:highlight w:val="none"/>
              </w:rPr>
            </w:pPr>
            <w:r>
              <w:rPr>
                <w:rFonts w:hint="default" w:ascii="Times New Roman" w:hAnsi="Times New Roman" w:cs="Times New Roman"/>
                <w:b/>
                <w:color w:val="000000"/>
                <w:sz w:val="21"/>
                <w:szCs w:val="21"/>
                <w:highlight w:val="none"/>
              </w:rPr>
              <w:t>表</w:t>
            </w:r>
            <w:r>
              <w:rPr>
                <w:rFonts w:hint="eastAsia" w:ascii="Times New Roman" w:hAnsi="Times New Roman" w:cs="Times New Roman"/>
                <w:b/>
                <w:color w:val="000000"/>
                <w:sz w:val="21"/>
                <w:szCs w:val="21"/>
                <w:highlight w:val="none"/>
                <w:lang w:val="en-US" w:eastAsia="zh-CN"/>
              </w:rPr>
              <w:t>4-</w:t>
            </w:r>
            <w:r>
              <w:rPr>
                <w:rFonts w:hint="eastAsia" w:cs="Times New Roman"/>
                <w:b/>
                <w:color w:val="000000"/>
                <w:sz w:val="21"/>
                <w:szCs w:val="21"/>
                <w:highlight w:val="none"/>
                <w:lang w:val="en-US" w:eastAsia="zh-CN"/>
              </w:rPr>
              <w:t>2</w:t>
            </w:r>
            <w:r>
              <w:rPr>
                <w:rFonts w:hint="default" w:ascii="Times New Roman" w:hAnsi="Times New Roman" w:cs="Times New Roman"/>
                <w:b/>
                <w:color w:val="000000"/>
                <w:sz w:val="21"/>
                <w:szCs w:val="21"/>
                <w:highlight w:val="none"/>
              </w:rPr>
              <w:t xml:space="preserve">  主要施工机械和车辆的噪声级    单位：dB（A）</w:t>
            </w:r>
          </w:p>
          <w:tbl>
            <w:tblPr>
              <w:tblStyle w:val="20"/>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37"/>
              <w:gridCol w:w="2045"/>
              <w:gridCol w:w="1011"/>
              <w:gridCol w:w="822"/>
              <w:gridCol w:w="1504"/>
              <w:gridCol w:w="14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1" w:type="pct"/>
                  <w:vMerge w:val="restart"/>
                  <w:tcBorders>
                    <w:top w:val="single" w:color="auto" w:sz="12" w:space="0"/>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施工阶段</w:t>
                  </w:r>
                </w:p>
              </w:tc>
              <w:tc>
                <w:tcPr>
                  <w:tcW w:w="1256" w:type="pct"/>
                  <w:vMerge w:val="restar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施工机械</w:t>
                  </w:r>
                </w:p>
              </w:tc>
              <w:tc>
                <w:tcPr>
                  <w:tcW w:w="1126" w:type="pct"/>
                  <w:gridSpan w:val="2"/>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限值标准</w:t>
                  </w:r>
                </w:p>
              </w:tc>
              <w:tc>
                <w:tcPr>
                  <w:tcW w:w="1795" w:type="pct"/>
                  <w:gridSpan w:val="2"/>
                  <w:tcBorders>
                    <w:top w:val="single" w:color="auto" w:sz="12"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影响范围（m）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1"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p>
              </w:tc>
              <w:tc>
                <w:tcPr>
                  <w:tcW w:w="125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p>
              </w:tc>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昼间</w:t>
                  </w:r>
                </w:p>
              </w:tc>
              <w:tc>
                <w:tcPr>
                  <w:tcW w:w="5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夜间</w:t>
                  </w:r>
                </w:p>
              </w:tc>
              <w:tc>
                <w:tcPr>
                  <w:tcW w:w="9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昼间</w:t>
                  </w:r>
                </w:p>
              </w:tc>
              <w:tc>
                <w:tcPr>
                  <w:tcW w:w="871"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夜间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1" w:type="pct"/>
                  <w:vMerge w:val="restar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土石方</w:t>
                  </w:r>
                </w:p>
              </w:tc>
              <w:tc>
                <w:tcPr>
                  <w:tcW w:w="12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反铲挖掘机</w:t>
                  </w:r>
                </w:p>
              </w:tc>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75</w:t>
                  </w:r>
                </w:p>
              </w:tc>
              <w:tc>
                <w:tcPr>
                  <w:tcW w:w="5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55</w:t>
                  </w:r>
                </w:p>
              </w:tc>
              <w:tc>
                <w:tcPr>
                  <w:tcW w:w="9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28.1</w:t>
                  </w:r>
                </w:p>
              </w:tc>
              <w:tc>
                <w:tcPr>
                  <w:tcW w:w="871"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210.8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1"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p>
              </w:tc>
              <w:tc>
                <w:tcPr>
                  <w:tcW w:w="12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推土机</w:t>
                  </w:r>
                </w:p>
              </w:tc>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75</w:t>
                  </w:r>
                </w:p>
              </w:tc>
              <w:tc>
                <w:tcPr>
                  <w:tcW w:w="5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55</w:t>
                  </w:r>
                </w:p>
              </w:tc>
              <w:tc>
                <w:tcPr>
                  <w:tcW w:w="9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17.7</w:t>
                  </w:r>
                </w:p>
              </w:tc>
              <w:tc>
                <w:tcPr>
                  <w:tcW w:w="871"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177.4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1"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p>
              </w:tc>
              <w:tc>
                <w:tcPr>
                  <w:tcW w:w="12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装载机</w:t>
                  </w:r>
                </w:p>
              </w:tc>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75</w:t>
                  </w:r>
                </w:p>
              </w:tc>
              <w:tc>
                <w:tcPr>
                  <w:tcW w:w="5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55</w:t>
                  </w:r>
                </w:p>
              </w:tc>
              <w:tc>
                <w:tcPr>
                  <w:tcW w:w="9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28.1</w:t>
                  </w:r>
                </w:p>
              </w:tc>
              <w:tc>
                <w:tcPr>
                  <w:tcW w:w="871"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210.8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1"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打桩</w:t>
                  </w:r>
                </w:p>
              </w:tc>
              <w:tc>
                <w:tcPr>
                  <w:tcW w:w="12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打桩机</w:t>
                  </w:r>
                </w:p>
              </w:tc>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75</w:t>
                  </w:r>
                </w:p>
              </w:tc>
              <w:tc>
                <w:tcPr>
                  <w:tcW w:w="5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55</w:t>
                  </w:r>
                </w:p>
              </w:tc>
              <w:tc>
                <w:tcPr>
                  <w:tcW w:w="9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56.5</w:t>
                  </w:r>
                </w:p>
              </w:tc>
              <w:tc>
                <w:tcPr>
                  <w:tcW w:w="871"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558.7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1" w:type="pct"/>
                  <w:vMerge w:val="restar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结构</w:t>
                  </w:r>
                </w:p>
              </w:tc>
              <w:tc>
                <w:tcPr>
                  <w:tcW w:w="12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搅拌机</w:t>
                  </w:r>
                </w:p>
              </w:tc>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70</w:t>
                  </w:r>
                </w:p>
              </w:tc>
              <w:tc>
                <w:tcPr>
                  <w:tcW w:w="5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55</w:t>
                  </w:r>
                </w:p>
              </w:tc>
              <w:tc>
                <w:tcPr>
                  <w:tcW w:w="9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20.0</w:t>
                  </w:r>
                </w:p>
              </w:tc>
              <w:tc>
                <w:tcPr>
                  <w:tcW w:w="871"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112.5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1"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p>
              </w:tc>
              <w:tc>
                <w:tcPr>
                  <w:tcW w:w="12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卡车</w:t>
                  </w:r>
                </w:p>
              </w:tc>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70</w:t>
                  </w:r>
                </w:p>
              </w:tc>
              <w:tc>
                <w:tcPr>
                  <w:tcW w:w="50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55</w:t>
                  </w:r>
                </w:p>
              </w:tc>
              <w:tc>
                <w:tcPr>
                  <w:tcW w:w="9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66.8</w:t>
                  </w:r>
                </w:p>
              </w:tc>
              <w:tc>
                <w:tcPr>
                  <w:tcW w:w="871"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266.1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1" w:type="pct"/>
                  <w:vMerge w:val="continue"/>
                  <w:tcBorders>
                    <w:left w:val="nil"/>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p>
              </w:tc>
              <w:tc>
                <w:tcPr>
                  <w:tcW w:w="1256"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自卸车</w:t>
                  </w:r>
                </w:p>
              </w:tc>
              <w:tc>
                <w:tcPr>
                  <w:tcW w:w="621"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70</w:t>
                  </w:r>
                </w:p>
              </w:tc>
              <w:tc>
                <w:tcPr>
                  <w:tcW w:w="505"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55</w:t>
                  </w:r>
                </w:p>
              </w:tc>
              <w:tc>
                <w:tcPr>
                  <w:tcW w:w="924"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19.9</w:t>
                  </w:r>
                </w:p>
              </w:tc>
              <w:tc>
                <w:tcPr>
                  <w:tcW w:w="871" w:type="pct"/>
                  <w:tcBorders>
                    <w:bottom w:val="single" w:color="auto" w:sz="12"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111.9</w:t>
                  </w:r>
                </w:p>
              </w:tc>
            </w:tr>
          </w:tbl>
          <w:p>
            <w:pPr>
              <w:keepNext w:val="0"/>
              <w:keepLines w:val="0"/>
              <w:pageBreakBefore w:val="0"/>
              <w:widowControl w:val="0"/>
              <w:kinsoku/>
              <w:wordWrap/>
              <w:overflowPunct/>
              <w:topLinePunct w:val="0"/>
              <w:autoSpaceDE/>
              <w:autoSpaceDN/>
              <w:bidi w:val="0"/>
              <w:adjustRightInd/>
              <w:snapToGrid/>
              <w:spacing w:line="240" w:lineRule="auto"/>
              <w:ind w:firstLine="422" w:firstLineChars="200"/>
              <w:contextualSpacing/>
              <w:jc w:val="center"/>
              <w:textAlignment w:val="auto"/>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表</w:t>
            </w:r>
            <w:r>
              <w:rPr>
                <w:rFonts w:hint="eastAsia" w:ascii="Times New Roman" w:hAnsi="Times New Roman" w:eastAsia="宋体" w:cs="Times New Roman"/>
                <w:b/>
                <w:color w:val="000000"/>
                <w:sz w:val="21"/>
                <w:szCs w:val="21"/>
                <w:highlight w:val="none"/>
                <w:lang w:val="en-US" w:eastAsia="zh-CN"/>
              </w:rPr>
              <w:t>4-</w:t>
            </w:r>
            <w:r>
              <w:rPr>
                <w:rFonts w:hint="eastAsia" w:cs="Times New Roman"/>
                <w:b/>
                <w:color w:val="000000"/>
                <w:sz w:val="21"/>
                <w:szCs w:val="21"/>
                <w:highlight w:val="none"/>
                <w:lang w:val="en-US" w:eastAsia="zh-CN"/>
              </w:rPr>
              <w:t>3</w:t>
            </w:r>
            <w:r>
              <w:rPr>
                <w:rFonts w:hint="default" w:ascii="Times New Roman" w:hAnsi="Times New Roman" w:eastAsia="宋体" w:cs="Times New Roman"/>
                <w:b/>
                <w:color w:val="000000"/>
                <w:sz w:val="21"/>
                <w:szCs w:val="21"/>
                <w:highlight w:val="none"/>
              </w:rPr>
              <w:t xml:space="preserve">  主要施工机械不同距离处的噪声级    单位：dB（A）</w:t>
            </w:r>
          </w:p>
          <w:tbl>
            <w:tblPr>
              <w:tblStyle w:val="20"/>
              <w:tblW w:w="4995"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80"/>
              <w:gridCol w:w="580"/>
              <w:gridCol w:w="606"/>
              <w:gridCol w:w="616"/>
              <w:gridCol w:w="684"/>
              <w:gridCol w:w="637"/>
              <w:gridCol w:w="648"/>
              <w:gridCol w:w="725"/>
              <w:gridCol w:w="762"/>
              <w:gridCol w:w="747"/>
              <w:gridCol w:w="74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48" w:type="pct"/>
                  <w:tcBorders>
                    <w:top w:val="single" w:color="auto" w:sz="12" w:space="0"/>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机械名称</w:t>
                  </w:r>
                </w:p>
              </w:tc>
              <w:tc>
                <w:tcPr>
                  <w:tcW w:w="356"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5m</w:t>
                  </w:r>
                </w:p>
              </w:tc>
              <w:tc>
                <w:tcPr>
                  <w:tcW w:w="372"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10m</w:t>
                  </w:r>
                </w:p>
              </w:tc>
              <w:tc>
                <w:tcPr>
                  <w:tcW w:w="378"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20m</w:t>
                  </w:r>
                </w:p>
              </w:tc>
              <w:tc>
                <w:tcPr>
                  <w:tcW w:w="420"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40m</w:t>
                  </w:r>
                </w:p>
              </w:tc>
              <w:tc>
                <w:tcPr>
                  <w:tcW w:w="391"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60m</w:t>
                  </w:r>
                </w:p>
              </w:tc>
              <w:tc>
                <w:tcPr>
                  <w:tcW w:w="398"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80m</w:t>
                  </w:r>
                </w:p>
              </w:tc>
              <w:tc>
                <w:tcPr>
                  <w:tcW w:w="445"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100m</w:t>
                  </w:r>
                </w:p>
              </w:tc>
              <w:tc>
                <w:tcPr>
                  <w:tcW w:w="468"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150m</w:t>
                  </w:r>
                </w:p>
              </w:tc>
              <w:tc>
                <w:tcPr>
                  <w:tcW w:w="459"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200m</w:t>
                  </w:r>
                </w:p>
              </w:tc>
              <w:tc>
                <w:tcPr>
                  <w:tcW w:w="459" w:type="pct"/>
                  <w:tcBorders>
                    <w:top w:val="single" w:color="auto" w:sz="12"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300m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4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反铲挖掘机</w:t>
                  </w:r>
                </w:p>
              </w:tc>
              <w:tc>
                <w:tcPr>
                  <w:tcW w:w="3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90</w:t>
                  </w:r>
                </w:p>
              </w:tc>
              <w:tc>
                <w:tcPr>
                  <w:tcW w:w="3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84</w:t>
                  </w:r>
                </w:p>
              </w:tc>
              <w:tc>
                <w:tcPr>
                  <w:tcW w:w="3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78</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72</w:t>
                  </w:r>
                </w:p>
              </w:tc>
              <w:tc>
                <w:tcPr>
                  <w:tcW w:w="3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68.5</w:t>
                  </w:r>
                </w:p>
              </w:tc>
              <w:tc>
                <w:tcPr>
                  <w:tcW w:w="3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66</w:t>
                  </w:r>
                </w:p>
              </w:tc>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64</w:t>
                  </w:r>
                </w:p>
              </w:tc>
              <w:tc>
                <w:tcPr>
                  <w:tcW w:w="4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60.5</w:t>
                  </w:r>
                </w:p>
              </w:tc>
              <w:tc>
                <w:tcPr>
                  <w:tcW w:w="4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58</w:t>
                  </w:r>
                </w:p>
              </w:tc>
              <w:tc>
                <w:tcPr>
                  <w:tcW w:w="459"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4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推土机</w:t>
                  </w:r>
                </w:p>
              </w:tc>
              <w:tc>
                <w:tcPr>
                  <w:tcW w:w="3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86</w:t>
                  </w:r>
                </w:p>
              </w:tc>
              <w:tc>
                <w:tcPr>
                  <w:tcW w:w="3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80</w:t>
                  </w:r>
                </w:p>
              </w:tc>
              <w:tc>
                <w:tcPr>
                  <w:tcW w:w="3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74</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68</w:t>
                  </w:r>
                </w:p>
              </w:tc>
              <w:tc>
                <w:tcPr>
                  <w:tcW w:w="3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64.5</w:t>
                  </w:r>
                </w:p>
              </w:tc>
              <w:tc>
                <w:tcPr>
                  <w:tcW w:w="3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62</w:t>
                  </w:r>
                </w:p>
              </w:tc>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60</w:t>
                  </w:r>
                </w:p>
              </w:tc>
              <w:tc>
                <w:tcPr>
                  <w:tcW w:w="4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56.5</w:t>
                  </w:r>
                </w:p>
              </w:tc>
              <w:tc>
                <w:tcPr>
                  <w:tcW w:w="4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54</w:t>
                  </w:r>
                </w:p>
              </w:tc>
              <w:tc>
                <w:tcPr>
                  <w:tcW w:w="459"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4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装载机</w:t>
                  </w:r>
                </w:p>
              </w:tc>
              <w:tc>
                <w:tcPr>
                  <w:tcW w:w="3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90</w:t>
                  </w:r>
                </w:p>
              </w:tc>
              <w:tc>
                <w:tcPr>
                  <w:tcW w:w="3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84</w:t>
                  </w:r>
                </w:p>
              </w:tc>
              <w:tc>
                <w:tcPr>
                  <w:tcW w:w="3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78</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72</w:t>
                  </w:r>
                </w:p>
              </w:tc>
              <w:tc>
                <w:tcPr>
                  <w:tcW w:w="3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68.5</w:t>
                  </w:r>
                </w:p>
              </w:tc>
              <w:tc>
                <w:tcPr>
                  <w:tcW w:w="3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66</w:t>
                  </w:r>
                </w:p>
              </w:tc>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64</w:t>
                  </w:r>
                </w:p>
              </w:tc>
              <w:tc>
                <w:tcPr>
                  <w:tcW w:w="4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60.5</w:t>
                  </w:r>
                </w:p>
              </w:tc>
              <w:tc>
                <w:tcPr>
                  <w:tcW w:w="4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58</w:t>
                  </w:r>
                </w:p>
              </w:tc>
              <w:tc>
                <w:tcPr>
                  <w:tcW w:w="459"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4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打桩机</w:t>
                  </w:r>
                </w:p>
              </w:tc>
              <w:tc>
                <w:tcPr>
                  <w:tcW w:w="3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96</w:t>
                  </w:r>
                </w:p>
              </w:tc>
              <w:tc>
                <w:tcPr>
                  <w:tcW w:w="3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90</w:t>
                  </w:r>
                </w:p>
              </w:tc>
              <w:tc>
                <w:tcPr>
                  <w:tcW w:w="37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84</w:t>
                  </w:r>
                </w:p>
              </w:tc>
              <w:tc>
                <w:tcPr>
                  <w:tcW w:w="4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78</w:t>
                  </w:r>
                </w:p>
              </w:tc>
              <w:tc>
                <w:tcPr>
                  <w:tcW w:w="3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74</w:t>
                  </w:r>
                </w:p>
              </w:tc>
              <w:tc>
                <w:tcPr>
                  <w:tcW w:w="3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72</w:t>
                  </w:r>
                </w:p>
              </w:tc>
              <w:tc>
                <w:tcPr>
                  <w:tcW w:w="4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70</w:t>
                  </w:r>
                </w:p>
              </w:tc>
              <w:tc>
                <w:tcPr>
                  <w:tcW w:w="4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66.5</w:t>
                  </w:r>
                </w:p>
              </w:tc>
              <w:tc>
                <w:tcPr>
                  <w:tcW w:w="4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64</w:t>
                  </w:r>
                </w:p>
              </w:tc>
              <w:tc>
                <w:tcPr>
                  <w:tcW w:w="459"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48" w:type="pct"/>
                  <w:tcBorders>
                    <w:left w:val="nil"/>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搅拌机</w:t>
                  </w:r>
                </w:p>
              </w:tc>
              <w:tc>
                <w:tcPr>
                  <w:tcW w:w="356"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87</w:t>
                  </w:r>
                </w:p>
              </w:tc>
              <w:tc>
                <w:tcPr>
                  <w:tcW w:w="372"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81</w:t>
                  </w:r>
                </w:p>
              </w:tc>
              <w:tc>
                <w:tcPr>
                  <w:tcW w:w="378"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75</w:t>
                  </w:r>
                </w:p>
              </w:tc>
              <w:tc>
                <w:tcPr>
                  <w:tcW w:w="420"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69</w:t>
                  </w:r>
                </w:p>
              </w:tc>
              <w:tc>
                <w:tcPr>
                  <w:tcW w:w="391"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65.5</w:t>
                  </w:r>
                </w:p>
              </w:tc>
              <w:tc>
                <w:tcPr>
                  <w:tcW w:w="398"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63</w:t>
                  </w:r>
                </w:p>
              </w:tc>
              <w:tc>
                <w:tcPr>
                  <w:tcW w:w="445"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61</w:t>
                  </w:r>
                </w:p>
              </w:tc>
              <w:tc>
                <w:tcPr>
                  <w:tcW w:w="468"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57.5</w:t>
                  </w:r>
                </w:p>
              </w:tc>
              <w:tc>
                <w:tcPr>
                  <w:tcW w:w="459"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55</w:t>
                  </w:r>
                </w:p>
              </w:tc>
              <w:tc>
                <w:tcPr>
                  <w:tcW w:w="459" w:type="pct"/>
                  <w:tcBorders>
                    <w:bottom w:val="single" w:color="auto" w:sz="12"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51.5</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本项目施工</w:t>
            </w:r>
            <w:r>
              <w:rPr>
                <w:rFonts w:hint="eastAsia" w:ascii="Times New Roman" w:hAnsi="Times New Roman" w:eastAsia="宋体" w:cs="Times New Roman"/>
                <w:spacing w:val="0"/>
                <w:w w:val="100"/>
                <w:kern w:val="0"/>
                <w:position w:val="0"/>
                <w:sz w:val="24"/>
                <w:szCs w:val="24"/>
                <w:highlight w:val="none"/>
                <w:lang w:val="en-US" w:eastAsia="zh-CN"/>
              </w:rPr>
              <w:t>期应</w:t>
            </w:r>
            <w:r>
              <w:rPr>
                <w:rFonts w:hint="default" w:ascii="Times New Roman" w:hAnsi="Times New Roman" w:eastAsia="宋体" w:cs="Times New Roman"/>
                <w:spacing w:val="0"/>
                <w:w w:val="100"/>
                <w:kern w:val="0"/>
                <w:position w:val="0"/>
                <w:sz w:val="24"/>
                <w:szCs w:val="24"/>
                <w:highlight w:val="none"/>
                <w:lang w:val="en-US" w:eastAsia="zh-CN"/>
              </w:rPr>
              <w:t>选用低噪声设备，</w:t>
            </w:r>
            <w:r>
              <w:rPr>
                <w:rFonts w:hint="eastAsia" w:ascii="Times New Roman" w:hAnsi="Times New Roman" w:eastAsia="宋体" w:cs="Times New Roman"/>
                <w:spacing w:val="0"/>
                <w:w w:val="100"/>
                <w:kern w:val="0"/>
                <w:position w:val="0"/>
                <w:sz w:val="24"/>
                <w:szCs w:val="24"/>
                <w:highlight w:val="none"/>
                <w:lang w:val="en-US" w:eastAsia="zh-CN"/>
              </w:rPr>
              <w:t>尽量远于居民布设，</w:t>
            </w:r>
            <w:r>
              <w:rPr>
                <w:rFonts w:hint="default" w:ascii="Times New Roman" w:hAnsi="Times New Roman" w:eastAsia="宋体" w:cs="Times New Roman"/>
                <w:spacing w:val="0"/>
                <w:w w:val="100"/>
                <w:kern w:val="0"/>
                <w:position w:val="0"/>
                <w:sz w:val="24"/>
                <w:szCs w:val="24"/>
                <w:highlight w:val="none"/>
                <w:lang w:val="en-US" w:eastAsia="zh-CN"/>
              </w:rPr>
              <w:t>在施工过程中要做到文明施工，施工机械要采取一定的减振措施，使设备噪声减到最低限。对高噪声施工设备（噪声值≥85dB(A)设备）的使用，仅限于白天使用，夜间（22</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00~6</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00）禁止施工，合理安排施工设备作业时间和施工时间，汽车晚间运输尽量用灯光示警，禁鸣喇叭。</w:t>
            </w:r>
            <w:r>
              <w:rPr>
                <w:rFonts w:hint="eastAsia" w:ascii="Times New Roman" w:hAnsi="Times New Roman" w:eastAsia="宋体" w:cs="Times New Roman"/>
                <w:spacing w:val="0"/>
                <w:w w:val="100"/>
                <w:kern w:val="0"/>
                <w:position w:val="0"/>
                <w:sz w:val="24"/>
                <w:szCs w:val="24"/>
                <w:highlight w:val="none"/>
                <w:lang w:val="en-US" w:eastAsia="zh-CN"/>
              </w:rPr>
              <w:t>道路施工要选择在白天进行，必要时设置声屏障减少对周边居民的影响。</w:t>
            </w:r>
            <w:r>
              <w:rPr>
                <w:rFonts w:hint="default" w:ascii="Times New Roman" w:hAnsi="Times New Roman" w:eastAsia="宋体" w:cs="Times New Roman"/>
                <w:spacing w:val="0"/>
                <w:w w:val="100"/>
                <w:kern w:val="0"/>
                <w:position w:val="0"/>
                <w:sz w:val="24"/>
                <w:szCs w:val="24"/>
                <w:highlight w:val="none"/>
                <w:lang w:val="en-US" w:eastAsia="zh-CN"/>
              </w:rPr>
              <w:t>合理选择运输路线，对产生噪声的设备加强维修和维护，场界噪声可满足《建筑施工场界环境噪声排放标准》（GB12523-2011）的规定，施工期间的噪声对周围声环境的影响</w:t>
            </w:r>
            <w:r>
              <w:rPr>
                <w:rFonts w:hint="eastAsia" w:ascii="Times New Roman" w:hAnsi="Times New Roman" w:eastAsia="宋体" w:cs="Times New Roman"/>
                <w:spacing w:val="0"/>
                <w:w w:val="100"/>
                <w:kern w:val="0"/>
                <w:position w:val="0"/>
                <w:sz w:val="24"/>
                <w:szCs w:val="24"/>
                <w:highlight w:val="none"/>
                <w:lang w:val="en-US" w:eastAsia="zh-CN"/>
              </w:rPr>
              <w:t>可接受</w:t>
            </w:r>
            <w:r>
              <w:rPr>
                <w:rFonts w:hint="default" w:ascii="Times New Roman" w:hAnsi="Times New Roman" w:eastAsia="宋体" w:cs="Times New Roman"/>
                <w:spacing w:val="0"/>
                <w:w w:val="100"/>
                <w:kern w:val="0"/>
                <w:position w:val="0"/>
                <w:sz w:val="24"/>
                <w:szCs w:val="24"/>
                <w:highlight w:val="none"/>
                <w:lang w:val="en-US" w:eastAsia="zh-CN"/>
              </w:rPr>
              <w:t>。</w:t>
            </w:r>
            <w:bookmarkStart w:id="49" w:name="_Ref166659946"/>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5</w:t>
            </w:r>
            <w:r>
              <w:rPr>
                <w:rFonts w:hint="default" w:ascii="Times New Roman" w:hAnsi="Times New Roman" w:eastAsia="宋体" w:cs="Times New Roman"/>
                <w:spacing w:val="0"/>
                <w:w w:val="100"/>
                <w:kern w:val="0"/>
                <w:position w:val="0"/>
                <w:sz w:val="24"/>
                <w:szCs w:val="24"/>
                <w:highlight w:val="none"/>
                <w:lang w:val="en-US" w:eastAsia="zh-CN"/>
              </w:rPr>
              <w:t>、施工期固体废物环境影响分析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本项目施工期产生的固体废物主要包括建筑物工程产生的建筑垃圾，施工人员产生的生活垃圾。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项目施工期产生的土方主要为土地平整及挖地基时产生的土方，除回填、平整场地外，挖方的表土用于</w:t>
            </w:r>
            <w:r>
              <w:rPr>
                <w:rFonts w:hint="eastAsia" w:ascii="Times New Roman" w:hAnsi="Times New Roman" w:eastAsia="宋体" w:cs="Times New Roman"/>
                <w:spacing w:val="0"/>
                <w:w w:val="100"/>
                <w:kern w:val="0"/>
                <w:position w:val="0"/>
                <w:sz w:val="24"/>
                <w:szCs w:val="24"/>
                <w:highlight w:val="none"/>
                <w:lang w:val="en-US" w:eastAsia="zh-CN"/>
              </w:rPr>
              <w:t>生态恢复</w:t>
            </w: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输电</w:t>
            </w:r>
            <w:r>
              <w:rPr>
                <w:rFonts w:hint="default" w:ascii="Times New Roman" w:hAnsi="Times New Roman" w:eastAsia="宋体" w:cs="Times New Roman"/>
                <w:spacing w:val="0"/>
                <w:w w:val="100"/>
                <w:kern w:val="0"/>
                <w:position w:val="0"/>
                <w:sz w:val="24"/>
                <w:szCs w:val="24"/>
                <w:highlight w:val="none"/>
                <w:lang w:val="en-US" w:eastAsia="zh-CN"/>
              </w:rPr>
              <w:t>线路等基槽余土用于平整、回填</w:t>
            </w:r>
            <w:r>
              <w:rPr>
                <w:rFonts w:hint="eastAsia" w:ascii="Times New Roman" w:hAnsi="Times New Roman" w:eastAsia="宋体" w:cs="Times New Roman"/>
                <w:spacing w:val="0"/>
                <w:w w:val="100"/>
                <w:kern w:val="0"/>
                <w:position w:val="0"/>
                <w:sz w:val="24"/>
                <w:szCs w:val="24"/>
                <w:highlight w:val="none"/>
                <w:lang w:val="en-US" w:eastAsia="zh-CN"/>
              </w:rPr>
              <w:t>变电站</w:t>
            </w:r>
            <w:r>
              <w:rPr>
                <w:rFonts w:hint="default" w:ascii="Times New Roman" w:hAnsi="Times New Roman" w:eastAsia="宋体" w:cs="Times New Roman"/>
                <w:spacing w:val="0"/>
                <w:w w:val="100"/>
                <w:kern w:val="0"/>
                <w:position w:val="0"/>
                <w:sz w:val="24"/>
                <w:szCs w:val="24"/>
                <w:highlight w:val="none"/>
                <w:lang w:val="en-US" w:eastAsia="zh-CN"/>
              </w:rPr>
              <w:t>场地及临建施工场地，全部用于回填，无弃方产生。施工期间为了保护表土，在施工前对施工道路进行表土剥离，剥离厚度为30cm，剥离的表土堆置在临近的施工生产区内，施工结束后结合水土保持的全面整地进行表土回填。堆置在施工生产生活区内的表土进行临时防护。</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在运输各种建筑材料（如砂石、水泥、砖、木材等）过程中以及在工程完成后，会残留不少废建筑材料。对于建筑垃圾，其中的钢筋可以回收利用</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废弃垃圾中钢筋、木材、废纸板等可以回收利用，混凝土块、砖瓦、弃渣等送至市政管理部门指定地点。</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另外施工期间施工人员还将产生一定量的生活垃圾。本项目施工期约</w:t>
            </w:r>
            <w:r>
              <w:rPr>
                <w:rFonts w:hint="eastAsia" w:ascii="Times New Roman" w:hAnsi="Times New Roman" w:eastAsia="宋体"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个月，施工人数约</w:t>
            </w:r>
            <w:r>
              <w:rPr>
                <w:rFonts w:hint="eastAsia" w:ascii="Times New Roman" w:hAnsi="Times New Roman" w:eastAsia="宋体" w:cs="Times New Roman"/>
                <w:spacing w:val="0"/>
                <w:w w:val="100"/>
                <w:kern w:val="0"/>
                <w:position w:val="0"/>
                <w:sz w:val="24"/>
                <w:szCs w:val="24"/>
                <w:highlight w:val="none"/>
                <w:lang w:val="en-US" w:eastAsia="zh-CN"/>
              </w:rPr>
              <w:t>5</w:t>
            </w:r>
            <w:r>
              <w:rPr>
                <w:rFonts w:hint="default" w:ascii="Times New Roman" w:hAnsi="Times New Roman" w:eastAsia="宋体" w:cs="Times New Roman"/>
                <w:spacing w:val="0"/>
                <w:w w:val="100"/>
                <w:kern w:val="0"/>
                <w:position w:val="0"/>
                <w:sz w:val="24"/>
                <w:szCs w:val="24"/>
                <w:highlight w:val="none"/>
                <w:lang w:val="en-US" w:eastAsia="zh-CN"/>
              </w:rPr>
              <w:t>0人，按每人每天产生生活垃圾</w:t>
            </w:r>
            <w:r>
              <w:rPr>
                <w:rFonts w:hint="eastAsia" w:ascii="Times New Roman" w:hAnsi="Times New Roman" w:eastAsia="宋体" w:cs="Times New Roman"/>
                <w:spacing w:val="0"/>
                <w:w w:val="100"/>
                <w:kern w:val="0"/>
                <w:position w:val="0"/>
                <w:sz w:val="24"/>
                <w:szCs w:val="24"/>
                <w:highlight w:val="none"/>
                <w:lang w:val="en-US" w:eastAsia="zh-CN"/>
              </w:rPr>
              <w:t>0.5</w:t>
            </w:r>
            <w:r>
              <w:rPr>
                <w:rFonts w:hint="default" w:ascii="Times New Roman" w:hAnsi="Times New Roman" w:eastAsia="宋体" w:cs="Times New Roman"/>
                <w:spacing w:val="0"/>
                <w:w w:val="100"/>
                <w:kern w:val="0"/>
                <w:position w:val="0"/>
                <w:sz w:val="24"/>
                <w:szCs w:val="24"/>
                <w:highlight w:val="none"/>
                <w:lang w:val="en-US" w:eastAsia="zh-CN"/>
              </w:rPr>
              <w:t>kg计算，则本项目施工期生活垃圾最大产生量约</w:t>
            </w:r>
            <w:r>
              <w:rPr>
                <w:rFonts w:hint="eastAsia" w:cs="Times New Roman"/>
                <w:spacing w:val="0"/>
                <w:w w:val="100"/>
                <w:kern w:val="0"/>
                <w:position w:val="0"/>
                <w:sz w:val="24"/>
                <w:szCs w:val="24"/>
                <w:highlight w:val="none"/>
                <w:lang w:val="en-US" w:eastAsia="zh-CN"/>
              </w:rPr>
              <w:t>2.25</w:t>
            </w:r>
            <w:r>
              <w:rPr>
                <w:rFonts w:hint="default" w:ascii="Times New Roman" w:hAnsi="Times New Roman" w:eastAsia="宋体" w:cs="Times New Roman"/>
                <w:spacing w:val="0"/>
                <w:w w:val="100"/>
                <w:kern w:val="0"/>
                <w:position w:val="0"/>
                <w:sz w:val="24"/>
                <w:szCs w:val="24"/>
                <w:highlight w:val="none"/>
                <w:lang w:val="en-US" w:eastAsia="zh-CN"/>
              </w:rPr>
              <w:t>t。施工期产生的生活垃圾收集后交市政环卫部门统一处理</w:t>
            </w:r>
            <w:r>
              <w:rPr>
                <w:rFonts w:hint="eastAsia" w:ascii="Times New Roman" w:hAnsi="Times New Roman" w:eastAsia="宋体" w:cs="Times New Roman"/>
                <w:spacing w:val="0"/>
                <w:w w:val="100"/>
                <w:kern w:val="0"/>
                <w:position w:val="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s="宋体"/>
                <w:bCs/>
                <w:szCs w:val="21"/>
              </w:rPr>
            </w:pPr>
            <w:r>
              <w:rPr>
                <w:rFonts w:hint="default" w:ascii="Times New Roman" w:hAnsi="Times New Roman" w:eastAsia="宋体" w:cs="Times New Roman"/>
                <w:spacing w:val="0"/>
                <w:w w:val="100"/>
                <w:kern w:val="0"/>
                <w:position w:val="0"/>
                <w:sz w:val="24"/>
                <w:szCs w:val="24"/>
                <w:highlight w:val="none"/>
                <w:lang w:val="en-US" w:eastAsia="zh-CN"/>
              </w:rPr>
              <w:t>项目施工期土地平整及基础开挖挖方全部用于回填，无弃方产生。工程施工前，先对场区占用的耕地区域进行表土剥离，剥离厚度约0.3m，剥离的土方堆放在项目区内临时堆土区，后期回覆。故施工期的固体废物对外环境影响较小。</w:t>
            </w:r>
            <w:bookmarkEnd w:id="49"/>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71" w:hRule="atLeast"/>
          <w:jc w:val="center"/>
        </w:trPr>
        <w:tc>
          <w:tcPr>
            <w:tcW w:w="879" w:type="dxa"/>
            <w:noWrap w:val="0"/>
            <w:tcMar>
              <w:left w:w="28" w:type="dxa"/>
              <w:right w:w="28" w:type="dxa"/>
            </w:tcMar>
            <w:vAlign w:val="center"/>
          </w:tcPr>
          <w:p>
            <w:pPr>
              <w:pStyle w:val="17"/>
              <w:adjustRightInd w:val="0"/>
              <w:snapToGrid w:val="0"/>
              <w:spacing w:before="0" w:beforeAutospacing="0" w:after="0" w:afterAutospacing="0"/>
              <w:jc w:val="center"/>
              <w:rPr>
                <w:rFonts w:cs="宋体"/>
                <w:bCs/>
                <w:kern w:val="2"/>
                <w:sz w:val="24"/>
                <w:szCs w:val="24"/>
              </w:rPr>
            </w:pPr>
            <w:r>
              <w:rPr>
                <w:rFonts w:hint="eastAsia" w:cs="宋体"/>
                <w:bCs/>
                <w:spacing w:val="10"/>
                <w:kern w:val="2"/>
                <w:sz w:val="24"/>
                <w:szCs w:val="24"/>
              </w:rPr>
              <w:t>运营期生态环境影响分析</w:t>
            </w:r>
          </w:p>
        </w:tc>
        <w:tc>
          <w:tcPr>
            <w:tcW w:w="8363"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运营期</w:t>
            </w:r>
            <w:r>
              <w:rPr>
                <w:rFonts w:hint="eastAsia" w:ascii="Times New Roman" w:hAnsi="Times New Roman" w:eastAsia="宋体" w:cs="Times New Roman"/>
                <w:spacing w:val="0"/>
                <w:w w:val="100"/>
                <w:kern w:val="0"/>
                <w:position w:val="0"/>
                <w:sz w:val="24"/>
                <w:szCs w:val="24"/>
                <w:highlight w:val="none"/>
                <w:lang w:val="en-US" w:eastAsia="zh-CN"/>
              </w:rPr>
              <w:t>工艺流程及产污节点：</w:t>
            </w:r>
          </w:p>
          <w:p>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drawing>
                <wp:inline distT="0" distB="0" distL="114300" distR="114300">
                  <wp:extent cx="3983990" cy="1930400"/>
                  <wp:effectExtent l="0" t="0" r="0" b="0"/>
                  <wp:docPr id="7" name="ECB019B1-382A-4266-B25C-5B523AA43C14-1" descr="C:/Users/18292/AppData/Local/Temp/wps.VrwqsV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CB019B1-382A-4266-B25C-5B523AA43C14-1" descr="C:/Users/18292/AppData/Local/Temp/wps.VrwqsVwps"/>
                          <pic:cNvPicPr>
                            <a:picLocks noChangeAspect="1"/>
                          </pic:cNvPicPr>
                        </pic:nvPicPr>
                        <pic:blipFill>
                          <a:blip r:embed="rId16"/>
                          <a:stretch>
                            <a:fillRect/>
                          </a:stretch>
                        </pic:blipFill>
                        <pic:spPr>
                          <a:xfrm>
                            <a:off x="0" y="0"/>
                            <a:ext cx="3983990" cy="1930400"/>
                          </a:xfrm>
                          <a:prstGeom prst="rect">
                            <a:avLst/>
                          </a:prstGeom>
                        </pic:spPr>
                      </pic:pic>
                    </a:graphicData>
                  </a:graphic>
                </wp:inline>
              </w:drawing>
            </w:r>
          </w:p>
          <w:p>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b/>
                <w:color w:val="000000"/>
                <w:sz w:val="21"/>
                <w:szCs w:val="21"/>
                <w:lang w:val="en-US" w:eastAsia="zh-CN"/>
              </w:rPr>
              <w:t xml:space="preserve">图4-1 </w:t>
            </w:r>
            <w:r>
              <w:rPr>
                <w:rFonts w:hint="eastAsia" w:cs="Times New Roman"/>
                <w:b/>
                <w:color w:val="000000"/>
                <w:sz w:val="21"/>
                <w:szCs w:val="21"/>
                <w:lang w:val="en-US" w:eastAsia="zh-CN"/>
              </w:rPr>
              <w:t xml:space="preserve"> </w:t>
            </w:r>
            <w:r>
              <w:rPr>
                <w:rFonts w:hint="eastAsia" w:ascii="Times New Roman" w:hAnsi="Times New Roman" w:eastAsia="宋体" w:cs="Times New Roman"/>
                <w:b/>
                <w:color w:val="000000"/>
                <w:sz w:val="21"/>
                <w:szCs w:val="21"/>
                <w:lang w:val="en-US" w:eastAsia="zh-CN"/>
              </w:rPr>
              <w:t>运营期工艺流程及产污节点</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1、对生态环境的影响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运营期主要</w:t>
            </w:r>
            <w:r>
              <w:rPr>
                <w:rFonts w:hint="eastAsia" w:ascii="Times New Roman" w:hAnsi="Times New Roman" w:eastAsia="宋体" w:cs="Times New Roman"/>
                <w:spacing w:val="0"/>
                <w:w w:val="100"/>
                <w:kern w:val="0"/>
                <w:position w:val="0"/>
                <w:sz w:val="24"/>
                <w:szCs w:val="24"/>
                <w:highlight w:val="none"/>
                <w:lang w:val="en-US" w:eastAsia="zh-CN"/>
              </w:rPr>
              <w:t>是</w:t>
            </w:r>
            <w:r>
              <w:rPr>
                <w:rFonts w:hint="default" w:ascii="Times New Roman" w:hAnsi="Times New Roman" w:eastAsia="宋体" w:cs="Times New Roman"/>
                <w:spacing w:val="0"/>
                <w:w w:val="100"/>
                <w:kern w:val="0"/>
                <w:position w:val="0"/>
                <w:sz w:val="24"/>
                <w:szCs w:val="24"/>
                <w:highlight w:val="none"/>
                <w:lang w:val="en-US" w:eastAsia="zh-CN"/>
              </w:rPr>
              <w:t>对生态环境的影响主要表现在对景观风貌的影响、对野生动物的影响，场地开阔，无生态阻隔影响。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（1）对景观风貌的影响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本项目投产后，</w:t>
            </w:r>
            <w:r>
              <w:rPr>
                <w:rFonts w:hint="eastAsia" w:ascii="Times New Roman" w:hAnsi="Times New Roman" w:eastAsia="宋体" w:cs="Times New Roman"/>
                <w:spacing w:val="0"/>
                <w:w w:val="100"/>
                <w:kern w:val="0"/>
                <w:position w:val="0"/>
                <w:sz w:val="24"/>
                <w:szCs w:val="24"/>
                <w:highlight w:val="none"/>
                <w:lang w:val="en-US" w:eastAsia="zh-CN"/>
              </w:rPr>
              <w:t>输电线路</w:t>
            </w:r>
            <w:r>
              <w:rPr>
                <w:rFonts w:hint="default" w:ascii="Times New Roman" w:hAnsi="Times New Roman" w:eastAsia="宋体" w:cs="Times New Roman"/>
                <w:spacing w:val="0"/>
                <w:w w:val="100"/>
                <w:kern w:val="0"/>
                <w:position w:val="0"/>
                <w:sz w:val="24"/>
                <w:szCs w:val="24"/>
                <w:highlight w:val="none"/>
                <w:lang w:val="en-US" w:eastAsia="zh-CN"/>
              </w:rPr>
              <w:t>的建设将使占地区域自然生态环境发生改变，因此对景观生态环境造成一定影响，但是</w:t>
            </w:r>
            <w:r>
              <w:rPr>
                <w:rFonts w:hint="eastAsia" w:ascii="Times New Roman" w:hAnsi="Times New Roman" w:eastAsia="宋体" w:cs="Times New Roman"/>
                <w:spacing w:val="0"/>
                <w:w w:val="100"/>
                <w:kern w:val="0"/>
                <w:position w:val="0"/>
                <w:sz w:val="24"/>
                <w:szCs w:val="24"/>
                <w:highlight w:val="none"/>
                <w:lang w:val="en-US" w:eastAsia="zh-CN"/>
              </w:rPr>
              <w:t>输电线路</w:t>
            </w:r>
            <w:r>
              <w:rPr>
                <w:rFonts w:hint="default" w:ascii="Times New Roman" w:hAnsi="Times New Roman" w:eastAsia="宋体" w:cs="Times New Roman"/>
                <w:spacing w:val="0"/>
                <w:w w:val="100"/>
                <w:kern w:val="0"/>
                <w:position w:val="0"/>
                <w:sz w:val="24"/>
                <w:szCs w:val="24"/>
                <w:highlight w:val="none"/>
                <w:lang w:val="en-US" w:eastAsia="zh-CN"/>
              </w:rPr>
              <w:t>形成的人工景观，与该区域自然景观相匹配，使该区景观生态环境更具特色，更为协调。因此，</w:t>
            </w:r>
            <w:r>
              <w:rPr>
                <w:rFonts w:hint="eastAsia" w:ascii="Times New Roman" w:hAnsi="Times New Roman" w:eastAsia="宋体" w:cs="Times New Roman"/>
                <w:spacing w:val="0"/>
                <w:w w:val="100"/>
                <w:kern w:val="0"/>
                <w:position w:val="0"/>
                <w:sz w:val="24"/>
                <w:szCs w:val="24"/>
                <w:highlight w:val="none"/>
                <w:lang w:val="en-US" w:eastAsia="zh-CN"/>
              </w:rPr>
              <w:t>输电</w:t>
            </w:r>
            <w:r>
              <w:rPr>
                <w:rFonts w:hint="default" w:ascii="Times New Roman" w:hAnsi="Times New Roman" w:eastAsia="宋体" w:cs="Times New Roman"/>
                <w:spacing w:val="0"/>
                <w:w w:val="100"/>
                <w:kern w:val="0"/>
                <w:position w:val="0"/>
                <w:sz w:val="24"/>
                <w:szCs w:val="24"/>
                <w:highlight w:val="none"/>
                <w:lang w:val="en-US" w:eastAsia="zh-CN"/>
              </w:rPr>
              <w:t>工程对自然景观风貌的影响是可以被外环境接受的。</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（2）对野生动物的影响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本项目投产后，运行产生的机械噪声以及</w:t>
            </w:r>
            <w:r>
              <w:rPr>
                <w:rFonts w:hint="eastAsia" w:ascii="Times New Roman" w:hAnsi="Times New Roman" w:eastAsia="宋体" w:cs="Times New Roman"/>
                <w:spacing w:val="0"/>
                <w:w w:val="100"/>
                <w:kern w:val="0"/>
                <w:position w:val="0"/>
                <w:sz w:val="24"/>
                <w:szCs w:val="24"/>
                <w:highlight w:val="none"/>
                <w:lang w:val="en-US" w:eastAsia="zh-CN"/>
              </w:rPr>
              <w:t>塔基线路</w:t>
            </w:r>
            <w:r>
              <w:rPr>
                <w:rFonts w:hint="default" w:ascii="Times New Roman" w:hAnsi="Times New Roman" w:eastAsia="宋体" w:cs="Times New Roman"/>
                <w:spacing w:val="0"/>
                <w:w w:val="100"/>
                <w:kern w:val="0"/>
                <w:position w:val="0"/>
                <w:sz w:val="24"/>
                <w:szCs w:val="24"/>
                <w:highlight w:val="none"/>
                <w:lang w:val="en-US" w:eastAsia="zh-CN"/>
              </w:rPr>
              <w:t>对鸟类有一定的影响，可能会改变野生动物的出没通道和活动范围，由于</w:t>
            </w:r>
            <w:r>
              <w:rPr>
                <w:rFonts w:hint="eastAsia" w:ascii="Times New Roman" w:hAnsi="Times New Roman" w:eastAsia="宋体" w:cs="Times New Roman"/>
                <w:spacing w:val="0"/>
                <w:w w:val="100"/>
                <w:kern w:val="0"/>
                <w:position w:val="0"/>
                <w:sz w:val="24"/>
                <w:szCs w:val="24"/>
                <w:highlight w:val="none"/>
                <w:lang w:val="en-US" w:eastAsia="zh-CN"/>
              </w:rPr>
              <w:t>项目</w:t>
            </w:r>
            <w:r>
              <w:rPr>
                <w:rFonts w:hint="default" w:ascii="Times New Roman" w:hAnsi="Times New Roman" w:eastAsia="宋体" w:cs="Times New Roman"/>
                <w:spacing w:val="0"/>
                <w:w w:val="100"/>
                <w:kern w:val="0"/>
                <w:position w:val="0"/>
                <w:sz w:val="24"/>
                <w:szCs w:val="24"/>
                <w:highlight w:val="none"/>
                <w:lang w:val="en-US" w:eastAsia="zh-CN"/>
              </w:rPr>
              <w:t>建设在耕地内，对野生动物的影响范围较小，场地四周开阔，不会对造成野生动物生态阻隔。项目所在区域没有国家保护鸟类，根据我国鸟类迁徙路径关系图，本项目所在位置不是候鸟迁徙的主要路线，项目区常见鸟类为乌鸦、麻雀等，因此</w:t>
            </w:r>
            <w:r>
              <w:rPr>
                <w:rFonts w:hint="eastAsia" w:ascii="Times New Roman" w:hAnsi="Times New Roman" w:eastAsia="宋体" w:cs="Times New Roman"/>
                <w:spacing w:val="0"/>
                <w:w w:val="100"/>
                <w:kern w:val="0"/>
                <w:position w:val="0"/>
                <w:sz w:val="24"/>
                <w:szCs w:val="24"/>
                <w:highlight w:val="none"/>
                <w:lang w:val="en-US" w:eastAsia="zh-CN"/>
              </w:rPr>
              <w:t>本项目的</w:t>
            </w:r>
            <w:r>
              <w:rPr>
                <w:rFonts w:hint="default" w:ascii="Times New Roman" w:hAnsi="Times New Roman" w:eastAsia="宋体" w:cs="Times New Roman"/>
                <w:spacing w:val="0"/>
                <w:w w:val="100"/>
                <w:kern w:val="0"/>
                <w:position w:val="0"/>
                <w:sz w:val="24"/>
                <w:szCs w:val="24"/>
                <w:highlight w:val="none"/>
                <w:lang w:val="en-US" w:eastAsia="zh-CN"/>
              </w:rPr>
              <w:t>建设对鸟类影响不大。</w:t>
            </w:r>
          </w:p>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pacing w:val="0"/>
                <w:w w:val="100"/>
                <w:kern w:val="0"/>
                <w:position w:val="0"/>
                <w:sz w:val="24"/>
                <w:szCs w:val="24"/>
                <w:highlight w:val="none"/>
                <w:lang w:val="en-US" w:eastAsia="zh-CN"/>
              </w:rPr>
            </w:pPr>
            <w:r>
              <w:drawing>
                <wp:inline distT="0" distB="0" distL="114300" distR="114300">
                  <wp:extent cx="5166360" cy="3550285"/>
                  <wp:effectExtent l="0" t="0" r="15240" b="1206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7"/>
                          <a:stretch>
                            <a:fillRect/>
                          </a:stretch>
                        </pic:blipFill>
                        <pic:spPr>
                          <a:xfrm>
                            <a:off x="0" y="0"/>
                            <a:ext cx="5166360" cy="355028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b/>
                <w:color w:val="000000"/>
                <w:sz w:val="21"/>
                <w:szCs w:val="21"/>
              </w:rPr>
              <w:t>图</w:t>
            </w:r>
            <w:r>
              <w:rPr>
                <w:rFonts w:hint="default" w:ascii="Times New Roman" w:hAnsi="Times New Roman" w:eastAsia="宋体" w:cs="Times New Roman"/>
                <w:b/>
                <w:color w:val="000000"/>
                <w:sz w:val="21"/>
                <w:szCs w:val="21"/>
                <w:lang w:val="en-US" w:eastAsia="zh-CN"/>
              </w:rPr>
              <w:t>4-</w:t>
            </w:r>
            <w:r>
              <w:rPr>
                <w:rFonts w:hint="eastAsia" w:ascii="Times New Roman" w:hAnsi="Times New Roman" w:eastAsia="宋体" w:cs="Times New Roman"/>
                <w:b/>
                <w:color w:val="000000"/>
                <w:sz w:val="21"/>
                <w:szCs w:val="21"/>
                <w:lang w:val="en-US" w:eastAsia="zh-CN"/>
              </w:rPr>
              <w:t>2</w:t>
            </w:r>
            <w:r>
              <w:rPr>
                <w:rFonts w:hint="default" w:ascii="Times New Roman" w:hAnsi="Times New Roman" w:eastAsia="宋体" w:cs="Times New Roman"/>
                <w:b/>
                <w:color w:val="000000"/>
                <w:sz w:val="21"/>
                <w:szCs w:val="21"/>
                <w:lang w:val="en-US" w:eastAsia="zh-CN"/>
              </w:rPr>
              <w:t xml:space="preserve"> </w:t>
            </w:r>
            <w:r>
              <w:rPr>
                <w:rFonts w:hint="default" w:ascii="Times New Roman" w:hAnsi="Times New Roman" w:eastAsia="宋体" w:cs="Times New Roman"/>
                <w:b/>
                <w:color w:val="000000"/>
                <w:sz w:val="21"/>
                <w:szCs w:val="21"/>
              </w:rPr>
              <w:t xml:space="preserve"> 项目位置与我国鸟类迁徙路径关系图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鸟类迁徙过境时的飞行高度约为150-600m，而且一般鸟类都具有良好的视力，它们很容易发现并躲避障碍物，在飞行途中遇到障碍物都会在远离大约100-200m的安全距离下避开。因此在天气晴好的情况下，即使在鸟类数量非常多的海岸带区域，鸟类与</w:t>
            </w:r>
            <w:r>
              <w:rPr>
                <w:rFonts w:hint="eastAsia" w:ascii="Times New Roman" w:hAnsi="Times New Roman" w:eastAsia="宋体" w:cs="Times New Roman"/>
                <w:spacing w:val="0"/>
                <w:w w:val="100"/>
                <w:kern w:val="0"/>
                <w:position w:val="0"/>
                <w:sz w:val="24"/>
                <w:szCs w:val="24"/>
                <w:highlight w:val="none"/>
                <w:lang w:val="en-US" w:eastAsia="zh-CN"/>
              </w:rPr>
              <w:t>塔基</w:t>
            </w:r>
            <w:r>
              <w:rPr>
                <w:rFonts w:hint="default" w:ascii="Times New Roman" w:hAnsi="Times New Roman" w:eastAsia="宋体" w:cs="Times New Roman"/>
                <w:spacing w:val="0"/>
                <w:w w:val="100"/>
                <w:kern w:val="0"/>
                <w:position w:val="0"/>
                <w:sz w:val="24"/>
                <w:szCs w:val="24"/>
                <w:highlight w:val="none"/>
                <w:lang w:val="en-US" w:eastAsia="zh-CN"/>
              </w:rPr>
              <w:t>撞击的概率基本为零。在天气条件较差时，如遇上暴雨、大风天气、有云的夜晚，鸟类通常会降低飞行高度，</w:t>
            </w:r>
            <w:r>
              <w:rPr>
                <w:rFonts w:hint="eastAsia" w:ascii="Times New Roman" w:hAnsi="Times New Roman" w:eastAsia="宋体" w:cs="Times New Roman"/>
                <w:spacing w:val="0"/>
                <w:w w:val="100"/>
                <w:kern w:val="0"/>
                <w:position w:val="0"/>
                <w:sz w:val="24"/>
                <w:szCs w:val="24"/>
                <w:highlight w:val="none"/>
                <w:lang w:val="en-US" w:eastAsia="zh-CN"/>
              </w:rPr>
              <w:t>大多数也会超过塔基的最高高度</w:t>
            </w:r>
            <w:r>
              <w:rPr>
                <w:rFonts w:hint="eastAsia" w:cs="Times New Roman"/>
                <w:spacing w:val="0"/>
                <w:w w:val="100"/>
                <w:kern w:val="0"/>
                <w:position w:val="0"/>
                <w:sz w:val="24"/>
                <w:szCs w:val="24"/>
                <w:highlight w:val="none"/>
                <w:lang w:val="en-US" w:eastAsia="zh-CN"/>
              </w:rPr>
              <w:t>51</w:t>
            </w:r>
            <w:r>
              <w:rPr>
                <w:rFonts w:hint="eastAsia" w:ascii="Times New Roman" w:hAnsi="Times New Roman" w:eastAsia="宋体" w:cs="Times New Roman"/>
                <w:spacing w:val="0"/>
                <w:w w:val="100"/>
                <w:kern w:val="0"/>
                <w:position w:val="0"/>
                <w:sz w:val="24"/>
                <w:szCs w:val="24"/>
                <w:highlight w:val="none"/>
                <w:lang w:val="en-US" w:eastAsia="zh-CN"/>
              </w:rPr>
              <w:t>m，故</w:t>
            </w:r>
            <w:r>
              <w:rPr>
                <w:rFonts w:hint="default" w:ascii="Times New Roman" w:hAnsi="Times New Roman" w:eastAsia="宋体" w:cs="Times New Roman"/>
                <w:spacing w:val="0"/>
                <w:w w:val="100"/>
                <w:kern w:val="0"/>
                <w:position w:val="0"/>
                <w:sz w:val="24"/>
                <w:szCs w:val="24"/>
                <w:highlight w:val="none"/>
                <w:lang w:val="en-US" w:eastAsia="zh-CN"/>
              </w:rPr>
              <w:t>鸟类与</w:t>
            </w:r>
            <w:r>
              <w:rPr>
                <w:rFonts w:hint="eastAsia" w:ascii="Times New Roman" w:hAnsi="Times New Roman" w:eastAsia="宋体" w:cs="Times New Roman"/>
                <w:spacing w:val="0"/>
                <w:w w:val="100"/>
                <w:kern w:val="0"/>
                <w:position w:val="0"/>
                <w:sz w:val="24"/>
                <w:szCs w:val="24"/>
                <w:highlight w:val="none"/>
                <w:lang w:val="en-US" w:eastAsia="zh-CN"/>
              </w:rPr>
              <w:t>塔基</w:t>
            </w:r>
            <w:r>
              <w:rPr>
                <w:rFonts w:hint="default" w:ascii="Times New Roman" w:hAnsi="Times New Roman" w:eastAsia="宋体" w:cs="Times New Roman"/>
                <w:spacing w:val="0"/>
                <w:w w:val="100"/>
                <w:kern w:val="0"/>
                <w:position w:val="0"/>
                <w:sz w:val="24"/>
                <w:szCs w:val="24"/>
                <w:highlight w:val="none"/>
                <w:lang w:val="en-US" w:eastAsia="zh-CN"/>
              </w:rPr>
              <w:t>撞击的概率</w:t>
            </w:r>
            <w:r>
              <w:rPr>
                <w:rFonts w:hint="eastAsia" w:ascii="Times New Roman" w:hAnsi="Times New Roman" w:eastAsia="宋体" w:cs="Times New Roman"/>
                <w:spacing w:val="0"/>
                <w:w w:val="100"/>
                <w:kern w:val="0"/>
                <w:position w:val="0"/>
                <w:sz w:val="24"/>
                <w:szCs w:val="24"/>
                <w:highlight w:val="none"/>
                <w:lang w:val="en-US" w:eastAsia="zh-CN"/>
              </w:rPr>
              <w:t>很低。</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营运期间，应进一步加强管理，以减少对鸟类种群的干扰，降低鸟类撞线的发生率。</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（3）水土流失影响分析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本项目建成后，临时占地均进行生态恢复，恢复原有植被类型。本项目运营期对生态影响可接受。</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2、水环境影响分析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1</w:t>
            </w:r>
            <w:r>
              <w:rPr>
                <w:rFonts w:hint="default" w:ascii="Times New Roman" w:hAnsi="Times New Roman" w:eastAsia="宋体" w:cs="Times New Roman"/>
                <w:spacing w:val="0"/>
                <w:w w:val="100"/>
                <w:kern w:val="0"/>
                <w:position w:val="0"/>
                <w:sz w:val="24"/>
                <w:szCs w:val="24"/>
                <w:highlight w:val="none"/>
                <w:lang w:val="en-US" w:eastAsia="zh-CN"/>
              </w:rPr>
              <w:t>）地</w:t>
            </w:r>
            <w:r>
              <w:rPr>
                <w:rFonts w:hint="eastAsia" w:ascii="Times New Roman" w:hAnsi="Times New Roman" w:eastAsia="宋体" w:cs="Times New Roman"/>
                <w:spacing w:val="0"/>
                <w:w w:val="100"/>
                <w:kern w:val="0"/>
                <w:position w:val="0"/>
                <w:sz w:val="24"/>
                <w:szCs w:val="24"/>
                <w:highlight w:val="none"/>
                <w:lang w:val="en-US" w:eastAsia="zh-CN"/>
              </w:rPr>
              <w:t>表</w:t>
            </w:r>
            <w:r>
              <w:rPr>
                <w:rFonts w:hint="default" w:ascii="Times New Roman" w:hAnsi="Times New Roman" w:eastAsia="宋体" w:cs="Times New Roman"/>
                <w:spacing w:val="0"/>
                <w:w w:val="100"/>
                <w:kern w:val="0"/>
                <w:position w:val="0"/>
                <w:sz w:val="24"/>
                <w:szCs w:val="24"/>
                <w:highlight w:val="none"/>
                <w:lang w:val="en-US" w:eastAsia="zh-CN"/>
              </w:rPr>
              <w:t>水污染</w:t>
            </w:r>
            <w:r>
              <w:rPr>
                <w:rFonts w:hint="eastAsia" w:ascii="Times New Roman" w:hAnsi="Times New Roman" w:eastAsia="宋体" w:cs="Times New Roman"/>
                <w:spacing w:val="0"/>
                <w:w w:val="100"/>
                <w:kern w:val="0"/>
                <w:position w:val="0"/>
                <w:sz w:val="24"/>
                <w:szCs w:val="24"/>
                <w:highlight w:val="none"/>
                <w:lang w:val="en-US" w:eastAsia="zh-CN"/>
              </w:rPr>
              <w:t>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本项目</w:t>
            </w:r>
            <w:r>
              <w:rPr>
                <w:rFonts w:hint="eastAsia" w:ascii="Times New Roman" w:hAnsi="Times New Roman" w:eastAsia="宋体" w:cs="Times New Roman"/>
                <w:color w:val="auto"/>
                <w:spacing w:val="0"/>
                <w:w w:val="100"/>
                <w:kern w:val="0"/>
                <w:position w:val="0"/>
                <w:sz w:val="24"/>
                <w:szCs w:val="24"/>
                <w:highlight w:val="none"/>
                <w:lang w:val="en-US" w:eastAsia="zh-CN"/>
              </w:rPr>
              <w:t>输电线路不涉及地表水环境，变电站仅扩建间隔，不涉及人员增加，</w:t>
            </w:r>
            <w:r>
              <w:rPr>
                <w:rFonts w:hint="eastAsia" w:cs="Times New Roman"/>
                <w:color w:val="auto"/>
                <w:spacing w:val="0"/>
                <w:w w:val="100"/>
                <w:kern w:val="0"/>
                <w:position w:val="0"/>
                <w:sz w:val="24"/>
                <w:szCs w:val="24"/>
                <w:highlight w:val="none"/>
                <w:lang w:val="en-US" w:eastAsia="zh-CN"/>
              </w:rPr>
              <w:t>现有工作人员的生活污水</w:t>
            </w:r>
            <w:r>
              <w:rPr>
                <w:rFonts w:hint="default" w:ascii="Times New Roman" w:hAnsi="Times New Roman" w:eastAsia="宋体" w:cs="Times New Roman"/>
                <w:color w:val="auto"/>
                <w:spacing w:val="0"/>
                <w:w w:val="100"/>
                <w:kern w:val="0"/>
                <w:position w:val="0"/>
                <w:sz w:val="24"/>
                <w:szCs w:val="24"/>
                <w:highlight w:val="none"/>
                <w:lang w:val="en-US" w:eastAsia="zh-CN"/>
              </w:rPr>
              <w:t>排入临时化粪池暂存，定期清掏，外运堆肥。</w:t>
            </w:r>
            <w:r>
              <w:rPr>
                <w:rFonts w:hint="eastAsia" w:ascii="Times New Roman" w:hAnsi="Times New Roman" w:eastAsia="宋体" w:cs="Times New Roman"/>
                <w:color w:val="auto"/>
                <w:spacing w:val="0"/>
                <w:w w:val="100"/>
                <w:kern w:val="0"/>
                <w:position w:val="0"/>
                <w:sz w:val="24"/>
                <w:szCs w:val="24"/>
                <w:highlight w:val="none"/>
                <w:lang w:val="en-US" w:eastAsia="zh-CN"/>
              </w:rPr>
              <w:t>对地表水环境不产生影响。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（2）地下水污染</w:t>
            </w:r>
            <w:r>
              <w:rPr>
                <w:rFonts w:hint="eastAsia" w:ascii="Times New Roman" w:hAnsi="Times New Roman" w:eastAsia="宋体" w:cs="Times New Roman"/>
                <w:spacing w:val="0"/>
                <w:w w:val="100"/>
                <w:kern w:val="0"/>
                <w:position w:val="0"/>
                <w:sz w:val="24"/>
                <w:szCs w:val="24"/>
                <w:highlight w:val="none"/>
                <w:lang w:val="en-US" w:eastAsia="zh-CN"/>
              </w:rPr>
              <w:t>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本项目本项目</w:t>
            </w:r>
            <w:r>
              <w:rPr>
                <w:rFonts w:hint="eastAsia" w:ascii="Times New Roman" w:hAnsi="Times New Roman" w:eastAsia="宋体" w:cs="Times New Roman"/>
                <w:color w:val="auto"/>
                <w:spacing w:val="0"/>
                <w:w w:val="100"/>
                <w:kern w:val="0"/>
                <w:position w:val="0"/>
                <w:sz w:val="24"/>
                <w:szCs w:val="24"/>
                <w:highlight w:val="none"/>
                <w:lang w:val="en-US" w:eastAsia="zh-CN"/>
              </w:rPr>
              <w:t>输电线路不涉及地下水环境，变电站仅</w:t>
            </w:r>
            <w:r>
              <w:rPr>
                <w:rFonts w:hint="eastAsia" w:cs="Times New Roman"/>
                <w:color w:val="auto"/>
                <w:spacing w:val="0"/>
                <w:w w:val="100"/>
                <w:kern w:val="0"/>
                <w:position w:val="0"/>
                <w:sz w:val="24"/>
                <w:szCs w:val="24"/>
                <w:highlight w:val="none"/>
                <w:lang w:val="en-US" w:eastAsia="zh-CN"/>
              </w:rPr>
              <w:t>在预留位置</w:t>
            </w:r>
            <w:r>
              <w:rPr>
                <w:rFonts w:hint="eastAsia" w:ascii="Times New Roman" w:hAnsi="Times New Roman" w:eastAsia="宋体" w:cs="Times New Roman"/>
                <w:color w:val="auto"/>
                <w:spacing w:val="0"/>
                <w:w w:val="100"/>
                <w:kern w:val="0"/>
                <w:position w:val="0"/>
                <w:sz w:val="24"/>
                <w:szCs w:val="24"/>
                <w:highlight w:val="none"/>
                <w:lang w:val="en-US" w:eastAsia="zh-CN"/>
              </w:rPr>
              <w:t>扩建间隔，对地下水环境不产生影响。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大气环境影响分析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eastAsia" w:cs="Times New Roman"/>
                <w:color w:val="auto"/>
                <w:spacing w:val="0"/>
                <w:w w:val="100"/>
                <w:kern w:val="0"/>
                <w:position w:val="0"/>
                <w:sz w:val="24"/>
                <w:szCs w:val="24"/>
                <w:highlight w:val="none"/>
                <w:lang w:val="en-US" w:eastAsia="zh-CN"/>
              </w:rPr>
              <w:t>本项目</w:t>
            </w:r>
            <w:r>
              <w:rPr>
                <w:rFonts w:hint="eastAsia" w:ascii="Times New Roman" w:hAnsi="Times New Roman" w:eastAsia="宋体" w:cs="Times New Roman"/>
                <w:color w:val="auto"/>
                <w:spacing w:val="0"/>
                <w:w w:val="100"/>
                <w:kern w:val="0"/>
                <w:position w:val="0"/>
                <w:sz w:val="24"/>
                <w:szCs w:val="24"/>
                <w:highlight w:val="none"/>
                <w:lang w:val="en-US" w:eastAsia="zh-CN"/>
              </w:rPr>
              <w:t>输变电工程运行</w:t>
            </w:r>
            <w:r>
              <w:rPr>
                <w:rFonts w:hint="default" w:ascii="Times New Roman" w:hAnsi="Times New Roman" w:eastAsia="宋体" w:cs="Times New Roman"/>
                <w:color w:val="auto"/>
                <w:spacing w:val="0"/>
                <w:w w:val="100"/>
                <w:kern w:val="0"/>
                <w:position w:val="0"/>
                <w:sz w:val="24"/>
                <w:szCs w:val="24"/>
                <w:highlight w:val="none"/>
                <w:lang w:val="en-US" w:eastAsia="zh-CN"/>
              </w:rPr>
              <w:t>过程中没有废气排放。</w:t>
            </w:r>
            <w:r>
              <w:rPr>
                <w:rFonts w:hint="eastAsia" w:cs="Times New Roman"/>
                <w:color w:val="auto"/>
                <w:spacing w:val="0"/>
                <w:w w:val="100"/>
                <w:kern w:val="0"/>
                <w:position w:val="0"/>
                <w:sz w:val="24"/>
                <w:szCs w:val="24"/>
                <w:highlight w:val="none"/>
                <w:lang w:val="en-US" w:eastAsia="zh-CN"/>
              </w:rPr>
              <w:t>太保变电站仅在预留位置扩建出线间隔，无新增废气，故</w:t>
            </w:r>
            <w:r>
              <w:rPr>
                <w:rFonts w:hint="default" w:ascii="Times New Roman" w:hAnsi="Times New Roman" w:eastAsia="宋体" w:cs="Times New Roman"/>
                <w:color w:val="auto"/>
                <w:spacing w:val="0"/>
                <w:w w:val="100"/>
                <w:kern w:val="0"/>
                <w:position w:val="0"/>
                <w:sz w:val="24"/>
                <w:szCs w:val="24"/>
                <w:highlight w:val="none"/>
                <w:lang w:val="en-US" w:eastAsia="zh-CN"/>
              </w:rPr>
              <w:t>本项目运营期</w:t>
            </w:r>
            <w:r>
              <w:rPr>
                <w:rFonts w:hint="eastAsia" w:ascii="Times New Roman" w:hAnsi="Times New Roman" w:eastAsia="宋体" w:cs="Times New Roman"/>
                <w:color w:val="auto"/>
                <w:spacing w:val="0"/>
                <w:w w:val="100"/>
                <w:kern w:val="0"/>
                <w:position w:val="0"/>
                <w:sz w:val="24"/>
                <w:szCs w:val="24"/>
                <w:highlight w:val="none"/>
                <w:lang w:val="en-US" w:eastAsia="zh-CN"/>
              </w:rPr>
              <w:t>不</w:t>
            </w:r>
            <w:r>
              <w:rPr>
                <w:rFonts w:hint="default" w:ascii="Times New Roman" w:hAnsi="Times New Roman" w:eastAsia="宋体" w:cs="Times New Roman"/>
                <w:color w:val="auto"/>
                <w:spacing w:val="0"/>
                <w:w w:val="100"/>
                <w:kern w:val="0"/>
                <w:position w:val="0"/>
                <w:sz w:val="24"/>
                <w:szCs w:val="24"/>
                <w:highlight w:val="none"/>
                <w:lang w:val="en-US" w:eastAsia="zh-CN"/>
              </w:rPr>
              <w:t>产生废气。</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4</w:t>
            </w:r>
            <w:r>
              <w:rPr>
                <w:rFonts w:hint="default" w:ascii="Times New Roman" w:hAnsi="Times New Roman" w:eastAsia="宋体" w:cs="Times New Roman"/>
                <w:spacing w:val="0"/>
                <w:w w:val="100"/>
                <w:kern w:val="0"/>
                <w:position w:val="0"/>
                <w:sz w:val="24"/>
                <w:szCs w:val="24"/>
                <w:highlight w:val="none"/>
                <w:lang w:val="en-US" w:eastAsia="zh-CN"/>
              </w:rPr>
              <w:t>、声环境影响分析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（1）</w:t>
            </w:r>
            <w:r>
              <w:rPr>
                <w:rFonts w:hint="eastAsia" w:ascii="Times New Roman" w:hAnsi="Times New Roman" w:eastAsia="宋体" w:cs="Times New Roman"/>
                <w:spacing w:val="0"/>
                <w:w w:val="100"/>
                <w:kern w:val="0"/>
                <w:position w:val="0"/>
                <w:sz w:val="24"/>
                <w:szCs w:val="24"/>
                <w:highlight w:val="none"/>
                <w:lang w:val="en-US" w:eastAsia="zh-CN"/>
              </w:rPr>
              <w:t>太保220kV变</w:t>
            </w:r>
            <w:r>
              <w:rPr>
                <w:rFonts w:hint="default" w:ascii="Times New Roman" w:hAnsi="Times New Roman" w:eastAsia="宋体" w:cs="Times New Roman"/>
                <w:spacing w:val="0"/>
                <w:w w:val="100"/>
                <w:kern w:val="0"/>
                <w:position w:val="0"/>
                <w:sz w:val="24"/>
                <w:szCs w:val="24"/>
                <w:highlight w:val="none"/>
                <w:lang w:val="en-US" w:eastAsia="zh-CN"/>
              </w:rPr>
              <w:t>电站声环境影响分析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太保220kV</w:t>
            </w:r>
            <w:r>
              <w:rPr>
                <w:rFonts w:hint="default" w:ascii="Times New Roman" w:hAnsi="Times New Roman" w:eastAsia="宋体" w:cs="Times New Roman"/>
                <w:spacing w:val="0"/>
                <w:w w:val="100"/>
                <w:kern w:val="0"/>
                <w:position w:val="0"/>
                <w:sz w:val="24"/>
                <w:szCs w:val="24"/>
                <w:highlight w:val="none"/>
                <w:lang w:val="en-US" w:eastAsia="zh-CN"/>
              </w:rPr>
              <w:t>变电站噪声源主要为现有主变、SVG等设备噪声。本期仅</w:t>
            </w:r>
            <w:r>
              <w:rPr>
                <w:rFonts w:hint="eastAsia" w:cs="Times New Roman"/>
                <w:spacing w:val="0"/>
                <w:w w:val="100"/>
                <w:kern w:val="0"/>
                <w:position w:val="0"/>
                <w:sz w:val="24"/>
                <w:szCs w:val="24"/>
                <w:highlight w:val="none"/>
                <w:lang w:val="en-US" w:eastAsia="zh-CN"/>
              </w:rPr>
              <w:t>在预留位置</w:t>
            </w:r>
            <w:r>
              <w:rPr>
                <w:rFonts w:hint="default" w:ascii="Times New Roman" w:hAnsi="Times New Roman" w:eastAsia="宋体" w:cs="Times New Roman"/>
                <w:spacing w:val="0"/>
                <w:w w:val="100"/>
                <w:kern w:val="0"/>
                <w:position w:val="0"/>
                <w:sz w:val="24"/>
                <w:szCs w:val="24"/>
                <w:highlight w:val="none"/>
                <w:lang w:val="en-US" w:eastAsia="zh-CN"/>
              </w:rPr>
              <w:t>扩建1回</w:t>
            </w:r>
            <w:r>
              <w:rPr>
                <w:rFonts w:hint="eastAsia" w:ascii="Times New Roman" w:hAnsi="Times New Roman" w:eastAsia="宋体" w:cs="Times New Roman"/>
                <w:spacing w:val="0"/>
                <w:w w:val="100"/>
                <w:kern w:val="0"/>
                <w:position w:val="0"/>
                <w:sz w:val="24"/>
                <w:szCs w:val="24"/>
                <w:highlight w:val="none"/>
                <w:lang w:val="en-US" w:eastAsia="zh-CN"/>
              </w:rPr>
              <w:t>22</w:t>
            </w:r>
            <w:r>
              <w:rPr>
                <w:rFonts w:hint="default" w:ascii="Times New Roman" w:hAnsi="Times New Roman" w:eastAsia="宋体" w:cs="Times New Roman"/>
                <w:spacing w:val="0"/>
                <w:w w:val="100"/>
                <w:kern w:val="0"/>
                <w:position w:val="0"/>
                <w:sz w:val="24"/>
                <w:szCs w:val="24"/>
                <w:highlight w:val="none"/>
                <w:lang w:val="en-US" w:eastAsia="zh-CN"/>
              </w:rPr>
              <w:t>0kV出线间隔，原有电气设备平面布置不变，本期无新增产噪设备，本期扩建工程对声环境的影响较小，故预计本次扩建间隔工程竣工后，变电站厂界噪声基本保持现状，满足《工业企业厂界环境噪声排放标准》（GB 12348-2008）中</w:t>
            </w:r>
            <w:r>
              <w:rPr>
                <w:rFonts w:hint="eastAsia" w:cs="Times New Roman"/>
                <w:spacing w:val="0"/>
                <w:w w:val="100"/>
                <w:kern w:val="0"/>
                <w:position w:val="0"/>
                <w:sz w:val="24"/>
                <w:szCs w:val="24"/>
                <w:highlight w:val="none"/>
                <w:lang w:val="en-US" w:eastAsia="zh-CN"/>
              </w:rPr>
              <w:t>2</w:t>
            </w:r>
            <w:r>
              <w:rPr>
                <w:rFonts w:hint="eastAsia" w:ascii="Times New Roman" w:hAnsi="Times New Roman" w:eastAsia="宋体" w:cs="Times New Roman"/>
                <w:spacing w:val="0"/>
                <w:w w:val="100"/>
                <w:kern w:val="0"/>
                <w:position w:val="0"/>
                <w:sz w:val="24"/>
                <w:szCs w:val="24"/>
                <w:highlight w:val="none"/>
                <w:lang w:val="en-US" w:eastAsia="zh-CN"/>
              </w:rPr>
              <w:t>类</w:t>
            </w:r>
            <w:r>
              <w:rPr>
                <w:rFonts w:hint="default" w:ascii="Times New Roman" w:hAnsi="Times New Roman" w:eastAsia="宋体" w:cs="Times New Roman"/>
                <w:spacing w:val="0"/>
                <w:w w:val="100"/>
                <w:kern w:val="0"/>
                <w:position w:val="0"/>
                <w:sz w:val="24"/>
                <w:szCs w:val="24"/>
                <w:highlight w:val="none"/>
                <w:lang w:val="en-US" w:eastAsia="zh-CN"/>
              </w:rPr>
              <w:t>标准限值要求。因此，本次</w:t>
            </w:r>
            <w:r>
              <w:rPr>
                <w:rFonts w:hint="eastAsia" w:ascii="Times New Roman" w:hAnsi="Times New Roman" w:eastAsia="宋体" w:cs="Times New Roman"/>
                <w:spacing w:val="0"/>
                <w:w w:val="100"/>
                <w:kern w:val="0"/>
                <w:position w:val="0"/>
                <w:sz w:val="24"/>
                <w:szCs w:val="24"/>
                <w:highlight w:val="none"/>
                <w:lang w:val="en-US" w:eastAsia="zh-CN"/>
              </w:rPr>
              <w:t>太保220kV</w:t>
            </w:r>
            <w:r>
              <w:rPr>
                <w:rFonts w:hint="default" w:ascii="Times New Roman" w:hAnsi="Times New Roman" w:eastAsia="宋体" w:cs="Times New Roman"/>
                <w:spacing w:val="0"/>
                <w:w w:val="100"/>
                <w:kern w:val="0"/>
                <w:position w:val="0"/>
                <w:sz w:val="24"/>
                <w:szCs w:val="24"/>
                <w:highlight w:val="none"/>
                <w:lang w:val="en-US" w:eastAsia="zh-CN"/>
              </w:rPr>
              <w:t>变电站间隔扩建工程不会对周边声环境产生影响。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（2）输电线路声环境影响分析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根据《环境影响评价技术导则 输变电》（</w:t>
            </w:r>
            <w:r>
              <w:rPr>
                <w:rFonts w:hint="default" w:ascii="Times New Roman" w:hAnsi="Times New Roman" w:eastAsia="宋体" w:cs="Times New Roman"/>
                <w:spacing w:val="0"/>
                <w:w w:val="100"/>
                <w:kern w:val="0"/>
                <w:position w:val="0"/>
                <w:sz w:val="24"/>
                <w:szCs w:val="24"/>
                <w:highlight w:val="none"/>
                <w:lang w:val="en-US" w:eastAsia="zh-CN"/>
              </w:rPr>
              <w:t>HJ24-2020</w:t>
            </w:r>
            <w:r>
              <w:rPr>
                <w:rFonts w:hint="eastAsia" w:ascii="Times New Roman" w:hAnsi="Times New Roman" w:eastAsia="宋体" w:cs="Times New Roman"/>
                <w:spacing w:val="0"/>
                <w:w w:val="100"/>
                <w:kern w:val="0"/>
                <w:position w:val="0"/>
                <w:sz w:val="24"/>
                <w:szCs w:val="24"/>
                <w:highlight w:val="none"/>
                <w:lang w:val="en-US" w:eastAsia="zh-CN"/>
              </w:rPr>
              <w:t>）第</w:t>
            </w:r>
            <w:r>
              <w:rPr>
                <w:rFonts w:hint="default" w:ascii="Times New Roman" w:hAnsi="Times New Roman" w:eastAsia="宋体" w:cs="Times New Roman"/>
                <w:spacing w:val="0"/>
                <w:w w:val="100"/>
                <w:kern w:val="0"/>
                <w:position w:val="0"/>
                <w:sz w:val="24"/>
                <w:szCs w:val="24"/>
                <w:highlight w:val="none"/>
                <w:lang w:val="en-US" w:eastAsia="zh-CN"/>
              </w:rPr>
              <w:t>4.7.3</w:t>
            </w:r>
            <w:r>
              <w:rPr>
                <w:rFonts w:hint="eastAsia" w:ascii="Times New Roman" w:hAnsi="Times New Roman" w:eastAsia="宋体" w:cs="Times New Roman"/>
                <w:spacing w:val="0"/>
                <w:w w:val="100"/>
                <w:kern w:val="0"/>
                <w:position w:val="0"/>
                <w:sz w:val="24"/>
                <w:szCs w:val="24"/>
                <w:highlight w:val="none"/>
                <w:lang w:val="en-US" w:eastAsia="zh-CN"/>
              </w:rPr>
              <w:t>条规定，架空线路的噪声预测可采取类比监测的方式，本次采用类比监测的方式对架空线路进行预测评价。</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本项目选用《包头市土默特右旗土地治理暨农光互补300兆瓦光伏示范项目220千伏接网工程建设项目竣工环境保护验收调查报告表》输电线路作为类比对象，该线路已经建成，于2023年7月完成验收，运行工况稳定。类比对象对照表见下表。</w:t>
            </w:r>
          </w:p>
          <w:p>
            <w:pPr>
              <w:adjustRightInd w:val="0"/>
              <w:snapToGrid w:val="0"/>
              <w:spacing w:line="240" w:lineRule="auto"/>
              <w:jc w:val="center"/>
              <w:rPr>
                <w:rFonts w:cs="宋体"/>
                <w:b/>
                <w:bCs/>
                <w:color w:val="000000"/>
                <w:szCs w:val="21"/>
                <w:highlight w:val="none"/>
              </w:rPr>
            </w:pPr>
            <w:r>
              <w:rPr>
                <w:rFonts w:hint="eastAsia" w:cs="宋体"/>
                <w:b/>
                <w:bCs/>
                <w:color w:val="000000"/>
                <w:szCs w:val="21"/>
                <w:highlight w:val="none"/>
              </w:rPr>
              <w:t>表4</w:t>
            </w:r>
            <w:r>
              <w:rPr>
                <w:rFonts w:cs="宋体"/>
                <w:b/>
                <w:bCs/>
                <w:color w:val="000000"/>
                <w:szCs w:val="21"/>
                <w:highlight w:val="none"/>
              </w:rPr>
              <w:t>-</w:t>
            </w:r>
            <w:r>
              <w:rPr>
                <w:rFonts w:hint="eastAsia" w:cs="宋体"/>
                <w:b/>
                <w:bCs/>
                <w:color w:val="000000"/>
                <w:szCs w:val="21"/>
                <w:highlight w:val="none"/>
                <w:lang w:val="en-US" w:eastAsia="zh-CN"/>
              </w:rPr>
              <w:t xml:space="preserve">4 </w:t>
            </w:r>
            <w:r>
              <w:rPr>
                <w:rFonts w:hint="eastAsia" w:cs="宋体"/>
                <w:b/>
                <w:bCs/>
                <w:color w:val="000000"/>
                <w:szCs w:val="21"/>
                <w:highlight w:val="none"/>
              </w:rPr>
              <w:t xml:space="preserve"> 线路类比工程对照表</w:t>
            </w:r>
          </w:p>
          <w:tbl>
            <w:tblPr>
              <w:tblStyle w:val="20"/>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1"/>
              <w:gridCol w:w="1393"/>
              <w:gridCol w:w="1680"/>
              <w:gridCol w:w="1726"/>
              <w:gridCol w:w="27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序号</w:t>
                  </w:r>
                </w:p>
              </w:tc>
              <w:tc>
                <w:tcPr>
                  <w:tcW w:w="853"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建设规模</w:t>
                  </w:r>
                </w:p>
              </w:tc>
              <w:tc>
                <w:tcPr>
                  <w:tcW w:w="2086" w:type="pct"/>
                  <w:gridSpan w:val="2"/>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类比工程</w:t>
                  </w:r>
                </w:p>
              </w:tc>
              <w:tc>
                <w:tcPr>
                  <w:tcW w:w="1671"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w:t>
                  </w:r>
                </w:p>
              </w:tc>
              <w:tc>
                <w:tcPr>
                  <w:tcW w:w="853"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电压等级</w:t>
                  </w:r>
                </w:p>
              </w:tc>
              <w:tc>
                <w:tcPr>
                  <w:tcW w:w="2086" w:type="pct"/>
                  <w:gridSpan w:val="2"/>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220kV</w:t>
                  </w:r>
                </w:p>
              </w:tc>
              <w:tc>
                <w:tcPr>
                  <w:tcW w:w="1671"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220kV</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w:t>
                  </w:r>
                </w:p>
              </w:tc>
              <w:tc>
                <w:tcPr>
                  <w:tcW w:w="853"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建筑形式</w:t>
                  </w:r>
                </w:p>
              </w:tc>
              <w:tc>
                <w:tcPr>
                  <w:tcW w:w="2086" w:type="pct"/>
                  <w:gridSpan w:val="2"/>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架空</w:t>
                  </w:r>
                </w:p>
              </w:tc>
              <w:tc>
                <w:tcPr>
                  <w:tcW w:w="1671"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架空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w:t>
                  </w:r>
                </w:p>
              </w:tc>
              <w:tc>
                <w:tcPr>
                  <w:tcW w:w="853"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最低呼高</w:t>
                  </w:r>
                </w:p>
              </w:tc>
              <w:tc>
                <w:tcPr>
                  <w:tcW w:w="2086" w:type="pct"/>
                  <w:gridSpan w:val="2"/>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16.7m</w:t>
                  </w:r>
                </w:p>
              </w:tc>
              <w:tc>
                <w:tcPr>
                  <w:tcW w:w="1671"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18</w:t>
                  </w:r>
                  <w:r>
                    <w:rPr>
                      <w:rFonts w:hint="eastAsia" w:ascii="Times New Roman" w:hAnsi="Times New Roman" w:eastAsia="宋体" w:cs="Times New Roman"/>
                      <w:color w:val="000000"/>
                      <w:sz w:val="21"/>
                      <w:szCs w:val="21"/>
                      <w:highlight w:val="no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sz w:val="21"/>
                      <w:szCs w:val="21"/>
                      <w:highlight w:val="none"/>
                      <w:lang w:val="en-US" w:eastAsia="zh-CN"/>
                    </w:rPr>
                    <w:t>4</w:t>
                  </w:r>
                </w:p>
              </w:tc>
              <w:tc>
                <w:tcPr>
                  <w:tcW w:w="853"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线路回路数</w:t>
                  </w:r>
                </w:p>
              </w:tc>
              <w:tc>
                <w:tcPr>
                  <w:tcW w:w="2086" w:type="pct"/>
                  <w:gridSpan w:val="2"/>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单回</w:t>
                  </w:r>
                </w:p>
              </w:tc>
              <w:tc>
                <w:tcPr>
                  <w:tcW w:w="1671"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单回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5</w:t>
                  </w:r>
                </w:p>
              </w:tc>
              <w:tc>
                <w:tcPr>
                  <w:tcW w:w="853"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线路长度</w:t>
                  </w:r>
                </w:p>
              </w:tc>
              <w:tc>
                <w:tcPr>
                  <w:tcW w:w="2086" w:type="pct"/>
                  <w:gridSpan w:val="2"/>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31.25km</w:t>
                  </w:r>
                </w:p>
              </w:tc>
              <w:tc>
                <w:tcPr>
                  <w:tcW w:w="1671"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26.5km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6</w:t>
                  </w:r>
                </w:p>
              </w:tc>
              <w:tc>
                <w:tcPr>
                  <w:tcW w:w="853"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导线</w:t>
                  </w:r>
                  <w:r>
                    <w:rPr>
                      <w:rFonts w:hint="eastAsia" w:ascii="Times New Roman" w:hAnsi="Times New Roman" w:eastAsia="宋体" w:cs="Times New Roman"/>
                      <w:color w:val="000000"/>
                      <w:sz w:val="21"/>
                      <w:szCs w:val="21"/>
                      <w:highlight w:val="none"/>
                      <w:lang w:val="en-US" w:eastAsia="zh-CN"/>
                    </w:rPr>
                    <w:t>型号</w:t>
                  </w:r>
                </w:p>
              </w:tc>
              <w:tc>
                <w:tcPr>
                  <w:tcW w:w="2086" w:type="pct"/>
                  <w:gridSpan w:val="2"/>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2×LGJ-240/30</w:t>
                  </w:r>
                </w:p>
              </w:tc>
              <w:tc>
                <w:tcPr>
                  <w:tcW w:w="1671"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2×JL</w:t>
                  </w:r>
                  <w:r>
                    <w:rPr>
                      <w:rFonts w:hint="eastAsia" w:ascii="Times New Roman" w:hAnsi="Times New Roman" w:cs="Times New Roman"/>
                      <w:color w:val="000000"/>
                      <w:sz w:val="21"/>
                      <w:szCs w:val="21"/>
                      <w:highlight w:val="none"/>
                      <w:lang w:val="en-US" w:eastAsia="zh-CN"/>
                    </w:rPr>
                    <w:t>3</w:t>
                  </w:r>
                  <w:r>
                    <w:rPr>
                      <w:rFonts w:hint="eastAsia" w:ascii="Times New Roman" w:hAnsi="Times New Roman" w:eastAsia="宋体" w:cs="Times New Roman"/>
                      <w:color w:val="000000"/>
                      <w:sz w:val="21"/>
                      <w:szCs w:val="21"/>
                      <w:highlight w:val="none"/>
                      <w:lang w:val="en-US" w:eastAsia="zh-CN"/>
                    </w:rPr>
                    <w:t>/G1A-240</w:t>
                  </w:r>
                  <w:r>
                    <w:rPr>
                      <w:rFonts w:hint="eastAsia" w:ascii="Times New Roman" w:hAnsi="Times New Roman" w:cs="Times New Roman"/>
                      <w:color w:val="000000"/>
                      <w:sz w:val="21"/>
                      <w:szCs w:val="21"/>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w:t>
                  </w:r>
                </w:p>
              </w:tc>
              <w:tc>
                <w:tcPr>
                  <w:tcW w:w="853"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主变容量</w:t>
                  </w:r>
                </w:p>
              </w:tc>
              <w:tc>
                <w:tcPr>
                  <w:tcW w:w="2086" w:type="pct"/>
                  <w:gridSpan w:val="2"/>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×200</w:t>
                  </w:r>
                  <w:r>
                    <w:rPr>
                      <w:rFonts w:hint="eastAsia" w:ascii="Times New Roman" w:hAnsi="Times New Roman" w:cs="Times New Roman"/>
                      <w:color w:val="auto"/>
                      <w:sz w:val="21"/>
                      <w:szCs w:val="21"/>
                      <w:highlight w:val="none"/>
                      <w:lang w:val="en-US" w:eastAsia="zh-CN"/>
                    </w:rPr>
                    <w:t>MVA</w:t>
                  </w:r>
                </w:p>
              </w:tc>
              <w:tc>
                <w:tcPr>
                  <w:tcW w:w="1671"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×120</w:t>
                  </w:r>
                  <w:r>
                    <w:rPr>
                      <w:rFonts w:hint="eastAsia" w:ascii="Times New Roman" w:hAnsi="Times New Roman" w:cs="Times New Roman"/>
                      <w:color w:val="auto"/>
                      <w:sz w:val="21"/>
                      <w:szCs w:val="21"/>
                      <w:highlight w:val="none"/>
                      <w:lang w:val="en-US" w:eastAsia="zh-CN"/>
                    </w:rPr>
                    <w:t>MVA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p>
              </w:tc>
              <w:tc>
                <w:tcPr>
                  <w:tcW w:w="853"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环境条件</w:t>
                  </w:r>
                </w:p>
              </w:tc>
              <w:tc>
                <w:tcPr>
                  <w:tcW w:w="2086" w:type="pct"/>
                  <w:gridSpan w:val="2"/>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地势平坦</w:t>
                  </w:r>
                </w:p>
              </w:tc>
              <w:tc>
                <w:tcPr>
                  <w:tcW w:w="1671"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地势平坦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387" w:type="pct"/>
                  <w:vMerge w:val="restar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w:t>
                  </w:r>
                </w:p>
              </w:tc>
              <w:tc>
                <w:tcPr>
                  <w:tcW w:w="853" w:type="pct"/>
                  <w:vMerge w:val="restar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运行工况</w:t>
                  </w:r>
                </w:p>
              </w:tc>
              <w:tc>
                <w:tcPr>
                  <w:tcW w:w="1029"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电压（kV）</w:t>
                  </w:r>
                </w:p>
              </w:tc>
              <w:tc>
                <w:tcPr>
                  <w:tcW w:w="1056"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226.91</w:t>
                  </w:r>
                </w:p>
              </w:tc>
              <w:tc>
                <w:tcPr>
                  <w:tcW w:w="1671" w:type="pct"/>
                  <w:vMerge w:val="restar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387" w:type="pct"/>
                  <w:vMerge w:val="continue"/>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c>
                <w:tcPr>
                  <w:tcW w:w="853" w:type="pct"/>
                  <w:vMerge w:val="continue"/>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c>
                <w:tcPr>
                  <w:tcW w:w="1029"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电流（A）</w:t>
                  </w:r>
                </w:p>
              </w:tc>
              <w:tc>
                <w:tcPr>
                  <w:tcW w:w="1056"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593.19</w:t>
                  </w:r>
                </w:p>
              </w:tc>
              <w:tc>
                <w:tcPr>
                  <w:tcW w:w="1671" w:type="pct"/>
                  <w:vMerge w:val="continue"/>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387" w:type="pct"/>
                  <w:vMerge w:val="continue"/>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c>
                <w:tcPr>
                  <w:tcW w:w="853" w:type="pct"/>
                  <w:vMerge w:val="continue"/>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c>
                <w:tcPr>
                  <w:tcW w:w="1029"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有功功率（MW）</w:t>
                  </w:r>
                </w:p>
              </w:tc>
              <w:tc>
                <w:tcPr>
                  <w:tcW w:w="1056"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26.80</w:t>
                  </w:r>
                </w:p>
              </w:tc>
              <w:tc>
                <w:tcPr>
                  <w:tcW w:w="1671" w:type="pct"/>
                  <w:vMerge w:val="continue"/>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387" w:type="pct"/>
                  <w:vMerge w:val="continue"/>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c>
                <w:tcPr>
                  <w:tcW w:w="853" w:type="pct"/>
                  <w:vMerge w:val="continue"/>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c>
                <w:tcPr>
                  <w:tcW w:w="1029" w:type="pct"/>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无功功率（Mvar）</w:t>
                  </w:r>
                </w:p>
              </w:tc>
              <w:tc>
                <w:tcPr>
                  <w:tcW w:w="1056"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-2.99</w:t>
                  </w:r>
                </w:p>
              </w:tc>
              <w:tc>
                <w:tcPr>
                  <w:tcW w:w="1671" w:type="pct"/>
                  <w:vMerge w:val="continue"/>
                  <w:tcBorders>
                    <w:tl2br w:val="nil"/>
                    <w:tr2bl w:val="nil"/>
                  </w:tcBorders>
                  <w:noWrap w:val="0"/>
                  <w:vAlign w:val="top"/>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yellow"/>
                      <w:lang w:val="en-US" w:eastAsia="zh-CN"/>
                    </w:rPr>
                  </w:pP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综上，类比工程与本项目电压等级均为220kV</w:t>
            </w:r>
            <w:r>
              <w:rPr>
                <w:rFonts w:hint="eastAsia" w:cs="Times New Roman"/>
                <w:color w:val="auto"/>
                <w:spacing w:val="0"/>
                <w:w w:val="100"/>
                <w:kern w:val="0"/>
                <w:position w:val="0"/>
                <w:sz w:val="24"/>
                <w:szCs w:val="24"/>
                <w:highlight w:val="none"/>
                <w:lang w:val="en-US" w:eastAsia="zh-CN"/>
              </w:rPr>
              <w:t>；线路回数</w:t>
            </w:r>
            <w:r>
              <w:rPr>
                <w:rFonts w:hint="eastAsia" w:ascii="Times New Roman" w:hAnsi="Times New Roman" w:eastAsia="宋体" w:cs="Times New Roman"/>
                <w:color w:val="auto"/>
                <w:spacing w:val="0"/>
                <w:w w:val="100"/>
                <w:kern w:val="0"/>
                <w:position w:val="0"/>
                <w:sz w:val="24"/>
                <w:szCs w:val="24"/>
                <w:highlight w:val="none"/>
                <w:lang w:val="en-US" w:eastAsia="zh-CN"/>
              </w:rPr>
              <w:t>均为单回路</w:t>
            </w:r>
            <w:r>
              <w:rPr>
                <w:rFonts w:hint="eastAsia" w:cs="Times New Roman"/>
                <w:color w:val="auto"/>
                <w:spacing w:val="0"/>
                <w:w w:val="100"/>
                <w:kern w:val="0"/>
                <w:position w:val="0"/>
                <w:sz w:val="24"/>
                <w:szCs w:val="24"/>
                <w:highlight w:val="none"/>
                <w:lang w:val="en-US" w:eastAsia="zh-CN"/>
              </w:rPr>
              <w:t>；最低相导线对地距离相似，本项目最低相导线对地距离高于类比工程；</w:t>
            </w:r>
            <w:r>
              <w:rPr>
                <w:rFonts w:hint="eastAsia" w:ascii="Times New Roman" w:hAnsi="Times New Roman" w:eastAsia="宋体" w:cs="Times New Roman"/>
                <w:b w:val="0"/>
                <w:bCs w:val="0"/>
                <w:color w:val="auto"/>
                <w:sz w:val="24"/>
                <w:szCs w:val="24"/>
                <w:highlight w:val="none"/>
                <w:lang w:val="en-US" w:eastAsia="zh-CN"/>
              </w:rPr>
              <w:t>容量（设计最大载流量）大于本项目，产生的噪声值大于本项目</w:t>
            </w:r>
            <w:r>
              <w:rPr>
                <w:rFonts w:hint="eastAsia" w:cs="Times New Roman"/>
                <w:color w:val="auto"/>
                <w:spacing w:val="0"/>
                <w:w w:val="100"/>
                <w:kern w:val="0"/>
                <w:position w:val="0"/>
                <w:sz w:val="24"/>
                <w:szCs w:val="24"/>
                <w:highlight w:val="none"/>
                <w:lang w:val="en-US" w:eastAsia="zh-CN"/>
              </w:rPr>
              <w:t>；</w:t>
            </w:r>
            <w:r>
              <w:rPr>
                <w:rFonts w:hint="eastAsia" w:ascii="Times New Roman" w:hAnsi="Times New Roman" w:eastAsia="宋体" w:cs="Times New Roman"/>
                <w:color w:val="auto"/>
                <w:spacing w:val="0"/>
                <w:w w:val="100"/>
                <w:kern w:val="0"/>
                <w:position w:val="0"/>
                <w:sz w:val="24"/>
                <w:szCs w:val="24"/>
                <w:highlight w:val="none"/>
                <w:lang w:val="en-US" w:eastAsia="zh-CN"/>
              </w:rPr>
              <w:t>类比工程最低弧垂为6.5m，</w:t>
            </w:r>
            <w:r>
              <w:rPr>
                <w:rFonts w:hint="eastAsia" w:cs="Times New Roman"/>
                <w:color w:val="auto"/>
                <w:spacing w:val="0"/>
                <w:w w:val="100"/>
                <w:kern w:val="0"/>
                <w:position w:val="0"/>
                <w:sz w:val="24"/>
                <w:szCs w:val="24"/>
                <w:highlight w:val="none"/>
                <w:lang w:val="en-US" w:eastAsia="zh-CN"/>
              </w:rPr>
              <w:t>根据平断面定位图，得到</w:t>
            </w:r>
            <w:r>
              <w:rPr>
                <w:rFonts w:hint="eastAsia" w:ascii="Times New Roman" w:hAnsi="Times New Roman" w:eastAsia="宋体" w:cs="Times New Roman"/>
                <w:color w:val="auto"/>
                <w:spacing w:val="0"/>
                <w:w w:val="100"/>
                <w:kern w:val="0"/>
                <w:position w:val="0"/>
                <w:sz w:val="24"/>
                <w:szCs w:val="24"/>
                <w:highlight w:val="none"/>
                <w:lang w:val="en-US" w:eastAsia="zh-CN"/>
              </w:rPr>
              <w:t>本项目最低弧垂为9.5m，高于类比工程，因此距地面同一高度时产生的噪声值小于类比项目。综上所述，本项目与类比工程具有可类比性。</w:t>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lang w:val="en-US" w:eastAsia="zh-CN"/>
              </w:rPr>
            </w:pPr>
            <w:r>
              <w:drawing>
                <wp:inline distT="0" distB="0" distL="114300" distR="114300">
                  <wp:extent cx="5180330" cy="2848610"/>
                  <wp:effectExtent l="0" t="0" r="1270" b="889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18"/>
                          <a:stretch>
                            <a:fillRect/>
                          </a:stretch>
                        </pic:blipFill>
                        <pic:spPr>
                          <a:xfrm>
                            <a:off x="0" y="0"/>
                            <a:ext cx="5180330" cy="284861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color w:val="FF0000"/>
                <w:spacing w:val="0"/>
                <w:w w:val="100"/>
                <w:kern w:val="0"/>
                <w:position w:val="0"/>
                <w:sz w:val="24"/>
                <w:szCs w:val="24"/>
                <w:highlight w:val="none"/>
                <w:lang w:val="en-US" w:eastAsia="zh-CN"/>
              </w:rPr>
            </w:pPr>
            <w:r>
              <w:rPr>
                <w:rFonts w:hint="default" w:ascii="Times New Roman" w:hAnsi="Times New Roman" w:eastAsia="宋体" w:cs="Times New Roman"/>
                <w:b/>
                <w:color w:val="FF0000"/>
                <w:sz w:val="21"/>
                <w:szCs w:val="21"/>
              </w:rPr>
              <w:t>图</w:t>
            </w:r>
            <w:r>
              <w:rPr>
                <w:rFonts w:hint="default" w:ascii="Times New Roman" w:hAnsi="Times New Roman" w:eastAsia="宋体" w:cs="Times New Roman"/>
                <w:b/>
                <w:color w:val="FF0000"/>
                <w:sz w:val="21"/>
                <w:szCs w:val="21"/>
                <w:lang w:val="en-US" w:eastAsia="zh-CN"/>
              </w:rPr>
              <w:t>4-</w:t>
            </w:r>
            <w:r>
              <w:rPr>
                <w:rFonts w:hint="eastAsia" w:cs="Times New Roman"/>
                <w:b/>
                <w:color w:val="FF0000"/>
                <w:sz w:val="21"/>
                <w:szCs w:val="21"/>
                <w:lang w:val="en-US" w:eastAsia="zh-CN"/>
              </w:rPr>
              <w:t>3</w:t>
            </w:r>
            <w:r>
              <w:rPr>
                <w:rFonts w:hint="default" w:ascii="Times New Roman" w:hAnsi="Times New Roman" w:eastAsia="宋体" w:cs="Times New Roman"/>
                <w:b/>
                <w:color w:val="FF0000"/>
                <w:sz w:val="21"/>
                <w:szCs w:val="21"/>
                <w:lang w:val="en-US" w:eastAsia="zh-CN"/>
              </w:rPr>
              <w:t xml:space="preserve"> </w:t>
            </w:r>
            <w:r>
              <w:rPr>
                <w:rFonts w:hint="default" w:ascii="Times New Roman" w:hAnsi="Times New Roman" w:eastAsia="宋体" w:cs="Times New Roman"/>
                <w:b/>
                <w:color w:val="FF0000"/>
                <w:sz w:val="21"/>
                <w:szCs w:val="21"/>
              </w:rPr>
              <w:t xml:space="preserve"> 项目</w:t>
            </w:r>
            <w:r>
              <w:rPr>
                <w:rFonts w:hint="default" w:ascii="Times New Roman" w:hAnsi="Times New Roman" w:eastAsia="宋体" w:cs="Times New Roman"/>
                <w:b/>
                <w:color w:val="FF0000"/>
                <w:sz w:val="21"/>
                <w:szCs w:val="21"/>
                <w:lang w:val="en-US" w:eastAsia="zh-CN"/>
              </w:rPr>
              <w:t>平断面定位图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根据《包头市土默特右旗土地治理暨农光互补300兆瓦光伏示范项目220千伏接网工程建设项目竣工环境保护验收调查报告表》数据见附件9，输电线路噪声监测值如下表。</w:t>
            </w:r>
          </w:p>
          <w:p>
            <w:pPr>
              <w:adjustRightInd w:val="0"/>
              <w:snapToGrid w:val="0"/>
              <w:spacing w:line="240" w:lineRule="auto"/>
              <w:jc w:val="center"/>
              <w:rPr>
                <w:rFonts w:hint="default"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cs="Times New Roman"/>
                <w:b/>
                <w:bCs/>
                <w:color w:val="000000"/>
                <w:kern w:val="2"/>
                <w:sz w:val="21"/>
                <w:szCs w:val="21"/>
                <w:highlight w:val="none"/>
                <w:lang w:val="en-US" w:eastAsia="zh-CN" w:bidi="ar-SA"/>
              </w:rPr>
              <w:t>表4</w:t>
            </w:r>
            <w:r>
              <w:rPr>
                <w:rFonts w:hint="default" w:ascii="Times New Roman" w:hAnsi="Times New Roman" w:eastAsia="宋体" w:cs="Times New Roman"/>
                <w:b/>
                <w:bCs/>
                <w:color w:val="000000"/>
                <w:kern w:val="2"/>
                <w:sz w:val="21"/>
                <w:szCs w:val="21"/>
                <w:highlight w:val="none"/>
                <w:lang w:val="en-US" w:eastAsia="zh-CN" w:bidi="ar-SA"/>
              </w:rPr>
              <w:t>-</w:t>
            </w:r>
            <w:r>
              <w:rPr>
                <w:rFonts w:hint="eastAsia" w:cs="Times New Roman"/>
                <w:b/>
                <w:bCs/>
                <w:color w:val="000000"/>
                <w:kern w:val="2"/>
                <w:sz w:val="21"/>
                <w:szCs w:val="21"/>
                <w:highlight w:val="none"/>
                <w:lang w:val="en-US" w:eastAsia="zh-CN" w:bidi="ar-SA"/>
              </w:rPr>
              <w:t xml:space="preserve">5 </w:t>
            </w:r>
            <w:r>
              <w:rPr>
                <w:rFonts w:hint="eastAsia" w:ascii="Times New Roman" w:hAnsi="Times New Roman" w:eastAsia="宋体" w:cs="Times New Roman"/>
                <w:b/>
                <w:bCs/>
                <w:color w:val="000000"/>
                <w:kern w:val="2"/>
                <w:sz w:val="21"/>
                <w:szCs w:val="21"/>
                <w:highlight w:val="none"/>
                <w:lang w:val="en-US" w:eastAsia="zh-CN" w:bidi="ar-SA"/>
              </w:rPr>
              <w:t xml:space="preserve"> 输电线路声环境监测结果（d</w:t>
            </w:r>
            <w:r>
              <w:rPr>
                <w:rFonts w:hint="default" w:ascii="Times New Roman" w:hAnsi="Times New Roman" w:eastAsia="宋体" w:cs="Times New Roman"/>
                <w:b/>
                <w:bCs/>
                <w:color w:val="000000"/>
                <w:kern w:val="2"/>
                <w:sz w:val="21"/>
                <w:szCs w:val="21"/>
                <w:highlight w:val="none"/>
                <w:lang w:val="en-US" w:eastAsia="zh-CN" w:bidi="ar-SA"/>
              </w:rPr>
              <w:t>B(A)</w:t>
            </w:r>
            <w:r>
              <w:rPr>
                <w:rFonts w:hint="eastAsia" w:ascii="Times New Roman" w:hAnsi="Times New Roman" w:eastAsia="宋体" w:cs="Times New Roman"/>
                <w:b/>
                <w:bCs/>
                <w:color w:val="000000"/>
                <w:kern w:val="2"/>
                <w:sz w:val="21"/>
                <w:szCs w:val="21"/>
                <w:highlight w:val="none"/>
                <w:lang w:val="en-US" w:eastAsia="zh-CN" w:bidi="ar-SA"/>
              </w:rPr>
              <w:t>）</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5"/>
              <w:gridCol w:w="3135"/>
              <w:gridCol w:w="1828"/>
              <w:gridCol w:w="18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7" w:type="pct"/>
                  <w:vMerge w:val="restar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序号</w:t>
                  </w:r>
                </w:p>
              </w:tc>
              <w:tc>
                <w:tcPr>
                  <w:tcW w:w="1921" w:type="pct"/>
                  <w:vMerge w:val="restar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测点位置</w:t>
                  </w:r>
                </w:p>
              </w:tc>
              <w:tc>
                <w:tcPr>
                  <w:tcW w:w="2241" w:type="pct"/>
                  <w:gridSpan w:val="2"/>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噪声值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7" w:type="pct"/>
                  <w:vMerge w:val="continue"/>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c>
                <w:tcPr>
                  <w:tcW w:w="1921" w:type="pct"/>
                  <w:vMerge w:val="continue"/>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p>
              </w:tc>
              <w:tc>
                <w:tcPr>
                  <w:tcW w:w="1120"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昼间</w:t>
                  </w:r>
                </w:p>
              </w:tc>
              <w:tc>
                <w:tcPr>
                  <w:tcW w:w="1120"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7"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w:t>
                  </w:r>
                </w:p>
              </w:tc>
              <w:tc>
                <w:tcPr>
                  <w:tcW w:w="1921"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炽山线56#~57#塔间中心线下</w:t>
                  </w:r>
                </w:p>
              </w:tc>
              <w:tc>
                <w:tcPr>
                  <w:tcW w:w="1120"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37.4</w:t>
                  </w:r>
                </w:p>
              </w:tc>
              <w:tc>
                <w:tcPr>
                  <w:tcW w:w="1120"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7"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w:t>
                  </w:r>
                </w:p>
              </w:tc>
              <w:tc>
                <w:tcPr>
                  <w:tcW w:w="1921"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炽山线56#~57#塔间边导线外40m</w:t>
                  </w:r>
                </w:p>
              </w:tc>
              <w:tc>
                <w:tcPr>
                  <w:tcW w:w="1120"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36.6</w:t>
                  </w:r>
                </w:p>
              </w:tc>
              <w:tc>
                <w:tcPr>
                  <w:tcW w:w="1120"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7"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w:t>
                  </w:r>
                </w:p>
              </w:tc>
              <w:tc>
                <w:tcPr>
                  <w:tcW w:w="1921"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线路终点</w:t>
                  </w:r>
                </w:p>
              </w:tc>
              <w:tc>
                <w:tcPr>
                  <w:tcW w:w="1120"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40.1</w:t>
                  </w:r>
                </w:p>
              </w:tc>
              <w:tc>
                <w:tcPr>
                  <w:tcW w:w="1120" w:type="pct"/>
                  <w:tcBorders>
                    <w:tl2br w:val="nil"/>
                    <w:tr2bl w:val="nil"/>
                  </w:tcBorders>
                  <w:noWrap w:val="0"/>
                  <w:vAlign w:val="center"/>
                </w:tcPr>
                <w:p>
                  <w:pPr>
                    <w:pStyle w:val="1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37.2</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yellow"/>
                <w:lang w:val="en-US" w:eastAsia="zh-CN"/>
              </w:rPr>
            </w:pPr>
            <w:r>
              <w:rPr>
                <w:rFonts w:hint="eastAsia" w:ascii="Times New Roman" w:hAnsi="Times New Roman" w:eastAsia="宋体" w:cs="Times New Roman"/>
                <w:color w:val="FF0000"/>
                <w:spacing w:val="0"/>
                <w:w w:val="100"/>
                <w:kern w:val="0"/>
                <w:position w:val="0"/>
                <w:sz w:val="24"/>
                <w:szCs w:val="24"/>
                <w:highlight w:val="none"/>
                <w:lang w:val="en-US" w:eastAsia="zh-CN"/>
              </w:rPr>
              <w:t>根据监测结果，类比输电线路工程昼间噪声值为36.6-40.1dB(A)，夜间噪声值为36.1-37.2dB(A)，监测结果满足《声环境质量标准》（GB3096-2008）的</w:t>
            </w:r>
            <w:r>
              <w:rPr>
                <w:rFonts w:hint="eastAsia" w:cs="Times New Roman"/>
                <w:color w:val="FF0000"/>
                <w:spacing w:val="0"/>
                <w:w w:val="100"/>
                <w:kern w:val="0"/>
                <w:position w:val="0"/>
                <w:sz w:val="24"/>
                <w:szCs w:val="24"/>
                <w:highlight w:val="none"/>
                <w:lang w:val="en-US" w:eastAsia="zh-CN"/>
              </w:rPr>
              <w:t>2</w:t>
            </w:r>
            <w:r>
              <w:rPr>
                <w:rFonts w:hint="eastAsia" w:ascii="Times New Roman" w:hAnsi="Times New Roman" w:eastAsia="宋体" w:cs="Times New Roman"/>
                <w:color w:val="FF0000"/>
                <w:spacing w:val="0"/>
                <w:w w:val="100"/>
                <w:kern w:val="0"/>
                <w:position w:val="0"/>
                <w:sz w:val="24"/>
                <w:szCs w:val="24"/>
                <w:highlight w:val="none"/>
                <w:lang w:val="en-US" w:eastAsia="zh-CN"/>
              </w:rPr>
              <w:t>类区限值。因此通过类比分析，本次输电线路建成后，评价范围内</w:t>
            </w:r>
            <w:r>
              <w:rPr>
                <w:rFonts w:hint="eastAsia" w:cs="Times New Roman"/>
                <w:color w:val="FF0000"/>
                <w:sz w:val="24"/>
                <w:szCs w:val="24"/>
                <w:highlight w:val="none"/>
                <w:lang w:val="en-US" w:eastAsia="zh-CN"/>
              </w:rPr>
              <w:t>输电线路</w:t>
            </w:r>
            <w:r>
              <w:rPr>
                <w:rFonts w:hint="eastAsia" w:ascii="Times New Roman" w:hAnsi="Times New Roman" w:eastAsia="宋体" w:cs="Times New Roman"/>
                <w:color w:val="FF0000"/>
                <w:sz w:val="24"/>
                <w:szCs w:val="24"/>
                <w:highlight w:val="none"/>
                <w:lang w:val="zh-CN" w:eastAsia="zh-CN"/>
              </w:rPr>
              <w:t>声环境</w:t>
            </w:r>
            <w:r>
              <w:rPr>
                <w:rFonts w:hint="eastAsia" w:cs="Times New Roman"/>
                <w:color w:val="FF0000"/>
                <w:sz w:val="24"/>
                <w:szCs w:val="24"/>
                <w:highlight w:val="none"/>
                <w:lang w:val="en-US" w:eastAsia="zh-CN"/>
              </w:rPr>
              <w:t>位于经开区的部分噪声值</w:t>
            </w:r>
            <w:r>
              <w:rPr>
                <w:rFonts w:hint="default" w:ascii="Times New Roman" w:hAnsi="Times New Roman" w:eastAsia="宋体" w:cs="Times New Roman"/>
                <w:color w:val="FF0000"/>
                <w:sz w:val="24"/>
                <w:szCs w:val="24"/>
                <w:highlight w:val="none"/>
                <w:lang w:val="zh-CN" w:eastAsia="zh-CN"/>
              </w:rPr>
              <w:t>满足《声环境质量标准》</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GB3096-2008</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中的</w:t>
            </w:r>
            <w:r>
              <w:rPr>
                <w:rFonts w:hint="eastAsia" w:cs="Times New Roman"/>
                <w:color w:val="FF0000"/>
                <w:sz w:val="24"/>
                <w:szCs w:val="24"/>
                <w:highlight w:val="none"/>
                <w:lang w:val="en-US" w:eastAsia="zh-CN"/>
              </w:rPr>
              <w:t>3</w:t>
            </w:r>
            <w:r>
              <w:rPr>
                <w:rFonts w:hint="default" w:ascii="Times New Roman" w:hAnsi="Times New Roman" w:eastAsia="宋体" w:cs="Times New Roman"/>
                <w:color w:val="FF0000"/>
                <w:sz w:val="24"/>
                <w:szCs w:val="24"/>
                <w:highlight w:val="none"/>
                <w:lang w:val="zh-CN" w:eastAsia="zh-CN"/>
              </w:rPr>
              <w:t>类标准（昼间</w:t>
            </w:r>
            <w:r>
              <w:rPr>
                <w:rFonts w:hint="eastAsia" w:cs="Times New Roman"/>
                <w:color w:val="FF0000"/>
                <w:sz w:val="24"/>
                <w:szCs w:val="24"/>
                <w:highlight w:val="none"/>
                <w:lang w:val="en-US" w:eastAsia="zh-CN"/>
              </w:rPr>
              <w:t>65</w:t>
            </w:r>
            <w:r>
              <w:rPr>
                <w:rFonts w:hint="default" w:ascii="Times New Roman" w:hAnsi="Times New Roman" w:eastAsia="宋体" w:cs="Times New Roman"/>
                <w:color w:val="FF0000"/>
                <w:sz w:val="24"/>
                <w:szCs w:val="24"/>
                <w:highlight w:val="none"/>
                <w:lang w:val="zh-CN" w:eastAsia="zh-CN"/>
              </w:rPr>
              <w:t>dB(A)，夜间</w:t>
            </w:r>
            <w:r>
              <w:rPr>
                <w:rFonts w:hint="eastAsia" w:cs="Times New Roman"/>
                <w:color w:val="FF0000"/>
                <w:sz w:val="24"/>
                <w:szCs w:val="24"/>
                <w:highlight w:val="none"/>
                <w:lang w:val="en-US" w:eastAsia="zh-CN"/>
              </w:rPr>
              <w:t>55</w:t>
            </w:r>
            <w:r>
              <w:rPr>
                <w:rFonts w:hint="default" w:ascii="Times New Roman" w:hAnsi="Times New Roman" w:eastAsia="宋体" w:cs="Times New Roman"/>
                <w:color w:val="FF0000"/>
                <w:sz w:val="24"/>
                <w:szCs w:val="24"/>
                <w:highlight w:val="none"/>
                <w:lang w:val="zh-CN" w:eastAsia="zh-CN"/>
              </w:rPr>
              <w:t>dB(A)）</w:t>
            </w:r>
            <w:r>
              <w:rPr>
                <w:rFonts w:hint="eastAsia" w:cs="Times New Roman"/>
                <w:color w:val="FF0000"/>
                <w:sz w:val="24"/>
                <w:szCs w:val="24"/>
                <w:highlight w:val="none"/>
                <w:lang w:val="zh-CN" w:eastAsia="zh-CN"/>
              </w:rPr>
              <w:t>，</w:t>
            </w:r>
            <w:r>
              <w:rPr>
                <w:rFonts w:hint="eastAsia" w:cs="Times New Roman"/>
                <w:color w:val="FF0000"/>
                <w:sz w:val="24"/>
                <w:szCs w:val="24"/>
                <w:highlight w:val="none"/>
                <w:lang w:val="en-US" w:eastAsia="zh-CN"/>
              </w:rPr>
              <w:t>位于其他地区的部分噪声值</w:t>
            </w:r>
            <w:r>
              <w:rPr>
                <w:rFonts w:hint="default" w:ascii="Times New Roman" w:hAnsi="Times New Roman" w:eastAsia="宋体" w:cs="Times New Roman"/>
                <w:color w:val="FF0000"/>
                <w:sz w:val="24"/>
                <w:szCs w:val="24"/>
                <w:highlight w:val="none"/>
                <w:lang w:val="zh-CN" w:eastAsia="zh-CN"/>
              </w:rPr>
              <w:t>满足《声环境质量标准》</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GB3096-2008</w:t>
            </w:r>
            <w:r>
              <w:rPr>
                <w:rFonts w:hint="eastAsia" w:ascii="Times New Roman" w:hAnsi="Times New Roman" w:eastAsia="宋体" w:cs="Times New Roman"/>
                <w:color w:val="FF0000"/>
                <w:sz w:val="24"/>
                <w:szCs w:val="24"/>
                <w:highlight w:val="none"/>
                <w:lang w:val="zh-CN" w:eastAsia="zh-CN"/>
              </w:rPr>
              <w:t>）</w:t>
            </w:r>
            <w:r>
              <w:rPr>
                <w:rFonts w:hint="default" w:ascii="Times New Roman" w:hAnsi="Times New Roman" w:eastAsia="宋体" w:cs="Times New Roman"/>
                <w:color w:val="FF0000"/>
                <w:sz w:val="24"/>
                <w:szCs w:val="24"/>
                <w:highlight w:val="none"/>
                <w:lang w:val="zh-CN" w:eastAsia="zh-CN"/>
              </w:rPr>
              <w:t>中</w:t>
            </w:r>
            <w:r>
              <w:rPr>
                <w:rFonts w:hint="eastAsia" w:cs="Times New Roman"/>
                <w:color w:val="FF0000"/>
                <w:sz w:val="24"/>
                <w:szCs w:val="24"/>
                <w:highlight w:val="none"/>
                <w:lang w:val="en-US" w:eastAsia="zh-CN"/>
              </w:rPr>
              <w:t>的1</w:t>
            </w:r>
            <w:r>
              <w:rPr>
                <w:rFonts w:hint="default" w:ascii="Times New Roman" w:hAnsi="Times New Roman" w:eastAsia="宋体" w:cs="Times New Roman"/>
                <w:color w:val="FF0000"/>
                <w:sz w:val="24"/>
                <w:szCs w:val="24"/>
                <w:highlight w:val="none"/>
                <w:lang w:val="zh-CN" w:eastAsia="zh-CN"/>
              </w:rPr>
              <w:t>类</w:t>
            </w:r>
            <w:r>
              <w:rPr>
                <w:rFonts w:hint="eastAsia" w:ascii="Times New Roman" w:hAnsi="Times New Roman" w:eastAsia="宋体" w:cs="Times New Roman"/>
                <w:color w:val="FF0000"/>
                <w:spacing w:val="0"/>
                <w:w w:val="100"/>
                <w:kern w:val="0"/>
                <w:position w:val="0"/>
                <w:sz w:val="24"/>
                <w:szCs w:val="24"/>
                <w:highlight w:val="none"/>
                <w:lang w:val="en-US" w:eastAsia="zh-CN"/>
              </w:rPr>
              <w:t>标准（昼间</w:t>
            </w:r>
            <w:r>
              <w:rPr>
                <w:rFonts w:hint="eastAsia" w:cs="Times New Roman"/>
                <w:color w:val="FF0000"/>
                <w:spacing w:val="0"/>
                <w:w w:val="100"/>
                <w:kern w:val="0"/>
                <w:position w:val="0"/>
                <w:sz w:val="24"/>
                <w:szCs w:val="24"/>
                <w:highlight w:val="none"/>
                <w:lang w:val="en-US" w:eastAsia="zh-CN"/>
              </w:rPr>
              <w:t>55</w:t>
            </w:r>
            <w:r>
              <w:rPr>
                <w:rFonts w:hint="eastAsia" w:ascii="Times New Roman" w:hAnsi="Times New Roman" w:eastAsia="宋体" w:cs="Times New Roman"/>
                <w:color w:val="FF0000"/>
                <w:spacing w:val="0"/>
                <w:w w:val="100"/>
                <w:kern w:val="0"/>
                <w:position w:val="0"/>
                <w:sz w:val="24"/>
                <w:szCs w:val="24"/>
                <w:highlight w:val="none"/>
                <w:lang w:val="en-US" w:eastAsia="zh-CN"/>
              </w:rPr>
              <w:t>dB(A)，夜间</w:t>
            </w:r>
            <w:r>
              <w:rPr>
                <w:rFonts w:hint="eastAsia" w:cs="Times New Roman"/>
                <w:color w:val="FF0000"/>
                <w:spacing w:val="0"/>
                <w:w w:val="100"/>
                <w:kern w:val="0"/>
                <w:position w:val="0"/>
                <w:sz w:val="24"/>
                <w:szCs w:val="24"/>
                <w:highlight w:val="none"/>
                <w:lang w:val="en-US" w:eastAsia="zh-CN"/>
              </w:rPr>
              <w:t>45</w:t>
            </w:r>
            <w:r>
              <w:rPr>
                <w:rFonts w:hint="eastAsia" w:ascii="Times New Roman" w:hAnsi="Times New Roman" w:eastAsia="宋体" w:cs="Times New Roman"/>
                <w:color w:val="FF0000"/>
                <w:spacing w:val="0"/>
                <w:w w:val="100"/>
                <w:kern w:val="0"/>
                <w:position w:val="0"/>
                <w:sz w:val="24"/>
                <w:szCs w:val="24"/>
                <w:highlight w:val="none"/>
                <w:lang w:val="en-US" w:eastAsia="zh-CN"/>
              </w:rPr>
              <w:t>dB(A)）。</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5</w:t>
            </w:r>
            <w:r>
              <w:rPr>
                <w:rFonts w:hint="default" w:ascii="Times New Roman" w:hAnsi="Times New Roman" w:eastAsia="宋体" w:cs="Times New Roman"/>
                <w:spacing w:val="0"/>
                <w:w w:val="100"/>
                <w:kern w:val="0"/>
                <w:position w:val="0"/>
                <w:sz w:val="24"/>
                <w:szCs w:val="24"/>
                <w:highlight w:val="none"/>
                <w:lang w:val="en-US" w:eastAsia="zh-CN"/>
              </w:rPr>
              <w:t>、固废环境影响分析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本项目</w:t>
            </w:r>
            <w:r>
              <w:rPr>
                <w:rFonts w:hint="eastAsia" w:ascii="Times New Roman" w:hAnsi="Times New Roman" w:eastAsia="宋体" w:cs="Times New Roman"/>
                <w:color w:val="auto"/>
                <w:spacing w:val="0"/>
                <w:w w:val="100"/>
                <w:kern w:val="0"/>
                <w:position w:val="0"/>
                <w:sz w:val="24"/>
                <w:szCs w:val="24"/>
                <w:highlight w:val="none"/>
                <w:lang w:val="en-US" w:eastAsia="zh-CN"/>
              </w:rPr>
              <w:t>太保220kV</w:t>
            </w:r>
            <w:r>
              <w:rPr>
                <w:rFonts w:hint="default" w:ascii="Times New Roman" w:hAnsi="Times New Roman" w:eastAsia="宋体" w:cs="Times New Roman"/>
                <w:color w:val="auto"/>
                <w:spacing w:val="0"/>
                <w:w w:val="100"/>
                <w:kern w:val="0"/>
                <w:position w:val="0"/>
                <w:sz w:val="24"/>
                <w:szCs w:val="24"/>
                <w:highlight w:val="none"/>
                <w:lang w:val="en-US" w:eastAsia="zh-CN"/>
              </w:rPr>
              <w:t>变电站仅</w:t>
            </w:r>
            <w:r>
              <w:rPr>
                <w:rFonts w:hint="eastAsia" w:cs="Times New Roman"/>
                <w:color w:val="auto"/>
                <w:spacing w:val="0"/>
                <w:w w:val="100"/>
                <w:kern w:val="0"/>
                <w:position w:val="0"/>
                <w:sz w:val="24"/>
                <w:szCs w:val="24"/>
                <w:highlight w:val="none"/>
                <w:lang w:val="en-US" w:eastAsia="zh-CN"/>
              </w:rPr>
              <w:t>在预留位置</w:t>
            </w:r>
            <w:r>
              <w:rPr>
                <w:rFonts w:hint="default" w:ascii="Times New Roman" w:hAnsi="Times New Roman" w:eastAsia="宋体" w:cs="Times New Roman"/>
                <w:color w:val="auto"/>
                <w:spacing w:val="0"/>
                <w:w w:val="100"/>
                <w:kern w:val="0"/>
                <w:position w:val="0"/>
                <w:sz w:val="24"/>
                <w:szCs w:val="24"/>
                <w:highlight w:val="none"/>
                <w:lang w:val="en-US" w:eastAsia="zh-CN"/>
              </w:rPr>
              <w:t>扩建间隔，不涉及人员增减，运营期无固体废物产生；输电线路运营期无固体废物产生。</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6</w:t>
            </w:r>
            <w:r>
              <w:rPr>
                <w:rFonts w:hint="default" w:ascii="Times New Roman" w:hAnsi="Times New Roman" w:eastAsia="宋体" w:cs="Times New Roman"/>
                <w:spacing w:val="0"/>
                <w:w w:val="100"/>
                <w:kern w:val="0"/>
                <w:position w:val="0"/>
                <w:sz w:val="24"/>
                <w:szCs w:val="24"/>
                <w:highlight w:val="none"/>
                <w:lang w:val="en-US" w:eastAsia="zh-CN"/>
              </w:rPr>
              <w:t>、环境风险影响分析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本项目新建线路工程</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变电站仅</w:t>
            </w:r>
            <w:r>
              <w:rPr>
                <w:rFonts w:hint="eastAsia" w:cs="Times New Roman"/>
                <w:spacing w:val="0"/>
                <w:w w:val="100"/>
                <w:kern w:val="0"/>
                <w:position w:val="0"/>
                <w:sz w:val="24"/>
                <w:szCs w:val="24"/>
                <w:highlight w:val="none"/>
                <w:lang w:val="en-US" w:eastAsia="zh-CN"/>
              </w:rPr>
              <w:t>在预留位置</w:t>
            </w:r>
            <w:r>
              <w:rPr>
                <w:rFonts w:hint="default" w:ascii="Times New Roman" w:hAnsi="Times New Roman" w:eastAsia="宋体" w:cs="Times New Roman"/>
                <w:spacing w:val="0"/>
                <w:w w:val="100"/>
                <w:kern w:val="0"/>
                <w:position w:val="0"/>
                <w:sz w:val="24"/>
                <w:szCs w:val="24"/>
                <w:highlight w:val="none"/>
                <w:lang w:val="en-US" w:eastAsia="zh-CN"/>
              </w:rPr>
              <w:t>扩建间隔，根据《建设项目环境风险评价技术导则》（HJ964-2018），本项目不含有风险物质，不需要进行环境风险评价。</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7、电磁环境影响分析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s="宋体"/>
                <w:bCs/>
                <w:szCs w:val="21"/>
              </w:rPr>
            </w:pPr>
            <w:r>
              <w:rPr>
                <w:rFonts w:hint="eastAsia" w:ascii="Times New Roman" w:hAnsi="Times New Roman" w:eastAsia="宋体" w:cs="Times New Roman"/>
                <w:spacing w:val="0"/>
                <w:w w:val="100"/>
                <w:kern w:val="0"/>
                <w:position w:val="0"/>
                <w:sz w:val="24"/>
                <w:szCs w:val="24"/>
                <w:highlight w:val="none"/>
                <w:lang w:val="en-US" w:eastAsia="zh-CN"/>
              </w:rPr>
              <w:t>详见电磁环境影响专项评价。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0" w:hRule="atLeast"/>
          <w:jc w:val="center"/>
        </w:trPr>
        <w:tc>
          <w:tcPr>
            <w:tcW w:w="879" w:type="dxa"/>
            <w:noWrap w:val="0"/>
            <w:vAlign w:val="center"/>
          </w:tcPr>
          <w:p>
            <w:pPr>
              <w:pStyle w:val="17"/>
              <w:adjustRightInd w:val="0"/>
              <w:snapToGrid w:val="0"/>
              <w:spacing w:before="0" w:beforeAutospacing="0" w:after="0" w:afterAutospacing="0"/>
              <w:jc w:val="center"/>
              <w:rPr>
                <w:rFonts w:cs="宋体"/>
                <w:bCs/>
                <w:kern w:val="2"/>
                <w:sz w:val="24"/>
                <w:szCs w:val="24"/>
              </w:rPr>
            </w:pPr>
            <w:r>
              <w:rPr>
                <w:rFonts w:hint="eastAsia" w:cs="宋体"/>
                <w:bCs/>
                <w:kern w:val="2"/>
                <w:sz w:val="24"/>
                <w:szCs w:val="24"/>
              </w:rPr>
              <w:t>选址选线环境合理性分析</w:t>
            </w:r>
          </w:p>
        </w:tc>
        <w:tc>
          <w:tcPr>
            <w:tcW w:w="8363"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FF0000"/>
                <w:spacing w:val="0"/>
                <w:w w:val="100"/>
                <w:kern w:val="0"/>
                <w:position w:val="0"/>
                <w:sz w:val="24"/>
                <w:szCs w:val="24"/>
                <w:highlight w:val="none"/>
                <w:lang w:val="en-US" w:eastAsia="zh-CN"/>
              </w:rPr>
            </w:pPr>
            <w:r>
              <w:rPr>
                <w:rFonts w:hint="eastAsia" w:ascii="Times New Roman" w:hAnsi="Times New Roman" w:eastAsia="宋体" w:cs="Times New Roman"/>
                <w:color w:val="FF0000"/>
                <w:spacing w:val="0"/>
                <w:w w:val="100"/>
                <w:kern w:val="0"/>
                <w:position w:val="0"/>
                <w:sz w:val="24"/>
                <w:szCs w:val="24"/>
                <w:highlight w:val="none"/>
                <w:lang w:val="en-US" w:eastAsia="zh-CN"/>
              </w:rPr>
              <w:t>1、线路路径方案选择</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FF0000"/>
                <w:spacing w:val="0"/>
                <w:w w:val="100"/>
                <w:kern w:val="0"/>
                <w:position w:val="0"/>
                <w:sz w:val="24"/>
                <w:szCs w:val="24"/>
                <w:highlight w:val="none"/>
                <w:lang w:val="en-US" w:eastAsia="zh-CN"/>
              </w:rPr>
            </w:pPr>
            <w:r>
              <w:rPr>
                <w:rFonts w:hint="default" w:ascii="Times New Roman" w:hAnsi="Times New Roman" w:eastAsia="宋体" w:cs="Times New Roman"/>
                <w:color w:val="FF0000"/>
                <w:spacing w:val="0"/>
                <w:w w:val="100"/>
                <w:kern w:val="0"/>
                <w:position w:val="0"/>
                <w:sz w:val="24"/>
                <w:szCs w:val="24"/>
                <w:highlight w:val="none"/>
                <w:lang w:val="en-US" w:eastAsia="zh-CN"/>
              </w:rPr>
              <w:t>根据《输变电建设项目环境保护技术要求》</w:t>
            </w:r>
            <w:r>
              <w:rPr>
                <w:rFonts w:hint="eastAsia" w:cs="Times New Roman"/>
                <w:color w:val="FF0000"/>
                <w:spacing w:val="0"/>
                <w:w w:val="100"/>
                <w:kern w:val="0"/>
                <w:position w:val="0"/>
                <w:sz w:val="24"/>
                <w:szCs w:val="24"/>
                <w:highlight w:val="none"/>
                <w:lang w:val="en-US" w:eastAsia="zh-CN"/>
              </w:rPr>
              <w:t>（</w:t>
            </w:r>
            <w:r>
              <w:rPr>
                <w:rFonts w:hint="default" w:ascii="Times New Roman" w:hAnsi="Times New Roman" w:eastAsia="宋体" w:cs="Times New Roman"/>
                <w:color w:val="FF0000"/>
                <w:spacing w:val="0"/>
                <w:w w:val="100"/>
                <w:kern w:val="0"/>
                <w:position w:val="0"/>
                <w:sz w:val="24"/>
                <w:szCs w:val="24"/>
                <w:highlight w:val="none"/>
                <w:lang w:val="en-US" w:eastAsia="zh-CN"/>
              </w:rPr>
              <w:t>HJ1113-2020</w:t>
            </w:r>
            <w:r>
              <w:rPr>
                <w:rFonts w:hint="eastAsia" w:cs="Times New Roman"/>
                <w:color w:val="FF0000"/>
                <w:spacing w:val="0"/>
                <w:w w:val="100"/>
                <w:kern w:val="0"/>
                <w:position w:val="0"/>
                <w:sz w:val="24"/>
                <w:szCs w:val="24"/>
                <w:highlight w:val="none"/>
                <w:lang w:val="en-US" w:eastAsia="zh-CN"/>
              </w:rPr>
              <w:t>）</w:t>
            </w:r>
            <w:r>
              <w:rPr>
                <w:rFonts w:hint="default" w:ascii="Times New Roman" w:hAnsi="Times New Roman" w:eastAsia="宋体" w:cs="Times New Roman"/>
                <w:color w:val="FF0000"/>
                <w:spacing w:val="0"/>
                <w:w w:val="100"/>
                <w:kern w:val="0"/>
                <w:position w:val="0"/>
                <w:sz w:val="24"/>
                <w:szCs w:val="24"/>
                <w:highlight w:val="none"/>
                <w:lang w:val="en-US" w:eastAsia="zh-CN"/>
              </w:rPr>
              <w:t>，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color w:val="FF0000"/>
                <w:kern w:val="0"/>
                <w:sz w:val="24"/>
                <w:szCs w:val="24"/>
                <w:highlight w:val="none"/>
                <w:lang w:val="en-US" w:eastAsia="zh-CN"/>
              </w:rPr>
            </w:pPr>
            <w:r>
              <w:rPr>
                <w:rFonts w:hint="default" w:ascii="Times New Roman" w:hAnsi="Times New Roman" w:eastAsia="宋体" w:cs="Times New Roman"/>
                <w:color w:val="FF0000"/>
                <w:spacing w:val="0"/>
                <w:w w:val="100"/>
                <w:kern w:val="0"/>
                <w:position w:val="0"/>
                <w:sz w:val="24"/>
                <w:szCs w:val="24"/>
                <w:highlight w:val="none"/>
                <w:lang w:val="en-US" w:eastAsia="zh-CN"/>
              </w:rPr>
              <w:t>本项目位于</w:t>
            </w:r>
            <w:r>
              <w:rPr>
                <w:rFonts w:hint="default" w:ascii="Times New Roman" w:hAnsi="Times New Roman" w:eastAsia="宋体" w:cs="Times New Roman"/>
                <w:color w:val="FF0000"/>
                <w:sz w:val="24"/>
                <w:szCs w:val="24"/>
                <w:highlight w:val="none"/>
                <w:u w:val="none"/>
              </w:rPr>
              <w:t>黑龙江省</w:t>
            </w:r>
            <w:r>
              <w:rPr>
                <w:rFonts w:hint="eastAsia" w:ascii="Times New Roman" w:hAnsi="Times New Roman" w:eastAsia="宋体" w:cs="Times New Roman"/>
                <w:color w:val="FF0000"/>
                <w:sz w:val="24"/>
                <w:szCs w:val="24"/>
                <w:highlight w:val="none"/>
                <w:u w:val="none"/>
                <w:lang w:val="en-US" w:eastAsia="zh-CN"/>
              </w:rPr>
              <w:t>双鸭山市集贤县</w:t>
            </w:r>
            <w:r>
              <w:rPr>
                <w:rFonts w:hint="eastAsia" w:cs="Times New Roman"/>
                <w:color w:val="FF0000"/>
                <w:sz w:val="24"/>
                <w:szCs w:val="24"/>
                <w:highlight w:val="none"/>
                <w:u w:val="none"/>
                <w:lang w:val="en-US" w:eastAsia="zh-CN"/>
              </w:rPr>
              <w:t>和</w:t>
            </w:r>
            <w:r>
              <w:rPr>
                <w:rFonts w:hint="eastAsia" w:ascii="Times New Roman" w:hAnsi="Times New Roman" w:eastAsia="宋体" w:cs="Times New Roman"/>
                <w:color w:val="FF0000"/>
                <w:sz w:val="24"/>
                <w:szCs w:val="24"/>
                <w:highlight w:val="none"/>
                <w:u w:val="none"/>
                <w:lang w:val="en-US" w:eastAsia="zh-CN"/>
              </w:rPr>
              <w:t>双鸭山市</w:t>
            </w:r>
            <w:r>
              <w:rPr>
                <w:rFonts w:hint="eastAsia" w:cs="Times New Roman"/>
                <w:color w:val="FF0000"/>
                <w:sz w:val="24"/>
                <w:szCs w:val="24"/>
                <w:highlight w:val="none"/>
                <w:u w:val="none"/>
                <w:lang w:val="en-US" w:eastAsia="zh-CN"/>
              </w:rPr>
              <w:t>四方台区</w:t>
            </w:r>
            <w:r>
              <w:rPr>
                <w:rFonts w:hint="default" w:ascii="Times New Roman" w:hAnsi="Times New Roman" w:eastAsia="宋体" w:cs="Times New Roman"/>
                <w:color w:val="FF0000"/>
                <w:spacing w:val="0"/>
                <w:w w:val="100"/>
                <w:kern w:val="0"/>
                <w:position w:val="0"/>
                <w:sz w:val="24"/>
                <w:szCs w:val="24"/>
                <w:highlight w:val="none"/>
                <w:lang w:val="en-US" w:eastAsia="zh-CN"/>
              </w:rPr>
              <w:t>，鉴于龙煤双鸭山集贤200MW风电升压站和220kV太保变电站的位置关系，且受周围村屯及地形的影响，路线整体方案具有唯一性。</w:t>
            </w:r>
            <w:r>
              <w:rPr>
                <w:rFonts w:hint="eastAsia" w:ascii="Times New Roman" w:hAnsi="Times New Roman" w:cs="Times New Roman"/>
                <w:bCs/>
                <w:color w:val="FF0000"/>
                <w:sz w:val="24"/>
                <w:szCs w:val="24"/>
                <w:highlight w:val="none"/>
                <w:lang w:val="en-US" w:eastAsia="zh-CN"/>
              </w:rPr>
              <w:t>本项目新建输电线路为线性工程，</w:t>
            </w:r>
            <w:r>
              <w:rPr>
                <w:rFonts w:hint="default" w:ascii="Times New Roman" w:hAnsi="Times New Roman" w:cs="Times New Roman"/>
                <w:bCs/>
                <w:color w:val="FF0000"/>
                <w:sz w:val="24"/>
                <w:szCs w:val="24"/>
                <w:highlight w:val="none"/>
                <w:lang w:val="en-US" w:eastAsia="zh-CN"/>
              </w:rPr>
              <w:t>工程沿线存在大量的基本农田。由于输电线路具有区域分布连续性和不可分割性，在选址选线时需考虑地形地貌条件、地质条件、线路走向、生态环境、投资、施工强度和难度等对项目建设的影响，不可避免占用部分基本农田。</w:t>
            </w:r>
            <w:r>
              <w:rPr>
                <w:rFonts w:hint="eastAsia"/>
                <w:color w:val="FF0000"/>
                <w:kern w:val="0"/>
                <w:sz w:val="24"/>
                <w:szCs w:val="24"/>
                <w:highlight w:val="none"/>
                <w:lang w:val="en-US" w:eastAsia="zh-CN"/>
              </w:rPr>
              <w:t>依据《黑龙江省自然资</w:t>
            </w:r>
            <w:r>
              <w:rPr>
                <w:rFonts w:hint="default" w:ascii="Times New Roman" w:hAnsi="Times New Roman" w:cs="Times New Roman"/>
                <w:color w:val="FF0000"/>
                <w:kern w:val="0"/>
                <w:sz w:val="24"/>
                <w:szCs w:val="24"/>
                <w:highlight w:val="none"/>
                <w:lang w:val="en-US" w:eastAsia="zh-CN"/>
              </w:rPr>
              <w:t>源厅 黑龙江省发展和改革委员会关于简化用地管理加快电网建设的通知》（黑自然资函</w:t>
            </w:r>
            <w:r>
              <w:rPr>
                <w:rFonts w:hint="default" w:ascii="Times New Roman" w:hAnsi="Times New Roman" w:cs="Times New Roman"/>
                <w:color w:val="FF0000"/>
                <w:sz w:val="24"/>
                <w:szCs w:val="24"/>
                <w:lang w:val="en-US" w:eastAsia="zh-CN"/>
              </w:rPr>
              <w:t>〔2018</w:t>
            </w:r>
            <w:r>
              <w:rPr>
                <w:rFonts w:hint="default" w:ascii="Times New Roman" w:hAnsi="Times New Roman" w:cs="Times New Roman"/>
                <w:color w:val="FF0000"/>
                <w:kern w:val="0"/>
                <w:sz w:val="24"/>
                <w:szCs w:val="24"/>
                <w:lang w:val="en-US" w:eastAsia="zh-CN"/>
              </w:rPr>
              <w:t>〕</w:t>
            </w:r>
            <w:r>
              <w:rPr>
                <w:rFonts w:hint="default" w:ascii="Times New Roman" w:hAnsi="Times New Roman" w:cs="Times New Roman"/>
                <w:color w:val="FF0000"/>
                <w:kern w:val="0"/>
                <w:sz w:val="24"/>
                <w:szCs w:val="24"/>
                <w:highlight w:val="none"/>
                <w:lang w:val="en-US" w:eastAsia="zh-CN"/>
              </w:rPr>
              <w:t>46号）相关要求，本项目塔基用地通过协议补偿方式直接使用，在工程使用期结束后恢复原地类。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FF0000"/>
                <w:spacing w:val="0"/>
                <w:w w:val="100"/>
                <w:kern w:val="0"/>
                <w:position w:val="0"/>
                <w:sz w:val="24"/>
                <w:szCs w:val="24"/>
                <w:highlight w:val="yellow"/>
                <w:lang w:val="en-US" w:eastAsia="zh-CN"/>
              </w:rPr>
            </w:pPr>
            <w:r>
              <w:rPr>
                <w:rFonts w:hint="eastAsia" w:cs="Times New Roman"/>
                <w:color w:val="FF0000"/>
                <w:spacing w:val="0"/>
                <w:w w:val="100"/>
                <w:kern w:val="0"/>
                <w:position w:val="0"/>
                <w:sz w:val="24"/>
                <w:szCs w:val="24"/>
                <w:highlight w:val="none"/>
                <w:lang w:val="en-US" w:eastAsia="zh-CN"/>
              </w:rPr>
              <w:t>本项目输电线路周边土地利用现状图如下：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spacing w:val="0"/>
                <w:w w:val="100"/>
                <w:kern w:val="0"/>
                <w:position w:val="0"/>
                <w:sz w:val="24"/>
                <w:szCs w:val="24"/>
                <w:highlight w:val="none"/>
                <w:lang w:val="en-US" w:eastAsia="zh-CN"/>
              </w:rPr>
            </w:pP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lang w:val="en-US" w:eastAsia="zh-CN"/>
              </w:rPr>
            </w:pPr>
            <w:r>
              <w:drawing>
                <wp:inline distT="0" distB="0" distL="114300" distR="114300">
                  <wp:extent cx="4981575" cy="7286625"/>
                  <wp:effectExtent l="0" t="0" r="9525" b="952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19"/>
                          <a:stretch>
                            <a:fillRect/>
                          </a:stretch>
                        </pic:blipFill>
                        <pic:spPr>
                          <a:xfrm>
                            <a:off x="0" y="0"/>
                            <a:ext cx="4981575" cy="728662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rFonts w:hint="eastAsia" w:cs="Times New Roman"/>
                <w:spacing w:val="0"/>
                <w:w w:val="100"/>
                <w:kern w:val="0"/>
                <w:position w:val="0"/>
                <w:sz w:val="24"/>
                <w:szCs w:val="24"/>
                <w:highlight w:val="none"/>
                <w:lang w:val="en-US" w:eastAsia="zh-CN"/>
              </w:rPr>
            </w:pPr>
            <w:r>
              <w:rPr>
                <w:rFonts w:hint="default" w:ascii="Times New Roman" w:hAnsi="Times New Roman" w:eastAsia="宋体" w:cs="Times New Roman"/>
                <w:b/>
                <w:color w:val="FF0000"/>
                <w:sz w:val="21"/>
                <w:szCs w:val="21"/>
              </w:rPr>
              <w:t>图</w:t>
            </w:r>
            <w:r>
              <w:rPr>
                <w:rFonts w:hint="default" w:ascii="Times New Roman" w:hAnsi="Times New Roman" w:eastAsia="宋体" w:cs="Times New Roman"/>
                <w:b/>
                <w:color w:val="FF0000"/>
                <w:sz w:val="21"/>
                <w:szCs w:val="21"/>
                <w:lang w:val="en-US" w:eastAsia="zh-CN"/>
              </w:rPr>
              <w:t>4-</w:t>
            </w:r>
            <w:r>
              <w:rPr>
                <w:rFonts w:hint="eastAsia" w:ascii="Times New Roman" w:hAnsi="Times New Roman" w:eastAsia="宋体" w:cs="Times New Roman"/>
                <w:b/>
                <w:color w:val="FF0000"/>
                <w:sz w:val="21"/>
                <w:szCs w:val="21"/>
                <w:lang w:val="en-US" w:eastAsia="zh-CN"/>
              </w:rPr>
              <w:t>4</w:t>
            </w:r>
            <w:r>
              <w:rPr>
                <w:rFonts w:hint="default" w:ascii="Times New Roman" w:hAnsi="Times New Roman" w:eastAsia="宋体" w:cs="Times New Roman"/>
                <w:b/>
                <w:color w:val="FF0000"/>
                <w:sz w:val="21"/>
                <w:szCs w:val="21"/>
                <w:lang w:val="en-US" w:eastAsia="zh-CN"/>
              </w:rPr>
              <w:t xml:space="preserve"> </w:t>
            </w:r>
            <w:r>
              <w:rPr>
                <w:rFonts w:hint="default" w:ascii="Times New Roman" w:hAnsi="Times New Roman" w:eastAsia="宋体" w:cs="Times New Roman"/>
                <w:b/>
                <w:color w:val="FF0000"/>
                <w:sz w:val="21"/>
                <w:szCs w:val="21"/>
              </w:rPr>
              <w:t xml:space="preserve"> </w:t>
            </w:r>
            <w:r>
              <w:rPr>
                <w:rFonts w:hint="eastAsia" w:ascii="Times New Roman" w:hAnsi="Times New Roman" w:eastAsia="宋体" w:cs="Times New Roman"/>
                <w:b/>
                <w:color w:val="FF0000"/>
                <w:sz w:val="21"/>
                <w:szCs w:val="21"/>
                <w:lang w:val="en-US" w:eastAsia="zh-CN"/>
              </w:rPr>
              <w:t>土地利用现状</w:t>
            </w:r>
            <w:r>
              <w:rPr>
                <w:rFonts w:hint="default" w:ascii="Times New Roman" w:hAnsi="Times New Roman" w:eastAsia="宋体" w:cs="Times New Roman"/>
                <w:b/>
                <w:color w:val="FF0000"/>
                <w:sz w:val="21"/>
                <w:szCs w:val="21"/>
                <w:lang w:val="en-US" w:eastAsia="zh-CN"/>
              </w:rPr>
              <w:t>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cs="Times New Roman"/>
                <w:spacing w:val="0"/>
                <w:w w:val="100"/>
                <w:kern w:val="0"/>
                <w:position w:val="0"/>
                <w:sz w:val="24"/>
                <w:szCs w:val="24"/>
                <w:highlight w:val="none"/>
                <w:lang w:val="en-US" w:eastAsia="zh-CN"/>
              </w:rPr>
              <w:t>环境</w:t>
            </w:r>
            <w:r>
              <w:rPr>
                <w:rFonts w:hint="default" w:ascii="Times New Roman" w:hAnsi="Times New Roman" w:eastAsia="宋体" w:cs="Times New Roman"/>
                <w:spacing w:val="0"/>
                <w:w w:val="100"/>
                <w:kern w:val="0"/>
                <w:position w:val="0"/>
                <w:sz w:val="24"/>
                <w:szCs w:val="24"/>
                <w:highlight w:val="none"/>
                <w:lang w:val="en-US" w:eastAsia="zh-CN"/>
              </w:rPr>
              <w:t>合理性</w:t>
            </w:r>
            <w:r>
              <w:rPr>
                <w:rFonts w:hint="eastAsia" w:cs="Times New Roman"/>
                <w:spacing w:val="0"/>
                <w:w w:val="100"/>
                <w:kern w:val="0"/>
                <w:position w:val="0"/>
                <w:sz w:val="24"/>
                <w:szCs w:val="24"/>
                <w:highlight w:val="none"/>
                <w:lang w:val="en-US" w:eastAsia="zh-CN"/>
              </w:rPr>
              <w:t>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输电线路在选线过程中，对沿线与环境有关的地方政府、环保、水利、林业等部门进行了收资调研和路径协调工作，避让了村庄和生态类环境敏感区，沿线评价范围内无居民类和生态类环境敏感目标分布。</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项目</w:t>
            </w:r>
            <w:r>
              <w:rPr>
                <w:rFonts w:hint="default" w:ascii="Times New Roman" w:hAnsi="Times New Roman" w:eastAsia="宋体" w:cs="Times New Roman"/>
                <w:spacing w:val="0"/>
                <w:w w:val="100"/>
                <w:kern w:val="0"/>
                <w:position w:val="0"/>
                <w:sz w:val="24"/>
                <w:szCs w:val="24"/>
                <w:highlight w:val="none"/>
                <w:lang w:val="en-US" w:eastAsia="zh-CN"/>
              </w:rPr>
              <w:t>所在区域的空气环境质量、水环境质量、声环境质量等现状良好</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本项目污染物均得到合理处理处置，不会对环境造成污染。</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根据国土资源部、国家发展和改革委员会2012年5月30日发布的</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关于发布实施《限制用地项目目录（2012年本）》和《禁止用地项目目录（2012年本）》的通知</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中规定，本项目不属于其规定的限制用地和禁止用地项目范畴。</w:t>
            </w:r>
            <w:r>
              <w:rPr>
                <w:rFonts w:hint="eastAsia" w:ascii="Times New Roman" w:hAnsi="Times New Roman" w:eastAsia="宋体" w:cs="Times New Roman"/>
                <w:spacing w:val="0"/>
                <w:w w:val="100"/>
                <w:kern w:val="0"/>
                <w:position w:val="0"/>
                <w:sz w:val="24"/>
                <w:szCs w:val="24"/>
                <w:highlight w:val="none"/>
                <w:lang w:val="en-US" w:eastAsia="zh-CN"/>
              </w:rPr>
              <w:t>根据与企业核实及现场踏查</w:t>
            </w:r>
            <w:r>
              <w:rPr>
                <w:rFonts w:hint="default" w:ascii="Times New Roman" w:hAnsi="Times New Roman" w:eastAsia="宋体" w:cs="Times New Roman"/>
                <w:spacing w:val="0"/>
                <w:w w:val="100"/>
                <w:kern w:val="0"/>
                <w:position w:val="0"/>
                <w:sz w:val="24"/>
                <w:szCs w:val="24"/>
                <w:highlight w:val="none"/>
                <w:lang w:val="en-US" w:eastAsia="zh-CN"/>
              </w:rPr>
              <w:t>，项目主要占地</w:t>
            </w:r>
            <w:r>
              <w:rPr>
                <w:rFonts w:hint="eastAsia" w:cs="Times New Roman"/>
                <w:spacing w:val="0"/>
                <w:w w:val="100"/>
                <w:kern w:val="0"/>
                <w:position w:val="0"/>
                <w:sz w:val="24"/>
                <w:szCs w:val="24"/>
                <w:highlight w:val="none"/>
                <w:lang w:val="en-US" w:eastAsia="zh-CN"/>
              </w:rPr>
              <w:t>类型为耕地（包括一般耕地和基本农田）</w:t>
            </w: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根据《黑龙江省自然资源厅黑龙江省发展和改革委员会关于简化用地管理加快电网建设的通知》</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黑自然资函〔20</w:t>
            </w:r>
            <w:r>
              <w:rPr>
                <w:rFonts w:hint="eastAsia" w:ascii="Times New Roman" w:hAnsi="Times New Roman" w:eastAsia="宋体" w:cs="Times New Roman"/>
                <w:spacing w:val="0"/>
                <w:w w:val="100"/>
                <w:kern w:val="0"/>
                <w:position w:val="0"/>
                <w:sz w:val="24"/>
                <w:szCs w:val="24"/>
                <w:highlight w:val="none"/>
                <w:lang w:val="en-US" w:eastAsia="zh-CN"/>
              </w:rPr>
              <w:t>18</w:t>
            </w:r>
            <w:r>
              <w:rPr>
                <w:rFonts w:hint="default" w:ascii="Times New Roman" w:hAnsi="Times New Roman" w:eastAsia="宋体" w:cs="Times New Roman"/>
                <w:spacing w:val="0"/>
                <w:w w:val="100"/>
                <w:kern w:val="0"/>
                <w:position w:val="0"/>
                <w:sz w:val="24"/>
                <w:szCs w:val="24"/>
                <w:highlight w:val="none"/>
                <w:lang w:val="en-US" w:eastAsia="zh-CN"/>
              </w:rPr>
              <w:t>〕46号</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和《</w:t>
            </w:r>
            <w:r>
              <w:rPr>
                <w:rFonts w:hint="eastAsia" w:ascii="Times New Roman" w:hAnsi="Times New Roman" w:eastAsia="宋体" w:cs="Times New Roman"/>
                <w:spacing w:val="0"/>
                <w:w w:val="100"/>
                <w:kern w:val="0"/>
                <w:position w:val="0"/>
                <w:sz w:val="24"/>
                <w:szCs w:val="24"/>
                <w:highlight w:val="none"/>
                <w:lang w:val="en-US" w:eastAsia="zh-CN"/>
              </w:rPr>
              <w:t>双鸭山</w:t>
            </w:r>
            <w:r>
              <w:rPr>
                <w:rFonts w:hint="default" w:ascii="Times New Roman" w:hAnsi="Times New Roman" w:eastAsia="宋体" w:cs="Times New Roman"/>
                <w:spacing w:val="0"/>
                <w:w w:val="100"/>
                <w:kern w:val="0"/>
                <w:position w:val="0"/>
                <w:sz w:val="24"/>
                <w:szCs w:val="24"/>
                <w:highlight w:val="none"/>
                <w:lang w:val="en-US" w:eastAsia="zh-CN"/>
              </w:rPr>
              <w:t>市人民政府</w:t>
            </w:r>
            <w:r>
              <w:rPr>
                <w:rFonts w:hint="eastAsia" w:ascii="Times New Roman" w:hAnsi="Times New Roman" w:eastAsia="宋体" w:cs="Times New Roman"/>
                <w:spacing w:val="0"/>
                <w:w w:val="100"/>
                <w:kern w:val="0"/>
                <w:position w:val="0"/>
                <w:sz w:val="24"/>
                <w:szCs w:val="24"/>
                <w:highlight w:val="none"/>
                <w:lang w:val="en-US" w:eastAsia="zh-CN"/>
              </w:rPr>
              <w:t>办公室关于印发进一步推动</w:t>
            </w:r>
            <w:r>
              <w:rPr>
                <w:rFonts w:hint="default" w:ascii="Times New Roman" w:hAnsi="Times New Roman" w:eastAsia="宋体" w:cs="Times New Roman"/>
                <w:spacing w:val="0"/>
                <w:w w:val="100"/>
                <w:kern w:val="0"/>
                <w:position w:val="0"/>
                <w:sz w:val="24"/>
                <w:szCs w:val="24"/>
                <w:highlight w:val="none"/>
                <w:lang w:val="en-US" w:eastAsia="zh-CN"/>
              </w:rPr>
              <w:t>电网</w:t>
            </w:r>
            <w:r>
              <w:rPr>
                <w:rFonts w:hint="eastAsia" w:ascii="Times New Roman" w:hAnsi="Times New Roman" w:eastAsia="宋体" w:cs="Times New Roman"/>
                <w:spacing w:val="0"/>
                <w:w w:val="100"/>
                <w:kern w:val="0"/>
                <w:position w:val="0"/>
                <w:sz w:val="24"/>
                <w:szCs w:val="24"/>
                <w:highlight w:val="none"/>
                <w:lang w:val="en-US" w:eastAsia="zh-CN"/>
              </w:rPr>
              <w:t>高质量发展工作方案的通知</w:t>
            </w: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（双政办发</w:t>
            </w:r>
            <w:r>
              <w:rPr>
                <w:rFonts w:hint="default" w:ascii="Times New Roman" w:hAnsi="Times New Roman" w:eastAsia="宋体" w:cs="Times New Roman"/>
                <w:spacing w:val="0"/>
                <w:w w:val="100"/>
                <w:kern w:val="0"/>
                <w:position w:val="0"/>
                <w:sz w:val="24"/>
                <w:szCs w:val="24"/>
                <w:highlight w:val="none"/>
                <w:lang w:val="en-US" w:eastAsia="zh-CN"/>
              </w:rPr>
              <w:t>〔20</w:t>
            </w:r>
            <w:r>
              <w:rPr>
                <w:rFonts w:hint="eastAsia" w:ascii="Times New Roman" w:hAnsi="Times New Roman" w:eastAsia="宋体" w:cs="Times New Roman"/>
                <w:spacing w:val="0"/>
                <w:w w:val="100"/>
                <w:kern w:val="0"/>
                <w:position w:val="0"/>
                <w:sz w:val="24"/>
                <w:szCs w:val="24"/>
                <w:highlight w:val="none"/>
                <w:lang w:val="en-US" w:eastAsia="zh-CN"/>
              </w:rPr>
              <w:t>24</w:t>
            </w:r>
            <w:r>
              <w:rPr>
                <w:rFonts w:hint="default" w:ascii="Times New Roman" w:hAnsi="Times New Roman" w:eastAsia="宋体" w:cs="Times New Roman"/>
                <w:spacing w:val="0"/>
                <w:w w:val="100"/>
                <w:kern w:val="0"/>
                <w:position w:val="0"/>
                <w:sz w:val="24"/>
                <w:szCs w:val="24"/>
                <w:highlight w:val="none"/>
                <w:lang w:val="en-US" w:eastAsia="zh-CN"/>
              </w:rPr>
              <w:t>〕1</w:t>
            </w:r>
            <w:r>
              <w:rPr>
                <w:rFonts w:hint="eastAsia" w:ascii="Times New Roman" w:hAnsi="Times New Roman" w:eastAsia="宋体"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号</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文件精神，</w:t>
            </w:r>
            <w:r>
              <w:rPr>
                <w:rFonts w:hint="eastAsia" w:ascii="Times New Roman" w:hAnsi="Times New Roman" w:eastAsia="宋体" w:cs="Times New Roman"/>
                <w:spacing w:val="0"/>
                <w:w w:val="100"/>
                <w:kern w:val="0"/>
                <w:position w:val="0"/>
                <w:sz w:val="24"/>
                <w:szCs w:val="24"/>
                <w:highlight w:val="none"/>
                <w:lang w:val="en-US" w:eastAsia="zh-CN"/>
              </w:rPr>
              <w:t>集贤</w:t>
            </w:r>
            <w:r>
              <w:rPr>
                <w:rFonts w:hint="default" w:ascii="Times New Roman" w:hAnsi="Times New Roman" w:eastAsia="宋体" w:cs="Times New Roman"/>
                <w:spacing w:val="0"/>
                <w:w w:val="100"/>
                <w:kern w:val="0"/>
                <w:position w:val="0"/>
                <w:sz w:val="24"/>
                <w:szCs w:val="24"/>
                <w:highlight w:val="none"/>
                <w:lang w:val="en-US" w:eastAsia="zh-CN"/>
              </w:rPr>
              <w:t>县</w:t>
            </w:r>
            <w:r>
              <w:rPr>
                <w:rFonts w:hint="default" w:ascii="Times New Roman" w:hAnsi="Times New Roman" w:eastAsia="宋体" w:cs="Times New Roman"/>
                <w:color w:val="000000"/>
                <w:sz w:val="24"/>
                <w:szCs w:val="24"/>
              </w:rPr>
              <w:t>龙煤双鸭山集贤200MW风力发电项目接网工程</w:t>
            </w:r>
            <w:r>
              <w:rPr>
                <w:rFonts w:hint="default" w:ascii="Times New Roman" w:hAnsi="Times New Roman" w:eastAsia="宋体" w:cs="Times New Roman"/>
                <w:spacing w:val="0"/>
                <w:w w:val="100"/>
                <w:kern w:val="0"/>
                <w:position w:val="0"/>
                <w:sz w:val="24"/>
                <w:szCs w:val="24"/>
                <w:highlight w:val="none"/>
                <w:lang w:val="en-US" w:eastAsia="zh-CN"/>
              </w:rPr>
              <w:t>项目用地符合土地利用规划要求。</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cs="Times New Roman"/>
                <w:spacing w:val="0"/>
                <w:w w:val="100"/>
                <w:kern w:val="0"/>
                <w:position w:val="0"/>
                <w:sz w:val="24"/>
                <w:szCs w:val="24"/>
                <w:highlight w:val="none"/>
                <w:lang w:val="en-US" w:eastAsia="zh-CN"/>
              </w:rPr>
              <w:t>3、</w:t>
            </w:r>
            <w:r>
              <w:rPr>
                <w:rFonts w:hint="eastAsia" w:ascii="Times New Roman" w:hAnsi="Times New Roman" w:eastAsia="宋体" w:cs="Times New Roman"/>
                <w:spacing w:val="0"/>
                <w:w w:val="100"/>
                <w:kern w:val="0"/>
                <w:position w:val="0"/>
                <w:sz w:val="24"/>
                <w:szCs w:val="24"/>
                <w:highlight w:val="none"/>
                <w:lang w:val="en-US" w:eastAsia="zh-CN"/>
              </w:rPr>
              <w:t>与《输变电建设项目环境保护技术要求》（HJ 1113-2020）的符合性分析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项目选址、设计、环境保护措施及施工和运行方案符合《输变电建设项目环境保护技术要求》（HJ 1113-2020）要求。</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cs="Times New Roman"/>
                <w:spacing w:val="0"/>
                <w:w w:val="100"/>
                <w:kern w:val="0"/>
                <w:position w:val="0"/>
                <w:sz w:val="24"/>
                <w:szCs w:val="24"/>
                <w:highlight w:val="none"/>
                <w:lang w:val="en-US" w:eastAsia="zh-CN"/>
              </w:rPr>
              <w:t>4</w:t>
            </w:r>
            <w:r>
              <w:rPr>
                <w:rFonts w:hint="default" w:ascii="Times New Roman" w:hAnsi="Times New Roman" w:eastAsia="宋体" w:cs="Times New Roman"/>
                <w:spacing w:val="0"/>
                <w:w w:val="100"/>
                <w:kern w:val="0"/>
                <w:position w:val="0"/>
                <w:sz w:val="24"/>
                <w:szCs w:val="24"/>
                <w:highlight w:val="none"/>
                <w:lang w:val="en-US" w:eastAsia="zh-CN"/>
              </w:rPr>
              <w:t>、临时占地选址合理性</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s="宋体"/>
                <w:bCs/>
                <w:szCs w:val="21"/>
              </w:rPr>
            </w:pPr>
            <w:r>
              <w:rPr>
                <w:rFonts w:hint="default" w:ascii="Times New Roman" w:hAnsi="Times New Roman" w:eastAsia="宋体" w:cs="Times New Roman"/>
                <w:spacing w:val="0"/>
                <w:w w:val="100"/>
                <w:kern w:val="0"/>
                <w:position w:val="0"/>
                <w:sz w:val="24"/>
                <w:szCs w:val="24"/>
                <w:highlight w:val="none"/>
                <w:lang w:val="en-US" w:eastAsia="zh-CN"/>
              </w:rPr>
              <w:t>依据施工总布置原则、结合本工程区地形地貌条件及工程的特点。施工布置采取集中与分散相结合的原则，充分考虑永久和临时建筑关系，进行施工工厂设施的布置。力求布置紧凑，节约用地，又方便施工和管理，同时兼顾环保的要求。</w:t>
            </w:r>
            <w:r>
              <w:rPr>
                <w:rFonts w:hint="eastAsia" w:ascii="Times New Roman" w:hAnsi="Times New Roman" w:eastAsia="宋体" w:cs="Times New Roman"/>
                <w:spacing w:val="0"/>
                <w:w w:val="100"/>
                <w:kern w:val="0"/>
                <w:position w:val="0"/>
                <w:sz w:val="24"/>
                <w:szCs w:val="24"/>
                <w:highlight w:val="none"/>
                <w:lang w:val="en-US" w:eastAsia="zh-CN"/>
              </w:rPr>
              <w:t>施工临时场地</w:t>
            </w:r>
            <w:r>
              <w:rPr>
                <w:rFonts w:hint="default" w:ascii="Times New Roman" w:hAnsi="Times New Roman" w:eastAsia="宋体" w:cs="Times New Roman"/>
                <w:spacing w:val="0"/>
                <w:w w:val="100"/>
                <w:kern w:val="0"/>
                <w:position w:val="0"/>
                <w:sz w:val="24"/>
                <w:szCs w:val="24"/>
                <w:highlight w:val="none"/>
                <w:lang w:val="en-US" w:eastAsia="zh-CN"/>
              </w:rPr>
              <w:t>占地</w:t>
            </w:r>
            <w:r>
              <w:rPr>
                <w:rFonts w:hint="eastAsia" w:cs="Times New Roman"/>
                <w:spacing w:val="0"/>
                <w:w w:val="100"/>
                <w:kern w:val="0"/>
                <w:position w:val="0"/>
                <w:sz w:val="24"/>
                <w:szCs w:val="24"/>
                <w:highlight w:val="none"/>
                <w:lang w:val="en-US" w:eastAsia="zh-CN"/>
              </w:rPr>
              <w:t>类型为耕地</w:t>
            </w:r>
            <w:r>
              <w:rPr>
                <w:rFonts w:hint="default" w:ascii="Times New Roman" w:hAnsi="Times New Roman" w:eastAsia="宋体" w:cs="Times New Roman"/>
                <w:spacing w:val="0"/>
                <w:w w:val="100"/>
                <w:kern w:val="0"/>
                <w:position w:val="0"/>
                <w:sz w:val="24"/>
                <w:szCs w:val="24"/>
                <w:highlight w:val="none"/>
                <w:lang w:val="en-US" w:eastAsia="zh-CN"/>
              </w:rPr>
              <w:t>，项目结束后及时复耕。本项目不设置取土场及弃土场，待施工结束后对临时占地进行复耕，恢复原有植被类型。在严格落实本报告表提出的各项施工期环保措施和建议的条件下，本项目临时工程对环境影响较小，且临时工程随着施工的结束影响结束，影响时间较短，综上所述，本项目临时工程不会对环境造成污染。本项目临时占地选址合理。</w:t>
            </w:r>
          </w:p>
        </w:tc>
      </w:tr>
    </w:tbl>
    <w:p>
      <w:pPr>
        <w:pStyle w:val="17"/>
        <w:jc w:val="center"/>
        <w:rPr>
          <w:rFonts w:ascii="黑体" w:hAnsi="黑体" w:eastAsia="黑体"/>
          <w:snapToGrid w:val="0"/>
          <w:sz w:val="36"/>
          <w:szCs w:val="36"/>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pStyle w:val="17"/>
        <w:jc w:val="center"/>
        <w:outlineLvl w:val="0"/>
        <w:rPr>
          <w:rFonts w:ascii="黑体" w:hAnsi="黑体" w:eastAsia="黑体"/>
          <w:snapToGrid w:val="0"/>
          <w:sz w:val="30"/>
          <w:szCs w:val="30"/>
        </w:rPr>
      </w:pPr>
      <w:bookmarkStart w:id="105" w:name="_GoBack"/>
      <w:bookmarkEnd w:id="105"/>
      <w:bookmarkStart w:id="50" w:name="_Toc16168"/>
      <w:r>
        <w:rPr>
          <w:rFonts w:hint="eastAsia" w:ascii="黑体" w:hAnsi="黑体" w:eastAsia="黑体"/>
          <w:snapToGrid w:val="0"/>
          <w:sz w:val="30"/>
          <w:szCs w:val="30"/>
        </w:rPr>
        <w:t>五、主要生态环境保护措施</w:t>
      </w:r>
      <w:bookmarkEnd w:id="50"/>
    </w:p>
    <w:tbl>
      <w:tblPr>
        <w:tblStyle w:val="20"/>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4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2" w:hRule="atLeast"/>
          <w:jc w:val="center"/>
        </w:trPr>
        <w:tc>
          <w:tcPr>
            <w:tcW w:w="753" w:type="dxa"/>
            <w:noWrap w:val="0"/>
            <w:tcMar>
              <w:left w:w="28" w:type="dxa"/>
              <w:right w:w="28" w:type="dxa"/>
            </w:tcMar>
            <w:vAlign w:val="center"/>
          </w:tcPr>
          <w:p>
            <w:pPr>
              <w:adjustRightInd w:val="0"/>
              <w:snapToGrid w:val="0"/>
              <w:jc w:val="center"/>
              <w:rPr>
                <w:rFonts w:ascii="宋体" w:hAnsi="宋体"/>
                <w:bCs/>
                <w:sz w:val="24"/>
                <w:szCs w:val="24"/>
              </w:rPr>
            </w:pPr>
            <w:r>
              <w:rPr>
                <w:rFonts w:hint="eastAsia" w:ascii="宋体" w:hAnsi="宋体" w:cs="宋体"/>
                <w:bCs/>
                <w:spacing w:val="10"/>
                <w:sz w:val="24"/>
                <w:szCs w:val="24"/>
              </w:rPr>
              <w:t>施工期生态环境保护措施</w:t>
            </w:r>
          </w:p>
        </w:tc>
        <w:tc>
          <w:tcPr>
            <w:tcW w:w="8457"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1</w:t>
            </w:r>
            <w:r>
              <w:rPr>
                <w:rFonts w:hint="default" w:ascii="Times New Roman" w:hAnsi="Times New Roman" w:eastAsia="宋体" w:cs="Times New Roman"/>
                <w:spacing w:val="0"/>
                <w:w w:val="100"/>
                <w:kern w:val="0"/>
                <w:position w:val="0"/>
                <w:sz w:val="24"/>
                <w:szCs w:val="24"/>
                <w:highlight w:val="none"/>
                <w:lang w:val="en-US" w:eastAsia="zh-CN"/>
              </w:rPr>
              <w:t>、生态环境污染防治措施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w:t>
            </w:r>
            <w:r>
              <w:rPr>
                <w:rFonts w:hint="eastAsia" w:cs="Times New Roman"/>
                <w:spacing w:val="0"/>
                <w:w w:val="100"/>
                <w:kern w:val="0"/>
                <w:position w:val="0"/>
                <w:sz w:val="24"/>
                <w:szCs w:val="24"/>
                <w:highlight w:val="none"/>
                <w:lang w:val="en-US" w:eastAsia="zh-CN"/>
              </w:rPr>
              <w:t>项目</w:t>
            </w:r>
            <w:r>
              <w:rPr>
                <w:rFonts w:hint="default" w:ascii="Times New Roman" w:hAnsi="Times New Roman" w:eastAsia="宋体" w:cs="Times New Roman"/>
                <w:spacing w:val="0"/>
                <w:w w:val="100"/>
                <w:kern w:val="0"/>
                <w:position w:val="0"/>
                <w:sz w:val="24"/>
                <w:szCs w:val="24"/>
                <w:highlight w:val="none"/>
                <w:lang w:val="en-US" w:eastAsia="zh-CN"/>
              </w:rPr>
              <w:t>对环境的负面影响主要为生态环境的影响，生态环境保护的对策是避免、消减和补偿，重点在于工程施工阶段避免或减缓对生态的破坏和影响，以及施工结束后的生态恢复措施。在对生态环境的防护和恢复上，本</w:t>
            </w:r>
            <w:r>
              <w:rPr>
                <w:rFonts w:hint="eastAsia" w:cs="Times New Roman"/>
                <w:spacing w:val="0"/>
                <w:w w:val="100"/>
                <w:kern w:val="0"/>
                <w:position w:val="0"/>
                <w:sz w:val="24"/>
                <w:szCs w:val="24"/>
                <w:highlight w:val="none"/>
                <w:lang w:val="en-US" w:eastAsia="zh-CN"/>
              </w:rPr>
              <w:t>项目</w:t>
            </w:r>
            <w:r>
              <w:rPr>
                <w:rFonts w:hint="default" w:ascii="Times New Roman" w:hAnsi="Times New Roman" w:eastAsia="宋体" w:cs="Times New Roman"/>
                <w:spacing w:val="0"/>
                <w:w w:val="100"/>
                <w:kern w:val="0"/>
                <w:position w:val="0"/>
                <w:sz w:val="24"/>
                <w:szCs w:val="24"/>
                <w:highlight w:val="none"/>
                <w:lang w:val="en-US" w:eastAsia="zh-CN"/>
              </w:rPr>
              <w:t>采取以下多种措施：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w:t>
            </w:r>
            <w:r>
              <w:rPr>
                <w:rFonts w:hint="eastAsia"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）施工期生态环境保护措施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①充分重视对生态环境的保护。</w:t>
            </w:r>
            <w:r>
              <w:rPr>
                <w:rFonts w:hint="eastAsia" w:ascii="Times New Roman" w:hAnsi="Times New Roman" w:eastAsia="宋体" w:cs="Times New Roman"/>
                <w:spacing w:val="0"/>
                <w:w w:val="100"/>
                <w:kern w:val="0"/>
                <w:position w:val="0"/>
                <w:sz w:val="24"/>
                <w:szCs w:val="24"/>
                <w:highlight w:val="none"/>
                <w:lang w:val="en-US" w:eastAsia="zh-CN"/>
              </w:rPr>
              <w:t>本着“用多少、批多少、占多少、恢复多少”的原则，严格控制临时占地，</w:t>
            </w:r>
            <w:r>
              <w:rPr>
                <w:rFonts w:hint="default" w:ascii="Times New Roman" w:hAnsi="Times New Roman" w:eastAsia="宋体" w:cs="Times New Roman"/>
                <w:spacing w:val="0"/>
                <w:w w:val="100"/>
                <w:kern w:val="0"/>
                <w:position w:val="0"/>
                <w:sz w:val="24"/>
                <w:szCs w:val="24"/>
                <w:highlight w:val="none"/>
                <w:lang w:val="en-US" w:eastAsia="zh-CN"/>
              </w:rPr>
              <w:t>少建施工便道，不影响农作物的耕种。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②尽量避免雨</w:t>
            </w:r>
            <w:r>
              <w:rPr>
                <w:rFonts w:hint="eastAsia" w:ascii="Times New Roman" w:hAnsi="Times New Roman" w:eastAsia="宋体" w:cs="Times New Roman"/>
                <w:spacing w:val="0"/>
                <w:w w:val="100"/>
                <w:kern w:val="0"/>
                <w:position w:val="0"/>
                <w:sz w:val="24"/>
                <w:szCs w:val="24"/>
                <w:highlight w:val="none"/>
                <w:lang w:val="en-US" w:eastAsia="zh-CN"/>
              </w:rPr>
              <w:t>天</w:t>
            </w:r>
            <w:r>
              <w:rPr>
                <w:rFonts w:hint="default" w:ascii="Times New Roman" w:hAnsi="Times New Roman" w:eastAsia="宋体" w:cs="Times New Roman"/>
                <w:spacing w:val="0"/>
                <w:w w:val="100"/>
                <w:kern w:val="0"/>
                <w:position w:val="0"/>
                <w:sz w:val="24"/>
                <w:szCs w:val="24"/>
                <w:highlight w:val="none"/>
                <w:lang w:val="en-US" w:eastAsia="zh-CN"/>
              </w:rPr>
              <w:t>施工，这样可以避免大规模水土流失；要分段施工，每一段施工完成后要尽快回填土方，恢复植被。</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③在工程建设施工期，采取尽量少占地，少破坏植被的原则，</w:t>
            </w:r>
            <w:r>
              <w:rPr>
                <w:rFonts w:hint="eastAsia" w:ascii="Times New Roman" w:hAnsi="Times New Roman" w:eastAsia="宋体" w:cs="Times New Roman"/>
                <w:spacing w:val="0"/>
                <w:w w:val="100"/>
                <w:kern w:val="0"/>
                <w:position w:val="0"/>
                <w:sz w:val="24"/>
                <w:szCs w:val="24"/>
                <w:highlight w:val="none"/>
                <w:lang w:val="zh-CN" w:eastAsia="zh-CN"/>
              </w:rPr>
              <w:t>施工过程中避免或减少临时场地占用，控制用地范围，</w:t>
            </w:r>
            <w:r>
              <w:rPr>
                <w:rFonts w:hint="default" w:ascii="Times New Roman" w:hAnsi="Times New Roman" w:eastAsia="宋体" w:cs="Times New Roman"/>
                <w:spacing w:val="0"/>
                <w:w w:val="100"/>
                <w:kern w:val="0"/>
                <w:position w:val="0"/>
                <w:sz w:val="24"/>
                <w:szCs w:val="24"/>
                <w:highlight w:val="none"/>
                <w:lang w:val="en-US" w:eastAsia="zh-CN"/>
              </w:rPr>
              <w:t>各种施工活动应严格控制在施工区域内，并将临时占地面积控制在最低限度，以免造成土壤与植被的不必要破坏，</w:t>
            </w:r>
            <w:r>
              <w:rPr>
                <w:rFonts w:hint="eastAsia" w:ascii="Times New Roman" w:hAnsi="Times New Roman" w:eastAsia="宋体" w:cs="Times New Roman"/>
                <w:spacing w:val="0"/>
                <w:w w:val="100"/>
                <w:kern w:val="0"/>
                <w:position w:val="0"/>
                <w:sz w:val="24"/>
                <w:szCs w:val="24"/>
                <w:highlight w:val="none"/>
                <w:lang w:val="zh-CN" w:eastAsia="zh-CN"/>
              </w:rPr>
              <w:t>注意保护相邻植被，</w:t>
            </w:r>
            <w:r>
              <w:rPr>
                <w:rFonts w:hint="default" w:ascii="Times New Roman" w:hAnsi="Times New Roman" w:eastAsia="宋体" w:cs="Times New Roman"/>
                <w:spacing w:val="0"/>
                <w:w w:val="100"/>
                <w:kern w:val="0"/>
                <w:position w:val="0"/>
                <w:sz w:val="24"/>
                <w:szCs w:val="24"/>
                <w:highlight w:val="none"/>
                <w:lang w:val="en-US" w:eastAsia="zh-CN"/>
              </w:rPr>
              <w:t>将工程建设对现有植被和土壤的影响控制在最低限度。对于施工过程中破坏的植被，要制定补偿措施，进行补偿。对于临时占地</w:t>
            </w:r>
            <w:r>
              <w:rPr>
                <w:rFonts w:hint="eastAsia" w:ascii="Times New Roman" w:hAnsi="Times New Roman" w:eastAsia="宋体" w:cs="Times New Roman"/>
                <w:spacing w:val="0"/>
                <w:w w:val="100"/>
                <w:kern w:val="0"/>
                <w:position w:val="0"/>
                <w:sz w:val="24"/>
                <w:szCs w:val="24"/>
                <w:highlight w:val="none"/>
                <w:lang w:val="en-US" w:eastAsia="zh-CN"/>
              </w:rPr>
              <w:t>，施工前进行土壤剥离</w:t>
            </w:r>
            <w:r>
              <w:rPr>
                <w:rFonts w:hint="default" w:ascii="Times New Roman" w:hAnsi="Times New Roman" w:eastAsia="宋体" w:cs="Times New Roman"/>
                <w:spacing w:val="0"/>
                <w:w w:val="100"/>
                <w:kern w:val="0"/>
                <w:position w:val="0"/>
                <w:sz w:val="24"/>
                <w:szCs w:val="24"/>
                <w:highlight w:val="none"/>
                <w:lang w:val="en-US" w:eastAsia="zh-CN"/>
              </w:rPr>
              <w:t>，竣工后要进行土地复垦和植被重建工作。工程施工时采取分层开挖、分层堆放、分层回填的方式。</w:t>
            </w:r>
            <w:r>
              <w:rPr>
                <w:rFonts w:hint="eastAsia" w:ascii="Times New Roman" w:hAnsi="Times New Roman" w:eastAsia="宋体" w:cs="Times New Roman"/>
                <w:spacing w:val="0"/>
                <w:w w:val="100"/>
                <w:kern w:val="0"/>
                <w:position w:val="0"/>
                <w:sz w:val="24"/>
                <w:szCs w:val="24"/>
                <w:highlight w:val="none"/>
                <w:lang w:val="zh-CN" w:eastAsia="zh-CN"/>
              </w:rPr>
              <w:t>表土和挖方土分层堆放及回填，堆土场采取草袋土拦挡和</w:t>
            </w:r>
            <w:r>
              <w:rPr>
                <w:rFonts w:hint="eastAsia" w:ascii="Times New Roman" w:hAnsi="Times New Roman" w:eastAsia="宋体" w:cs="Times New Roman"/>
                <w:spacing w:val="0"/>
                <w:w w:val="100"/>
                <w:kern w:val="0"/>
                <w:position w:val="0"/>
                <w:sz w:val="24"/>
                <w:szCs w:val="24"/>
                <w:highlight w:val="none"/>
                <w:lang w:val="en-US" w:eastAsia="zh-CN"/>
              </w:rPr>
              <w:t>土工布</w:t>
            </w:r>
            <w:r>
              <w:rPr>
                <w:rFonts w:hint="default" w:ascii="Times New Roman" w:hAnsi="Times New Roman" w:eastAsia="宋体" w:cs="Times New Roman"/>
                <w:spacing w:val="0"/>
                <w:w w:val="100"/>
                <w:kern w:val="0"/>
                <w:position w:val="0"/>
                <w:sz w:val="24"/>
                <w:szCs w:val="24"/>
                <w:highlight w:val="none"/>
                <w:lang w:val="en-US" w:eastAsia="zh-CN"/>
              </w:rPr>
              <w:t>苫盖</w:t>
            </w:r>
            <w:r>
              <w:rPr>
                <w:rFonts w:hint="eastAsia" w:ascii="Times New Roman" w:hAnsi="Times New Roman" w:eastAsia="宋体" w:cs="Times New Roman"/>
                <w:spacing w:val="0"/>
                <w:w w:val="100"/>
                <w:kern w:val="0"/>
                <w:position w:val="0"/>
                <w:sz w:val="24"/>
                <w:szCs w:val="24"/>
                <w:highlight w:val="none"/>
                <w:lang w:val="zh-CN" w:eastAsia="zh-CN"/>
              </w:rPr>
              <w:t>，设置截水沟，</w:t>
            </w:r>
            <w:r>
              <w:rPr>
                <w:rFonts w:hint="default" w:ascii="Times New Roman" w:hAnsi="Times New Roman" w:eastAsia="宋体" w:cs="Times New Roman"/>
                <w:spacing w:val="0"/>
                <w:w w:val="100"/>
                <w:kern w:val="0"/>
                <w:position w:val="0"/>
                <w:sz w:val="24"/>
                <w:szCs w:val="24"/>
                <w:highlight w:val="none"/>
                <w:lang w:val="en-US" w:eastAsia="zh-CN"/>
              </w:rPr>
              <w:t>施工后对沿线进行平整，将表土覆盖在原地表，</w:t>
            </w:r>
            <w:r>
              <w:rPr>
                <w:rFonts w:hint="eastAsia" w:ascii="Times New Roman" w:hAnsi="Times New Roman" w:eastAsia="宋体" w:cs="Times New Roman"/>
                <w:spacing w:val="0"/>
                <w:w w:val="100"/>
                <w:kern w:val="0"/>
                <w:position w:val="0"/>
                <w:sz w:val="24"/>
                <w:szCs w:val="24"/>
                <w:highlight w:val="none"/>
                <w:lang w:val="zh-CN" w:eastAsia="zh-CN"/>
              </w:rPr>
              <w:t>及时恢复临时占地及绿化，</w:t>
            </w:r>
            <w:r>
              <w:rPr>
                <w:rFonts w:hint="default" w:ascii="Times New Roman" w:hAnsi="Times New Roman" w:eastAsia="宋体" w:cs="Times New Roman"/>
                <w:spacing w:val="0"/>
                <w:w w:val="100"/>
                <w:kern w:val="0"/>
                <w:position w:val="0"/>
                <w:sz w:val="24"/>
                <w:szCs w:val="24"/>
                <w:highlight w:val="none"/>
                <w:lang w:val="en-US" w:eastAsia="zh-CN"/>
              </w:rPr>
              <w:t>以恢复植被</w:t>
            </w:r>
            <w:r>
              <w:rPr>
                <w:rFonts w:hint="eastAsia"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zh-CN" w:eastAsia="zh-CN"/>
              </w:rPr>
              <w:t>减少对生态环境的破坏</w:t>
            </w:r>
            <w:r>
              <w:rPr>
                <w:rFonts w:hint="default" w:ascii="Times New Roman" w:hAnsi="Times New Roman" w:eastAsia="宋体" w:cs="Times New Roman"/>
                <w:spacing w:val="0"/>
                <w:w w:val="100"/>
                <w:kern w:val="0"/>
                <w:position w:val="0"/>
                <w:sz w:val="24"/>
                <w:szCs w:val="24"/>
                <w:highlight w:val="none"/>
                <w:lang w:val="en-US" w:eastAsia="zh-CN"/>
              </w:rPr>
              <w:t>。通过加大对作业带有机肥料的投入，增加土壤有机质含量，恢复土壤团粒结构，减轻对土壤的压实效应。施过程中需要临时堆置的土方表面用</w:t>
            </w:r>
            <w:r>
              <w:rPr>
                <w:rFonts w:hint="eastAsia" w:ascii="Times New Roman" w:hAnsi="Times New Roman" w:eastAsia="宋体" w:cs="Times New Roman"/>
                <w:spacing w:val="0"/>
                <w:w w:val="100"/>
                <w:kern w:val="0"/>
                <w:position w:val="0"/>
                <w:sz w:val="24"/>
                <w:szCs w:val="24"/>
                <w:highlight w:val="none"/>
                <w:lang w:val="en-US" w:eastAsia="zh-CN"/>
              </w:rPr>
              <w:t>土工布</w:t>
            </w:r>
            <w:r>
              <w:rPr>
                <w:rFonts w:hint="default" w:ascii="Times New Roman" w:hAnsi="Times New Roman" w:eastAsia="宋体" w:cs="Times New Roman"/>
                <w:spacing w:val="0"/>
                <w:w w:val="100"/>
                <w:kern w:val="0"/>
                <w:position w:val="0"/>
                <w:sz w:val="24"/>
                <w:szCs w:val="24"/>
                <w:highlight w:val="none"/>
                <w:lang w:val="en-US" w:eastAsia="zh-CN"/>
              </w:rPr>
              <w:t>苫盖，坡脚采用草袋土埂压盖。</w:t>
            </w:r>
            <w:r>
              <w:rPr>
                <w:rFonts w:hint="eastAsia" w:ascii="Times New Roman" w:hAnsi="Times New Roman" w:eastAsia="宋体" w:cs="Times New Roman"/>
                <w:spacing w:val="0"/>
                <w:w w:val="100"/>
                <w:kern w:val="0"/>
                <w:position w:val="0"/>
                <w:sz w:val="24"/>
                <w:szCs w:val="24"/>
                <w:highlight w:val="none"/>
                <w:lang w:val="en-US" w:eastAsia="zh-CN"/>
              </w:rPr>
              <w:t>输电</w:t>
            </w:r>
            <w:r>
              <w:rPr>
                <w:rFonts w:hint="default" w:ascii="Times New Roman" w:hAnsi="Times New Roman" w:eastAsia="宋体" w:cs="Times New Roman"/>
                <w:spacing w:val="0"/>
                <w:w w:val="100"/>
                <w:kern w:val="0"/>
                <w:position w:val="0"/>
                <w:sz w:val="24"/>
                <w:szCs w:val="24"/>
                <w:highlight w:val="none"/>
                <w:lang w:val="zh-CN" w:eastAsia="zh-CN"/>
              </w:rPr>
              <w:t>线路临时占地</w:t>
            </w:r>
            <w:r>
              <w:rPr>
                <w:rFonts w:hint="eastAsia" w:cs="Times New Roman"/>
                <w:spacing w:val="0"/>
                <w:w w:val="100"/>
                <w:kern w:val="0"/>
                <w:position w:val="0"/>
                <w:sz w:val="24"/>
                <w:szCs w:val="24"/>
                <w:highlight w:val="none"/>
                <w:lang w:val="en-US" w:eastAsia="zh-CN"/>
              </w:rPr>
              <w:t>类型</w:t>
            </w:r>
            <w:r>
              <w:rPr>
                <w:rFonts w:hint="default" w:ascii="Times New Roman" w:hAnsi="Times New Roman" w:eastAsia="宋体" w:cs="Times New Roman"/>
                <w:spacing w:val="0"/>
                <w:w w:val="100"/>
                <w:kern w:val="0"/>
                <w:position w:val="0"/>
                <w:sz w:val="24"/>
                <w:szCs w:val="24"/>
                <w:highlight w:val="none"/>
                <w:lang w:val="zh-CN" w:eastAsia="zh-CN"/>
              </w:rPr>
              <w:t>为</w:t>
            </w:r>
            <w:r>
              <w:rPr>
                <w:rFonts w:hint="eastAsia" w:cs="Times New Roman"/>
                <w:spacing w:val="0"/>
                <w:w w:val="100"/>
                <w:kern w:val="0"/>
                <w:position w:val="0"/>
                <w:sz w:val="24"/>
                <w:szCs w:val="24"/>
                <w:highlight w:val="none"/>
                <w:lang w:val="en-US" w:eastAsia="zh-CN"/>
              </w:rPr>
              <w:t>耕地</w:t>
            </w:r>
            <w:r>
              <w:rPr>
                <w:rFonts w:hint="default" w:ascii="Times New Roman" w:hAnsi="Times New Roman" w:eastAsia="宋体" w:cs="Times New Roman"/>
                <w:spacing w:val="0"/>
                <w:w w:val="100"/>
                <w:kern w:val="0"/>
                <w:position w:val="0"/>
                <w:sz w:val="24"/>
                <w:szCs w:val="24"/>
                <w:highlight w:val="none"/>
                <w:lang w:val="zh-CN" w:eastAsia="zh-CN"/>
              </w:rPr>
              <w:t>，施工后对临时施工</w:t>
            </w:r>
            <w:r>
              <w:rPr>
                <w:rFonts w:hint="eastAsia" w:ascii="Times New Roman" w:hAnsi="Times New Roman" w:eastAsia="宋体" w:cs="Times New Roman"/>
                <w:spacing w:val="0"/>
                <w:w w:val="100"/>
                <w:kern w:val="0"/>
                <w:position w:val="0"/>
                <w:sz w:val="24"/>
                <w:szCs w:val="24"/>
                <w:highlight w:val="none"/>
                <w:lang w:val="en-US" w:eastAsia="zh-CN"/>
              </w:rPr>
              <w:t>道路</w:t>
            </w:r>
            <w:r>
              <w:rPr>
                <w:rFonts w:hint="default" w:ascii="Times New Roman" w:hAnsi="Times New Roman" w:eastAsia="宋体" w:cs="Times New Roman"/>
                <w:spacing w:val="0"/>
                <w:w w:val="100"/>
                <w:kern w:val="0"/>
                <w:position w:val="0"/>
                <w:sz w:val="24"/>
                <w:szCs w:val="24"/>
                <w:highlight w:val="none"/>
                <w:lang w:val="zh-CN" w:eastAsia="zh-CN"/>
              </w:rPr>
              <w:t>进行恢复，使其恢复原有水平与生态功能。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④要规范施工，严格管理，严格控制施工范围</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在施工前应制定出土石方处置方案，应限制临时堆放占地面积和远距离转移，用于就近修建附近道路。</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⑤工程开挖出的耕作土和非耕作土分别堆放在作业带的两侧，对开挖的耕作土采用土工袋装填进行拦挡，并修筑临时性的排水沟排水。无论是挖方还是填方施工，应做好施工排水，先做好排水沟，施工时采取修建挡土墙、排水沟、覆盖</w:t>
            </w:r>
            <w:r>
              <w:rPr>
                <w:rFonts w:hint="eastAsia" w:ascii="Times New Roman" w:hAnsi="Times New Roman" w:eastAsia="宋体" w:cs="Times New Roman"/>
                <w:spacing w:val="0"/>
                <w:w w:val="100"/>
                <w:kern w:val="0"/>
                <w:position w:val="0"/>
                <w:sz w:val="24"/>
                <w:szCs w:val="24"/>
                <w:highlight w:val="none"/>
                <w:lang w:val="en-US" w:eastAsia="zh-CN"/>
              </w:rPr>
              <w:t>土工布</w:t>
            </w:r>
            <w:r>
              <w:rPr>
                <w:rFonts w:hint="default" w:ascii="Times New Roman" w:hAnsi="Times New Roman" w:eastAsia="宋体" w:cs="Times New Roman"/>
                <w:spacing w:val="0"/>
                <w:w w:val="100"/>
                <w:kern w:val="0"/>
                <w:position w:val="0"/>
                <w:sz w:val="24"/>
                <w:szCs w:val="24"/>
                <w:highlight w:val="none"/>
                <w:lang w:val="en-US" w:eastAsia="zh-CN"/>
              </w:rPr>
              <w:t>等措施，并对施工期间开挖的土方及时回填，可有效防止水土流失。</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⑥施工期施工区域临时砂石堆放场需做好水土保持措施，采取草袋土拦挡和土工布苫盖，设置截水沟，防止水土流失。</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⑦</w:t>
            </w:r>
            <w:r>
              <w:rPr>
                <w:rFonts w:hint="default" w:ascii="Times New Roman" w:hAnsi="Times New Roman" w:eastAsia="宋体" w:cs="Times New Roman"/>
                <w:spacing w:val="0"/>
                <w:w w:val="100"/>
                <w:kern w:val="0"/>
                <w:position w:val="0"/>
                <w:sz w:val="24"/>
                <w:szCs w:val="24"/>
                <w:highlight w:val="none"/>
                <w:lang w:val="en-US" w:eastAsia="zh-CN"/>
              </w:rPr>
              <w:t>施工后对临时施工</w:t>
            </w:r>
            <w:r>
              <w:rPr>
                <w:rFonts w:hint="eastAsia" w:ascii="Times New Roman" w:hAnsi="Times New Roman" w:eastAsia="宋体" w:cs="Times New Roman"/>
                <w:spacing w:val="0"/>
                <w:w w:val="100"/>
                <w:kern w:val="0"/>
                <w:position w:val="0"/>
                <w:sz w:val="24"/>
                <w:szCs w:val="24"/>
                <w:highlight w:val="none"/>
                <w:lang w:val="en-US" w:eastAsia="zh-CN"/>
              </w:rPr>
              <w:t>道路</w:t>
            </w:r>
            <w:r>
              <w:rPr>
                <w:rFonts w:hint="default" w:ascii="Times New Roman" w:hAnsi="Times New Roman" w:eastAsia="宋体" w:cs="Times New Roman"/>
                <w:spacing w:val="0"/>
                <w:w w:val="100"/>
                <w:kern w:val="0"/>
                <w:position w:val="0"/>
                <w:sz w:val="24"/>
                <w:szCs w:val="24"/>
                <w:highlight w:val="none"/>
                <w:lang w:val="en-US" w:eastAsia="zh-CN"/>
              </w:rPr>
              <w:t>进行恢复，使其恢复原有水平与生态功能。项目区域内不涉及珍稀濒危及重点保护植物。因此本项目的建设对地表植被产生的影响较小。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⑧</w:t>
            </w:r>
            <w:r>
              <w:rPr>
                <w:rFonts w:hint="default" w:ascii="Times New Roman" w:hAnsi="Times New Roman" w:eastAsia="宋体" w:cs="Times New Roman"/>
                <w:spacing w:val="0"/>
                <w:w w:val="100"/>
                <w:kern w:val="0"/>
                <w:position w:val="0"/>
                <w:sz w:val="24"/>
                <w:szCs w:val="24"/>
                <w:highlight w:val="none"/>
                <w:lang w:val="en-US" w:eastAsia="zh-CN"/>
              </w:rPr>
              <w:t>施工单位通过文明施工，合理安排施工进度，缩短施工周期。施工结束后随着开挖土壤的分层回填，按原状恢复。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临时占地</w:t>
            </w:r>
            <w:r>
              <w:rPr>
                <w:rFonts w:hint="default" w:ascii="Times New Roman" w:hAnsi="Times New Roman" w:eastAsia="宋体" w:cs="Times New Roman"/>
                <w:spacing w:val="0"/>
                <w:w w:val="100"/>
                <w:kern w:val="0"/>
                <w:position w:val="0"/>
                <w:sz w:val="24"/>
                <w:szCs w:val="24"/>
                <w:highlight w:val="none"/>
                <w:lang w:val="en-US" w:eastAsia="zh-CN"/>
              </w:rPr>
              <w:t>恢复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施工完毕后应对项目所占临时占地（施工作业带及临时施工场地）进行迹地恢复，</w:t>
            </w:r>
            <w:r>
              <w:rPr>
                <w:rFonts w:hint="eastAsia" w:cs="Times New Roman"/>
                <w:spacing w:val="0"/>
                <w:w w:val="100"/>
                <w:kern w:val="0"/>
                <w:position w:val="0"/>
                <w:sz w:val="24"/>
                <w:szCs w:val="24"/>
                <w:highlight w:val="none"/>
                <w:lang w:val="en-US" w:eastAsia="zh-CN"/>
              </w:rPr>
              <w:t>临时占地面积共</w:t>
            </w:r>
            <w:r>
              <w:rPr>
                <w:rFonts w:hint="eastAsia" w:ascii="Times New Roman" w:hAnsi="Times New Roman" w:eastAsia="宋体" w:cs="Times New Roman"/>
                <w:color w:val="000000"/>
                <w:sz w:val="24"/>
                <w:szCs w:val="24"/>
                <w:highlight w:val="none"/>
                <w:lang w:val="en-US" w:eastAsia="zh-CN"/>
              </w:rPr>
              <w:t>249635.4</w:t>
            </w:r>
            <w:r>
              <w:rPr>
                <w:rFonts w:hint="eastAsia" w:cs="Times New Roman"/>
                <w:color w:val="000000"/>
                <w:sz w:val="24"/>
                <w:szCs w:val="24"/>
                <w:highlight w:val="none"/>
                <w:lang w:val="en-US" w:eastAsia="zh-CN"/>
              </w:rPr>
              <w:t>7</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2</w:t>
            </w:r>
            <w:r>
              <w:rPr>
                <w:rFonts w:hint="eastAsia" w:cs="Times New Roman"/>
                <w:sz w:val="24"/>
                <w:szCs w:val="24"/>
                <w:vertAlign w:val="baseline"/>
                <w:lang w:eastAsia="zh-CN"/>
              </w:rPr>
              <w:t>。</w:t>
            </w:r>
            <w:r>
              <w:rPr>
                <w:rFonts w:hint="default" w:ascii="Times New Roman" w:hAnsi="Times New Roman" w:eastAsia="宋体" w:cs="Times New Roman"/>
                <w:spacing w:val="0"/>
                <w:w w:val="100"/>
                <w:kern w:val="0"/>
                <w:position w:val="0"/>
                <w:sz w:val="24"/>
                <w:szCs w:val="24"/>
                <w:highlight w:val="none"/>
                <w:lang w:val="en-US" w:eastAsia="zh-CN"/>
              </w:rPr>
              <w:t>采取相应的土地平整等措施，原有的土地使用功能可以得到恢复。迹地恢复中，应恢复原有地表的平整度。</w:t>
            </w:r>
            <w:r>
              <w:rPr>
                <w:rFonts w:hint="eastAsia" w:ascii="Times New Roman" w:hAnsi="Times New Roman" w:eastAsia="宋体" w:cs="Times New Roman"/>
                <w:spacing w:val="0"/>
                <w:w w:val="100"/>
                <w:kern w:val="0"/>
                <w:position w:val="0"/>
                <w:sz w:val="24"/>
                <w:szCs w:val="24"/>
                <w:highlight w:val="none"/>
                <w:lang w:val="en-US" w:eastAsia="zh-CN"/>
              </w:rPr>
              <w:t>土壤</w:t>
            </w:r>
            <w:r>
              <w:rPr>
                <w:rFonts w:hint="default" w:ascii="Times New Roman" w:hAnsi="Times New Roman" w:eastAsia="宋体" w:cs="Times New Roman"/>
                <w:spacing w:val="0"/>
                <w:w w:val="100"/>
                <w:kern w:val="0"/>
                <w:position w:val="0"/>
                <w:sz w:val="24"/>
                <w:szCs w:val="24"/>
                <w:highlight w:val="none"/>
                <w:lang w:val="en-US" w:eastAsia="zh-CN"/>
              </w:rPr>
              <w:t>分层回填，</w:t>
            </w:r>
            <w:r>
              <w:rPr>
                <w:rFonts w:hint="eastAsia" w:ascii="Times New Roman" w:hAnsi="Times New Roman" w:eastAsia="宋体" w:cs="Times New Roman"/>
                <w:spacing w:val="0"/>
                <w:w w:val="100"/>
                <w:kern w:val="0"/>
                <w:position w:val="0"/>
                <w:sz w:val="24"/>
                <w:szCs w:val="24"/>
                <w:highlight w:val="none"/>
                <w:lang w:val="en-US" w:eastAsia="zh-CN"/>
              </w:rPr>
              <w:t>耕地表土进行回覆，</w:t>
            </w:r>
            <w:r>
              <w:rPr>
                <w:rFonts w:hint="default" w:ascii="Times New Roman" w:hAnsi="Times New Roman" w:eastAsia="宋体" w:cs="Times New Roman"/>
                <w:spacing w:val="0"/>
                <w:w w:val="100"/>
                <w:kern w:val="0"/>
                <w:position w:val="0"/>
                <w:sz w:val="24"/>
                <w:szCs w:val="24"/>
                <w:highlight w:val="none"/>
                <w:lang w:val="en-US" w:eastAsia="zh-CN"/>
              </w:rPr>
              <w:t>做好土壤</w:t>
            </w:r>
            <w:r>
              <w:rPr>
                <w:rFonts w:hint="eastAsia" w:ascii="Times New Roman" w:hAnsi="Times New Roman" w:eastAsia="宋体" w:cs="Times New Roman"/>
                <w:spacing w:val="0"/>
                <w:w w:val="100"/>
                <w:kern w:val="0"/>
                <w:position w:val="0"/>
                <w:sz w:val="24"/>
                <w:szCs w:val="24"/>
                <w:highlight w:val="none"/>
                <w:lang w:val="en-US" w:eastAsia="zh-CN"/>
              </w:rPr>
              <w:t>复耕</w:t>
            </w:r>
            <w:r>
              <w:rPr>
                <w:rFonts w:hint="default" w:ascii="Times New Roman" w:hAnsi="Times New Roman" w:eastAsia="宋体" w:cs="Times New Roman"/>
                <w:spacing w:val="0"/>
                <w:w w:val="100"/>
                <w:kern w:val="0"/>
                <w:position w:val="0"/>
                <w:sz w:val="24"/>
                <w:szCs w:val="24"/>
                <w:highlight w:val="none"/>
                <w:lang w:val="en-US" w:eastAsia="zh-CN"/>
              </w:rPr>
              <w:t>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）水土保持措施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为防止工程土地平整、开挖等施工活动对周边造成扰动破坏，施工期间要加强管理，明确征地界限，各种施工活动严格控制在征地范围内进行，避免人为增加扰动面积。</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按照《生产建设项目水土保持技术标准》（GB 50433-2018）要求，在分析评价主体工程中具有水土保持功能措施的基础上，确定水土保持措施的总体布局。在总体布局上本着工程措施与植物措施相结合，永久措施与临时措施相结合，点、线、面相结合的原则，形成布局合理的水土保持综合防治体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（4）</w:t>
            </w:r>
            <w:r>
              <w:rPr>
                <w:rFonts w:hint="default" w:ascii="Times New Roman" w:hAnsi="Times New Roman" w:eastAsia="宋体" w:cs="Times New Roman"/>
                <w:spacing w:val="0"/>
                <w:w w:val="100"/>
                <w:kern w:val="0"/>
                <w:position w:val="0"/>
                <w:sz w:val="24"/>
                <w:szCs w:val="24"/>
                <w:highlight w:val="none"/>
                <w:lang w:val="en-US" w:eastAsia="zh-CN"/>
              </w:rPr>
              <w:t>水土保持防治措施：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①</w:t>
            </w:r>
            <w:r>
              <w:rPr>
                <w:rFonts w:hint="default" w:ascii="Times New Roman" w:hAnsi="Times New Roman" w:eastAsia="宋体" w:cs="Times New Roman"/>
                <w:spacing w:val="0"/>
                <w:w w:val="100"/>
                <w:kern w:val="0"/>
                <w:position w:val="0"/>
                <w:sz w:val="24"/>
                <w:szCs w:val="24"/>
                <w:highlight w:val="none"/>
                <w:lang w:val="en-US" w:eastAsia="zh-CN"/>
              </w:rPr>
              <w:t>在施工过程中要合理安排施工进度，施工要避开雨季和大风天，分段施工，采用挡土墙和排水措施进行防护，尽量不留疏松地面，减少风蚀导致的水土流失。</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②</w:t>
            </w:r>
            <w:r>
              <w:rPr>
                <w:rFonts w:hint="default" w:ascii="Times New Roman" w:hAnsi="Times New Roman" w:eastAsia="宋体" w:cs="Times New Roman"/>
                <w:spacing w:val="0"/>
                <w:w w:val="100"/>
                <w:kern w:val="0"/>
                <w:position w:val="0"/>
                <w:sz w:val="24"/>
                <w:szCs w:val="24"/>
                <w:highlight w:val="none"/>
                <w:lang w:val="en-US" w:eastAsia="zh-CN"/>
              </w:rPr>
              <w:t>划定施工作业范围和路线，不得随意扩大，按规定操作。严格控制和管理运输车辆及重型机械施工作业范围，尽可能减少对土壤和农作物的破坏以及由此引发的水土流失。</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③</w:t>
            </w:r>
            <w:r>
              <w:rPr>
                <w:rFonts w:hint="default" w:ascii="Times New Roman" w:hAnsi="Times New Roman" w:eastAsia="宋体" w:cs="Times New Roman"/>
                <w:spacing w:val="0"/>
                <w:w w:val="100"/>
                <w:kern w:val="0"/>
                <w:position w:val="0"/>
                <w:sz w:val="24"/>
                <w:szCs w:val="24"/>
                <w:highlight w:val="none"/>
                <w:lang w:val="en-US" w:eastAsia="zh-CN"/>
              </w:rPr>
              <w:t>禁止向江河、水库和专门堆放地以外的沟渠倾倒</w:t>
            </w:r>
            <w:r>
              <w:rPr>
                <w:rFonts w:hint="eastAsia" w:ascii="Times New Roman" w:hAnsi="Times New Roman" w:eastAsia="宋体" w:cs="Times New Roman"/>
                <w:spacing w:val="0"/>
                <w:w w:val="100"/>
                <w:kern w:val="0"/>
                <w:position w:val="0"/>
                <w:sz w:val="24"/>
                <w:szCs w:val="24"/>
                <w:highlight w:val="none"/>
                <w:lang w:val="en-US" w:eastAsia="zh-CN"/>
              </w:rPr>
              <w:t>砂石。</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④</w:t>
            </w:r>
            <w:r>
              <w:rPr>
                <w:rFonts w:hint="default" w:ascii="Times New Roman" w:hAnsi="Times New Roman" w:eastAsia="宋体" w:cs="Times New Roman"/>
                <w:spacing w:val="0"/>
                <w:w w:val="100"/>
                <w:kern w:val="0"/>
                <w:position w:val="0"/>
                <w:sz w:val="24"/>
                <w:szCs w:val="24"/>
                <w:highlight w:val="none"/>
                <w:lang w:val="en-US" w:eastAsia="zh-CN"/>
              </w:rPr>
              <w:t>工程施工时注意合理分配施工时段，避开降雨集中时段，开挖的土方、开挖裸露面做好防治措施，尽量缩短暴露时间，做好堆土拦挡，开挖土方临时堆存场所底部采用布袋挡墙，</w:t>
            </w:r>
            <w:r>
              <w:rPr>
                <w:rFonts w:hint="eastAsia" w:ascii="Times New Roman" w:hAnsi="Times New Roman" w:eastAsia="宋体" w:cs="Times New Roman"/>
                <w:spacing w:val="0"/>
                <w:w w:val="100"/>
                <w:kern w:val="0"/>
                <w:position w:val="0"/>
                <w:sz w:val="24"/>
                <w:szCs w:val="24"/>
                <w:highlight w:val="none"/>
                <w:lang w:val="en-US" w:eastAsia="zh-CN"/>
              </w:rPr>
              <w:t>设置排水沟，</w:t>
            </w:r>
            <w:r>
              <w:rPr>
                <w:rFonts w:hint="default" w:ascii="Times New Roman" w:hAnsi="Times New Roman" w:eastAsia="宋体" w:cs="Times New Roman"/>
                <w:spacing w:val="0"/>
                <w:w w:val="100"/>
                <w:kern w:val="0"/>
                <w:position w:val="0"/>
                <w:sz w:val="24"/>
                <w:szCs w:val="24"/>
                <w:highlight w:val="none"/>
                <w:lang w:val="en-US" w:eastAsia="zh-CN"/>
              </w:rPr>
              <w:t>堆土表面用</w:t>
            </w:r>
            <w:r>
              <w:rPr>
                <w:rFonts w:hint="eastAsia" w:ascii="Times New Roman" w:hAnsi="Times New Roman" w:eastAsia="宋体" w:cs="Times New Roman"/>
                <w:spacing w:val="0"/>
                <w:w w:val="100"/>
                <w:kern w:val="0"/>
                <w:position w:val="0"/>
                <w:sz w:val="24"/>
                <w:szCs w:val="24"/>
                <w:highlight w:val="none"/>
                <w:lang w:val="en-US" w:eastAsia="zh-CN"/>
              </w:rPr>
              <w:t>土工布</w:t>
            </w:r>
            <w:r>
              <w:rPr>
                <w:rFonts w:hint="default" w:ascii="Times New Roman" w:hAnsi="Times New Roman" w:eastAsia="宋体" w:cs="Times New Roman"/>
                <w:spacing w:val="0"/>
                <w:w w:val="100"/>
                <w:kern w:val="0"/>
                <w:position w:val="0"/>
                <w:sz w:val="24"/>
                <w:szCs w:val="24"/>
                <w:highlight w:val="none"/>
                <w:lang w:val="en-US" w:eastAsia="zh-CN"/>
              </w:rPr>
              <w:t>覆盖，能有效减缓水土流失，工程完成后及时覆土夯实，回填表土，撒播草种，完成迹地恢复。整体来说，在施工过程中做好相应的水土保持措施后，整个施工过程不会加剧区域水土流失</w:t>
            </w:r>
            <w:r>
              <w:rPr>
                <w:rFonts w:hint="eastAsia" w:ascii="Times New Roman" w:hAnsi="Times New Roman" w:eastAsia="宋体" w:cs="Times New Roman"/>
                <w:spacing w:val="0"/>
                <w:w w:val="100"/>
                <w:kern w:val="0"/>
                <w:position w:val="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⑤</w:t>
            </w:r>
            <w:r>
              <w:rPr>
                <w:rFonts w:hint="default" w:ascii="Times New Roman" w:hAnsi="Times New Roman" w:eastAsia="宋体" w:cs="Times New Roman"/>
                <w:spacing w:val="0"/>
                <w:w w:val="100"/>
                <w:kern w:val="0"/>
                <w:position w:val="0"/>
                <w:sz w:val="24"/>
                <w:szCs w:val="24"/>
                <w:highlight w:val="none"/>
                <w:lang w:val="en-US" w:eastAsia="zh-CN"/>
              </w:rPr>
              <w:t>施工期施工区域临时</w:t>
            </w:r>
            <w:r>
              <w:rPr>
                <w:rFonts w:hint="eastAsia" w:cs="Times New Roman"/>
                <w:spacing w:val="0"/>
                <w:w w:val="100"/>
                <w:kern w:val="0"/>
                <w:position w:val="0"/>
                <w:sz w:val="24"/>
                <w:szCs w:val="24"/>
                <w:highlight w:val="none"/>
                <w:lang w:val="en-US" w:eastAsia="zh-CN"/>
              </w:rPr>
              <w:t>堆土区</w:t>
            </w:r>
            <w:r>
              <w:rPr>
                <w:rFonts w:hint="default" w:ascii="Times New Roman" w:hAnsi="Times New Roman" w:eastAsia="宋体" w:cs="Times New Roman"/>
                <w:spacing w:val="0"/>
                <w:w w:val="100"/>
                <w:kern w:val="0"/>
                <w:position w:val="0"/>
                <w:sz w:val="24"/>
                <w:szCs w:val="24"/>
                <w:highlight w:val="none"/>
                <w:lang w:val="en-US" w:eastAsia="zh-CN"/>
              </w:rPr>
              <w:t>需做好水土保持措施，采取草袋土拦挡和</w:t>
            </w:r>
            <w:r>
              <w:rPr>
                <w:rFonts w:hint="eastAsia" w:ascii="Times New Roman" w:hAnsi="Times New Roman" w:eastAsia="宋体" w:cs="Times New Roman"/>
                <w:spacing w:val="0"/>
                <w:w w:val="100"/>
                <w:kern w:val="0"/>
                <w:position w:val="0"/>
                <w:sz w:val="24"/>
                <w:szCs w:val="24"/>
                <w:highlight w:val="none"/>
                <w:lang w:val="en-US" w:eastAsia="zh-CN"/>
              </w:rPr>
              <w:t>土工布</w:t>
            </w:r>
            <w:r>
              <w:rPr>
                <w:rFonts w:hint="default" w:ascii="Times New Roman" w:hAnsi="Times New Roman" w:eastAsia="宋体" w:cs="Times New Roman"/>
                <w:spacing w:val="0"/>
                <w:w w:val="100"/>
                <w:kern w:val="0"/>
                <w:position w:val="0"/>
                <w:sz w:val="24"/>
                <w:szCs w:val="24"/>
                <w:highlight w:val="none"/>
                <w:lang w:val="en-US" w:eastAsia="zh-CN"/>
              </w:rPr>
              <w:t>苫盖，设置截水沟，防止水土流失。</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⑥</w:t>
            </w:r>
            <w:r>
              <w:rPr>
                <w:rFonts w:hint="default" w:ascii="Times New Roman" w:hAnsi="Times New Roman" w:eastAsia="宋体" w:cs="Times New Roman"/>
                <w:spacing w:val="0"/>
                <w:w w:val="100"/>
                <w:kern w:val="0"/>
                <w:position w:val="0"/>
                <w:sz w:val="24"/>
                <w:szCs w:val="24"/>
                <w:highlight w:val="none"/>
                <w:lang w:val="en-US" w:eastAsia="zh-CN"/>
              </w:rPr>
              <w:t>在施工中破坏植被的地段，施工结束后，必须及时进行植被恢复工作。开挖面和砂、石、土存放地的裸露土地，及时植树种草，树种应尽可能以本地树种为主，农田及时复耕，防止水土流失。</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⑦变电站</w:t>
            </w:r>
            <w:r>
              <w:rPr>
                <w:rFonts w:hint="default" w:ascii="Times New Roman" w:hAnsi="Times New Roman" w:eastAsia="宋体" w:cs="Times New Roman"/>
                <w:spacing w:val="0"/>
                <w:w w:val="100"/>
                <w:kern w:val="0"/>
                <w:position w:val="0"/>
                <w:sz w:val="24"/>
                <w:szCs w:val="24"/>
                <w:highlight w:val="none"/>
                <w:lang w:val="en-US" w:eastAsia="zh-CN"/>
              </w:rPr>
              <w:t>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220kV太保变电站</w:t>
            </w:r>
            <w:r>
              <w:rPr>
                <w:rFonts w:hint="eastAsia" w:cs="Times New Roman"/>
                <w:spacing w:val="0"/>
                <w:w w:val="100"/>
                <w:kern w:val="0"/>
                <w:position w:val="0"/>
                <w:sz w:val="24"/>
                <w:szCs w:val="24"/>
                <w:highlight w:val="none"/>
                <w:lang w:val="en-US" w:eastAsia="zh-CN"/>
              </w:rPr>
              <w:t>在预留位置</w:t>
            </w:r>
            <w:r>
              <w:rPr>
                <w:rFonts w:hint="default" w:ascii="Times New Roman" w:hAnsi="Times New Roman" w:eastAsia="宋体" w:cs="Times New Roman"/>
                <w:spacing w:val="0"/>
                <w:w w:val="100"/>
                <w:kern w:val="0"/>
                <w:position w:val="0"/>
                <w:sz w:val="24"/>
                <w:szCs w:val="24"/>
                <w:highlight w:val="none"/>
                <w:lang w:val="en-US" w:eastAsia="zh-CN"/>
              </w:rPr>
              <w:t>扩建1个220kV间隔，不新增永久占地</w:t>
            </w:r>
            <w:r>
              <w:rPr>
                <w:rFonts w:hint="eastAsia" w:cs="Times New Roman"/>
                <w:spacing w:val="0"/>
                <w:w w:val="100"/>
                <w:kern w:val="0"/>
                <w:position w:val="0"/>
                <w:sz w:val="24"/>
                <w:szCs w:val="24"/>
                <w:highlight w:val="none"/>
                <w:lang w:val="en-US" w:eastAsia="zh-CN"/>
              </w:rPr>
              <w:t>，不会对</w:t>
            </w:r>
            <w:r>
              <w:rPr>
                <w:rFonts w:hint="default" w:ascii="Times New Roman" w:hAnsi="Times New Roman" w:eastAsia="宋体" w:cs="Times New Roman"/>
                <w:spacing w:val="0"/>
                <w:w w:val="100"/>
                <w:kern w:val="0"/>
                <w:position w:val="0"/>
                <w:sz w:val="24"/>
                <w:szCs w:val="24"/>
                <w:highlight w:val="none"/>
                <w:lang w:val="en-US" w:eastAsia="zh-CN"/>
              </w:rPr>
              <w:t>环境造成影响。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⑧输电</w:t>
            </w:r>
            <w:r>
              <w:rPr>
                <w:rFonts w:hint="default" w:ascii="Times New Roman" w:hAnsi="Times New Roman" w:eastAsia="宋体" w:cs="Times New Roman"/>
                <w:spacing w:val="0"/>
                <w:w w:val="100"/>
                <w:kern w:val="0"/>
                <w:position w:val="0"/>
                <w:sz w:val="24"/>
                <w:szCs w:val="24"/>
                <w:highlight w:val="none"/>
                <w:lang w:val="en-US" w:eastAsia="zh-CN"/>
              </w:rPr>
              <w:t>线路区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工程施工前对</w:t>
            </w:r>
            <w:r>
              <w:rPr>
                <w:rFonts w:hint="eastAsia" w:ascii="Times New Roman" w:hAnsi="Times New Roman" w:eastAsia="宋体" w:cs="Times New Roman"/>
                <w:spacing w:val="0"/>
                <w:w w:val="100"/>
                <w:kern w:val="0"/>
                <w:position w:val="0"/>
                <w:sz w:val="24"/>
                <w:szCs w:val="24"/>
                <w:highlight w:val="none"/>
                <w:lang w:val="en-US" w:eastAsia="zh-CN"/>
              </w:rPr>
              <w:t>输电</w:t>
            </w:r>
            <w:r>
              <w:rPr>
                <w:rFonts w:hint="default" w:ascii="Times New Roman" w:hAnsi="Times New Roman" w:eastAsia="宋体" w:cs="Times New Roman"/>
                <w:spacing w:val="0"/>
                <w:w w:val="100"/>
                <w:kern w:val="0"/>
                <w:position w:val="0"/>
                <w:sz w:val="24"/>
                <w:szCs w:val="24"/>
                <w:highlight w:val="none"/>
                <w:lang w:val="en-US" w:eastAsia="zh-CN"/>
              </w:rPr>
              <w:t>线路临时占地施工区域进行表土剥离；施工结束后，对区内临时占地进行土地整治、回覆表土后复耕。施工期遇降水或大风等恶劣天气时，对施工场地作业的临时堆土进行临时苫盖。</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5</w:t>
            </w:r>
            <w:r>
              <w:rPr>
                <w:rFonts w:hint="default" w:ascii="Times New Roman" w:hAnsi="Times New Roman" w:eastAsia="宋体" w:cs="Times New Roman"/>
                <w:spacing w:val="0"/>
                <w:w w:val="100"/>
                <w:kern w:val="0"/>
                <w:position w:val="0"/>
                <w:sz w:val="24"/>
                <w:szCs w:val="24"/>
                <w:highlight w:val="none"/>
                <w:lang w:val="en-US" w:eastAsia="zh-CN"/>
              </w:rPr>
              <w:t>）施工期临时占地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工程施工前先对工程占压的区域进行表土剥离，剥离厚度约0.3m，剥离的土方堆放在项目区内临时堆土区，并采取临时拦挡等措施，后期及时回填复垦。施工过程中，施工场地周边设置临时土排水沟，施工结束后，对复耕区域进行土地整治回覆表土。</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塔基施工过程中应避免或减少临时场地占用，控制用地范围，注意保护相邻植被，表土和挖方土分层堆放及回填，堆土场采取草袋土拦挡和</w:t>
            </w:r>
            <w:r>
              <w:rPr>
                <w:rFonts w:hint="eastAsia" w:ascii="Times New Roman" w:hAnsi="Times New Roman" w:eastAsia="宋体" w:cs="Times New Roman"/>
                <w:spacing w:val="0"/>
                <w:w w:val="100"/>
                <w:kern w:val="0"/>
                <w:position w:val="0"/>
                <w:sz w:val="24"/>
                <w:szCs w:val="24"/>
                <w:highlight w:val="none"/>
                <w:lang w:val="en-US" w:eastAsia="zh-CN"/>
              </w:rPr>
              <w:t>土工布</w:t>
            </w:r>
            <w:r>
              <w:rPr>
                <w:rFonts w:hint="default" w:ascii="Times New Roman" w:hAnsi="Times New Roman" w:eastAsia="宋体" w:cs="Times New Roman"/>
                <w:spacing w:val="0"/>
                <w:w w:val="100"/>
                <w:kern w:val="0"/>
                <w:position w:val="0"/>
                <w:sz w:val="24"/>
                <w:szCs w:val="24"/>
                <w:highlight w:val="none"/>
                <w:lang w:val="en-US" w:eastAsia="zh-CN"/>
              </w:rPr>
              <w:t>苫盖，设置截水沟，施工结束后及时恢复临时占地及绿化，减少对生态环境的破坏。本项目施工时分层开挖、分层堆放，挖方及时回填，避免在大风天施工作业。施工结束后，拆除临时建筑，挖方回填，用于绿化覆土，恢复占用土地生态功能。同时对建筑物周围进行种植适宜本土生长的植物，防止水土流失。生态恢复的责任主体为</w:t>
            </w:r>
            <w:r>
              <w:rPr>
                <w:rFonts w:hint="eastAsia" w:ascii="Times New Roman" w:hAnsi="Times New Roman" w:eastAsia="宋体" w:cs="Times New Roman"/>
                <w:spacing w:val="0"/>
                <w:w w:val="100"/>
                <w:kern w:val="0"/>
                <w:position w:val="0"/>
                <w:sz w:val="24"/>
                <w:szCs w:val="24"/>
                <w:highlight w:val="none"/>
                <w:lang w:val="en-US" w:eastAsia="zh-CN"/>
              </w:rPr>
              <w:t>通河县</w:t>
            </w:r>
            <w:r>
              <w:rPr>
                <w:rFonts w:hint="default" w:ascii="Times New Roman" w:hAnsi="Times New Roman" w:eastAsia="宋体" w:cs="Times New Roman"/>
                <w:spacing w:val="0"/>
                <w:w w:val="100"/>
                <w:kern w:val="0"/>
                <w:position w:val="0"/>
                <w:sz w:val="24"/>
                <w:szCs w:val="24"/>
                <w:highlight w:val="none"/>
                <w:lang w:val="en-US" w:eastAsia="zh-CN"/>
              </w:rPr>
              <w:t>聚霆新能源有限公司，工程建成后将采用因地制宜的植被恢复方式进行生态补偿，保证工程区域内植被数量不会减少。因此，本期工程建设对当地植被数量总体影响不大，且随着保护力度的加强和生态恢复措施的实施，可恢复并增加区内植被覆盖率，丰富区内的植物物种多样性，有利于工程所在区域生态环境的改善。</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6</w:t>
            </w:r>
            <w:r>
              <w:rPr>
                <w:rFonts w:hint="default" w:ascii="Times New Roman" w:hAnsi="Times New Roman" w:eastAsia="宋体" w:cs="Times New Roman"/>
                <w:spacing w:val="0"/>
                <w:w w:val="100"/>
                <w:kern w:val="0"/>
                <w:position w:val="0"/>
                <w:sz w:val="24"/>
                <w:szCs w:val="24"/>
                <w:highlight w:val="none"/>
                <w:lang w:val="en-US" w:eastAsia="zh-CN"/>
              </w:rPr>
              <w:t>）管理措施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①</w:t>
            </w:r>
            <w:r>
              <w:rPr>
                <w:rFonts w:hint="default" w:ascii="Times New Roman" w:hAnsi="Times New Roman" w:eastAsia="宋体" w:cs="Times New Roman"/>
                <w:spacing w:val="0"/>
                <w:w w:val="100"/>
                <w:kern w:val="0"/>
                <w:position w:val="0"/>
                <w:sz w:val="24"/>
                <w:szCs w:val="24"/>
                <w:highlight w:val="none"/>
                <w:lang w:val="en-US" w:eastAsia="zh-CN"/>
              </w:rPr>
              <w:t>对施工人员进行施工期环保措施的宣传教育，对每一位上岗人员进行培训，让他们充分认识每一项环保措施及落实的重要性，真正使环保措施起到应有的作用。</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②</w:t>
            </w:r>
            <w:r>
              <w:rPr>
                <w:rFonts w:hint="default" w:ascii="Times New Roman" w:hAnsi="Times New Roman" w:eastAsia="宋体" w:cs="Times New Roman"/>
                <w:spacing w:val="0"/>
                <w:w w:val="100"/>
                <w:kern w:val="0"/>
                <w:position w:val="0"/>
                <w:sz w:val="24"/>
                <w:szCs w:val="24"/>
                <w:highlight w:val="none"/>
                <w:lang w:val="en-US" w:eastAsia="zh-CN"/>
              </w:rPr>
              <w:t>施工单位和人员要严格遵守国家法令，爱护保护区内所有的动物和昆虫。爱护施工区域内的生态环境，除施工必须外，爱护一草一木，不砍伐当地树木。</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③</w:t>
            </w:r>
            <w:r>
              <w:rPr>
                <w:rFonts w:hint="default" w:ascii="Times New Roman" w:hAnsi="Times New Roman" w:eastAsia="宋体" w:cs="Times New Roman"/>
                <w:spacing w:val="0"/>
                <w:w w:val="100"/>
                <w:kern w:val="0"/>
                <w:position w:val="0"/>
                <w:sz w:val="24"/>
                <w:szCs w:val="24"/>
                <w:highlight w:val="none"/>
                <w:lang w:val="en-US" w:eastAsia="zh-CN"/>
              </w:rPr>
              <w:t>保护原有地貌不被破坏，施工挖掘地表时，尽可能保护原有地层。</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④</w:t>
            </w:r>
            <w:r>
              <w:rPr>
                <w:rFonts w:hint="default" w:ascii="Times New Roman" w:hAnsi="Times New Roman" w:eastAsia="宋体" w:cs="Times New Roman"/>
                <w:spacing w:val="0"/>
                <w:w w:val="100"/>
                <w:kern w:val="0"/>
                <w:position w:val="0"/>
                <w:sz w:val="24"/>
                <w:szCs w:val="24"/>
                <w:highlight w:val="none"/>
                <w:lang w:val="en-US" w:eastAsia="zh-CN"/>
              </w:rPr>
              <w:t>施工结束后，施工单位应负责及时清理现场，使之尽快恢复原状。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（7）黑土地保护</w:t>
            </w:r>
            <w:r>
              <w:rPr>
                <w:rFonts w:hint="default" w:ascii="Times New Roman" w:hAnsi="Times New Roman" w:eastAsia="宋体" w:cs="Times New Roman"/>
                <w:color w:val="auto"/>
                <w:spacing w:val="0"/>
                <w:w w:val="100"/>
                <w:kern w:val="0"/>
                <w:position w:val="0"/>
                <w:sz w:val="24"/>
                <w:szCs w:val="24"/>
                <w:highlight w:val="none"/>
                <w:lang w:val="en-US" w:eastAsia="zh-CN"/>
              </w:rPr>
              <w:t>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①施工临时用地采取永临结合措施，尽可能少占用耕地。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②施工过程中采取表土剥离措施，设置临时堆土场将表、熟土分层堆放，并设置装土袋拦挡、密目网苫盖措施，施工结束后及时回覆表土并采取土壤恢复措施，增强土壤肥力。</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③对于施工过程中占用耕地要制定补偿措施，落实相关补偿手续；对于临时占用耕地，施工结束后将剥离的表土及时回覆并进行深翻松土，深翻厚度不低于30cm，土地平整后交还当地农民复耕。</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（8）基本农田保护措施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①</w:t>
            </w:r>
            <w:r>
              <w:rPr>
                <w:rFonts w:hint="default" w:ascii="Times New Roman" w:hAnsi="Times New Roman" w:eastAsia="宋体" w:cs="Times New Roman"/>
                <w:color w:val="auto"/>
                <w:spacing w:val="0"/>
                <w:w w:val="100"/>
                <w:kern w:val="0"/>
                <w:position w:val="0"/>
                <w:sz w:val="24"/>
                <w:szCs w:val="24"/>
                <w:highlight w:val="none"/>
                <w:lang w:val="en-US" w:eastAsia="zh-CN"/>
              </w:rPr>
              <w:t>施工布置应严格执行尽量不占、少占基本农田的用地原则，在施工阶段针对工程临时用地（塔基施工区、跨越设施场区、牵张场、施工便道等区域）进行进一步优化，在途经永久基本农田片区时，可利用先进的无人机挂线工艺，减少临时占地，将占用的基本农田数量最小化，减少耕地占地面积，且占用耕地要以边角田地为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②</w:t>
            </w:r>
            <w:r>
              <w:rPr>
                <w:rFonts w:hint="default" w:ascii="Times New Roman" w:hAnsi="Times New Roman" w:eastAsia="宋体" w:cs="Times New Roman"/>
                <w:color w:val="auto"/>
                <w:spacing w:val="0"/>
                <w:w w:val="100"/>
                <w:kern w:val="0"/>
                <w:position w:val="0"/>
                <w:sz w:val="24"/>
                <w:szCs w:val="24"/>
                <w:highlight w:val="none"/>
                <w:lang w:val="en-US" w:eastAsia="zh-CN"/>
              </w:rPr>
              <w:t>对于永久占用的基本农田，在施工中应保存表层的土壤，分层堆放，塔基施工结束后，将剥离的表土全部回覆，在塔基基础区域及塔基下方区域播撒草籽，用于植被恢复和水土保持。对于临时占用的基本农田，施工结束后，要采取土壤恢复措施，恢复土壤肥力；且施工前应明确耕地质量等级，确保复耕后可恢复原有耕地种植水平。</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③</w:t>
            </w:r>
            <w:r>
              <w:rPr>
                <w:rFonts w:hint="default" w:ascii="Times New Roman" w:hAnsi="Times New Roman" w:eastAsia="宋体" w:cs="Times New Roman"/>
                <w:color w:val="auto"/>
                <w:spacing w:val="0"/>
                <w:w w:val="100"/>
                <w:kern w:val="0"/>
                <w:position w:val="0"/>
                <w:sz w:val="24"/>
                <w:szCs w:val="24"/>
                <w:highlight w:val="none"/>
                <w:lang w:val="en-US" w:eastAsia="zh-CN"/>
              </w:rPr>
              <w:t>对剥离的表土和开挖土进行密目网苫盖和袋装土拦挡，施工结束后及时回填，回填时按照土层的顺序分层回填、松土及施肥，以缩短植被恢复时间和增加恢复效果，保持土壤原有结构。</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④</w:t>
            </w:r>
            <w:r>
              <w:rPr>
                <w:rFonts w:hint="default" w:ascii="Times New Roman" w:hAnsi="Times New Roman" w:eastAsia="宋体" w:cs="Times New Roman"/>
                <w:color w:val="auto"/>
                <w:spacing w:val="0"/>
                <w:w w:val="100"/>
                <w:kern w:val="0"/>
                <w:position w:val="0"/>
                <w:sz w:val="24"/>
                <w:szCs w:val="24"/>
                <w:highlight w:val="none"/>
                <w:lang w:val="en-US" w:eastAsia="zh-CN"/>
              </w:rPr>
              <w:t>根据《黑龙江省自然资源厅黑龙江省发展和改革委员会关于简化用地管理加快电网建设的通知》（黑自然资函〔2018〕46号）和黑龙江省人民政府办公厅关于印发《黑龙江省进一步推动电网高质量发展工作方案》的通知（黑政办发〔2023〕41号）中要求：输电线路工程部分（包括水泥杆、铁塔基础）参照《黑龙江省自然资源厅黑龙江省发展和改革委员会关于简化用地管理加快电网建设的通知》（黑自然资函〔2018〕46号），对电力线路塔基用地只作一次性经济补偿，补偿标准由设区的市（地）政府（行署）制定。</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本项目永久占地耕地部分全部进行耕地补偿，临时占地部分在施工结束后及时进行土地平整、表土回覆、复耕等生态恢复，从而恢复其原有土地使用功能。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cs="Times New Roman"/>
                <w:spacing w:val="0"/>
                <w:w w:val="100"/>
                <w:kern w:val="0"/>
                <w:position w:val="0"/>
                <w:sz w:val="24"/>
                <w:szCs w:val="24"/>
                <w:highlight w:val="none"/>
                <w:lang w:val="en-US" w:eastAsia="zh-CN"/>
              </w:rPr>
              <w:t>9</w:t>
            </w:r>
            <w:r>
              <w:rPr>
                <w:rFonts w:hint="default" w:ascii="Times New Roman" w:hAnsi="Times New Roman" w:eastAsia="宋体" w:cs="Times New Roman"/>
                <w:spacing w:val="0"/>
                <w:w w:val="100"/>
                <w:kern w:val="0"/>
                <w:position w:val="0"/>
                <w:sz w:val="24"/>
                <w:szCs w:val="24"/>
                <w:highlight w:val="none"/>
                <w:lang w:val="en-US" w:eastAsia="zh-CN"/>
              </w:rPr>
              <w:t>）对动植物生态环境的影响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经现场调查，项目工程沿线主要为农田，无珍稀野生动植物。由于项目两侧区域生态类型简单，为农田生态系统，且项目施工作业面较窄，施工期较短，加强对施工人员和管理人员的教育，禁止乱捕乱杀。因此对野生动植物生存环境不会造成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w:t>
            </w:r>
            <w:r>
              <w:rPr>
                <w:rFonts w:hint="eastAsia" w:cs="Times New Roman"/>
                <w:spacing w:val="0"/>
                <w:w w:val="100"/>
                <w:kern w:val="0"/>
                <w:position w:val="0"/>
                <w:sz w:val="24"/>
                <w:szCs w:val="24"/>
                <w:highlight w:val="none"/>
                <w:lang w:val="en-US" w:eastAsia="zh-CN"/>
              </w:rPr>
              <w:t>10</w:t>
            </w:r>
            <w:r>
              <w:rPr>
                <w:rFonts w:hint="eastAsia" w:ascii="Times New Roman" w:hAnsi="Times New Roman" w:eastAsia="宋体" w:cs="Times New Roman"/>
                <w:spacing w:val="0"/>
                <w:w w:val="100"/>
                <w:kern w:val="0"/>
                <w:position w:val="0"/>
                <w:sz w:val="24"/>
                <w:szCs w:val="24"/>
                <w:highlight w:val="none"/>
                <w:lang w:val="en-US" w:eastAsia="zh-CN"/>
              </w:rPr>
              <w:t>）对景观影响分析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本</w:t>
            </w:r>
            <w:r>
              <w:rPr>
                <w:rFonts w:hint="eastAsia" w:cs="Times New Roman"/>
                <w:spacing w:val="0"/>
                <w:w w:val="100"/>
                <w:kern w:val="0"/>
                <w:position w:val="0"/>
                <w:sz w:val="24"/>
                <w:szCs w:val="24"/>
                <w:highlight w:val="none"/>
                <w:lang w:val="en-US" w:eastAsia="zh-CN"/>
              </w:rPr>
              <w:t>项目</w:t>
            </w:r>
            <w:r>
              <w:rPr>
                <w:rFonts w:hint="eastAsia" w:ascii="Times New Roman" w:hAnsi="Times New Roman" w:eastAsia="宋体" w:cs="Times New Roman"/>
                <w:spacing w:val="0"/>
                <w:w w:val="100"/>
                <w:kern w:val="0"/>
                <w:position w:val="0"/>
                <w:sz w:val="24"/>
                <w:szCs w:val="24"/>
                <w:highlight w:val="none"/>
                <w:lang w:val="en-US" w:eastAsia="zh-CN"/>
              </w:rPr>
              <w:t>输电线路的建设以及临时占地会破坏周边原生态环境景观，对部分地形地貌景观产生扰动。但随着施工期的结束，工程将对其占地进行绿化恢复。项目建成后，项目输变电系统构成一个独特的人文景观，为单调的农田增添了活力，增加了区域景观欣赏性。</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综上所述，本项目生态环境影响主要来自施工期。通过上述分析，施工期施工建设对生态环境影响不大。通过采取相应的生态保护和恢复措施，本项目建设对生态环境的影响是可接受的。</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、大气污染防治措施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施工期大气污染物主要为扬尘、动力机械</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运输车辆排出的尾气</w:t>
            </w:r>
            <w:r>
              <w:rPr>
                <w:rFonts w:hint="eastAsia" w:ascii="Times New Roman" w:hAnsi="Times New Roman" w:eastAsia="宋体" w:cs="Times New Roman"/>
                <w:spacing w:val="0"/>
                <w:w w:val="100"/>
                <w:kern w:val="0"/>
                <w:position w:val="0"/>
                <w:sz w:val="24"/>
                <w:szCs w:val="24"/>
                <w:highlight w:val="none"/>
                <w:lang w:val="en-US" w:eastAsia="zh-CN"/>
              </w:rPr>
              <w:t>及柴油发电机废气</w:t>
            </w:r>
            <w:r>
              <w:rPr>
                <w:rFonts w:hint="default" w:ascii="Times New Roman" w:hAnsi="Times New Roman" w:eastAsia="宋体" w:cs="Times New Roman"/>
                <w:spacing w:val="0"/>
                <w:w w:val="100"/>
                <w:kern w:val="0"/>
                <w:position w:val="0"/>
                <w:sz w:val="24"/>
                <w:szCs w:val="24"/>
                <w:highlight w:val="none"/>
                <w:lang w:val="en-US" w:eastAsia="zh-CN"/>
              </w:rPr>
              <w:t>等。</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（1）</w:t>
            </w:r>
            <w:r>
              <w:rPr>
                <w:rFonts w:hint="default" w:ascii="Times New Roman" w:hAnsi="Times New Roman" w:eastAsia="宋体" w:cs="Times New Roman"/>
                <w:spacing w:val="0"/>
                <w:w w:val="100"/>
                <w:kern w:val="0"/>
                <w:position w:val="0"/>
                <w:sz w:val="24"/>
                <w:szCs w:val="24"/>
                <w:highlight w:val="none"/>
                <w:lang w:val="en-US" w:eastAsia="zh-CN"/>
              </w:rPr>
              <w:t>为控制扬尘的污染，工程中将采取洒水抑尘措施，禁止大风天气施工，施工场地周边应设置围挡等措施。采取上述措施后，扬尘影响和污染程度会明显减轻。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动力机械及运输车辆排出的废气通过及时检修和日常维护减少尾气的排放。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w:t>
            </w:r>
            <w:r>
              <w:rPr>
                <w:rFonts w:hint="eastAsia" w:ascii="Times New Roman" w:hAnsi="Times New Roman" w:eastAsia="宋体"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）本项目</w:t>
            </w:r>
            <w:r>
              <w:rPr>
                <w:rFonts w:hint="eastAsia" w:ascii="Times New Roman" w:hAnsi="Times New Roman" w:eastAsia="宋体" w:cs="Times New Roman"/>
                <w:spacing w:val="0"/>
                <w:w w:val="100"/>
                <w:kern w:val="0"/>
                <w:position w:val="0"/>
                <w:sz w:val="24"/>
                <w:szCs w:val="24"/>
                <w:highlight w:val="none"/>
                <w:lang w:val="en-US" w:eastAsia="zh-CN"/>
              </w:rPr>
              <w:t>不设置</w:t>
            </w:r>
            <w:r>
              <w:rPr>
                <w:rFonts w:hint="default" w:ascii="Times New Roman" w:hAnsi="Times New Roman" w:eastAsia="宋体" w:cs="Times New Roman"/>
                <w:spacing w:val="0"/>
                <w:w w:val="100"/>
                <w:kern w:val="0"/>
                <w:position w:val="0"/>
                <w:sz w:val="24"/>
                <w:szCs w:val="24"/>
                <w:highlight w:val="none"/>
                <w:lang w:val="en-US" w:eastAsia="zh-CN"/>
              </w:rPr>
              <w:t>混凝土拌和站</w:t>
            </w:r>
            <w:r>
              <w:rPr>
                <w:rFonts w:hint="eastAsia" w:ascii="Times New Roman" w:hAnsi="Times New Roman" w:eastAsia="宋体" w:cs="Times New Roman"/>
                <w:spacing w:val="0"/>
                <w:w w:val="100"/>
                <w:kern w:val="0"/>
                <w:position w:val="0"/>
                <w:sz w:val="24"/>
                <w:szCs w:val="24"/>
                <w:highlight w:val="none"/>
                <w:lang w:val="en-US" w:eastAsia="zh-CN"/>
              </w:rPr>
              <w:t>，购买商混进行使用，减少对环境的污染</w:t>
            </w:r>
            <w:r>
              <w:rPr>
                <w:rFonts w:hint="default" w:ascii="Times New Roman" w:hAnsi="Times New Roman" w:eastAsia="宋体" w:cs="Times New Roman"/>
                <w:spacing w:val="0"/>
                <w:w w:val="100"/>
                <w:kern w:val="0"/>
                <w:position w:val="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（4）施工期间应加强环境管理，贯彻边施工、边防治的原则。</w:t>
            </w:r>
            <w:r>
              <w:rPr>
                <w:rFonts w:hint="eastAsia" w:ascii="Times New Roman" w:hAnsi="Times New Roman" w:eastAsia="宋体" w:cs="Times New Roman"/>
                <w:spacing w:val="0"/>
                <w:w w:val="100"/>
                <w:kern w:val="0"/>
                <w:position w:val="0"/>
                <w:sz w:val="24"/>
                <w:szCs w:val="24"/>
                <w:highlight w:val="none"/>
                <w:lang w:val="en-US" w:eastAsia="zh-CN"/>
              </w:rPr>
              <w:t>道路施工时要增加洒水频次，避免对周边居民造成影响。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（5）运输水泥、土方、施工垃圾等易产生扬尘的车辆要密闭处理，或采取其它措施，以避免沿途散落。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（6）柴油发电机使用低硫柴油，通过及时检修和日常维护减少柴油挥发及废气的排放。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通过采取以上措施，施工场界颗粒物排放满足《大气污染物综合排放标准》（GB16297-1996）中表2无组织排放监控限制（颗粒物≤1.0mg/m</w:t>
            </w:r>
            <w:r>
              <w:rPr>
                <w:rFonts w:hint="eastAsia" w:ascii="Times New Roman" w:hAnsi="Times New Roman" w:eastAsia="宋体" w:cs="Times New Roman"/>
                <w:spacing w:val="0"/>
                <w:w w:val="100"/>
                <w:kern w:val="0"/>
                <w:position w:val="0"/>
                <w:sz w:val="24"/>
                <w:szCs w:val="24"/>
                <w:highlight w:val="none"/>
                <w:vertAlign w:val="superscript"/>
                <w:lang w:val="en-US" w:eastAsia="zh-CN"/>
              </w:rPr>
              <w:t>3</w:t>
            </w:r>
            <w:r>
              <w:rPr>
                <w:rFonts w:hint="eastAsia" w:ascii="Times New Roman" w:hAnsi="Times New Roman" w:eastAsia="宋体" w:cs="Times New Roman"/>
                <w:spacing w:val="0"/>
                <w:w w:val="100"/>
                <w:kern w:val="0"/>
                <w:position w:val="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、水污染防治措施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cs="Times New Roman"/>
                <w:spacing w:val="0"/>
                <w:w w:val="100"/>
                <w:kern w:val="0"/>
                <w:position w:val="0"/>
                <w:sz w:val="24"/>
                <w:szCs w:val="24"/>
                <w:highlight w:val="none"/>
                <w:lang w:val="en-US" w:eastAsia="zh-CN"/>
              </w:rPr>
              <w:t>（1）生产废水：</w:t>
            </w:r>
            <w:r>
              <w:rPr>
                <w:rFonts w:hint="default" w:ascii="Times New Roman" w:hAnsi="Times New Roman" w:eastAsia="宋体" w:cs="Times New Roman"/>
                <w:spacing w:val="0"/>
                <w:w w:val="100"/>
                <w:kern w:val="0"/>
                <w:position w:val="0"/>
                <w:sz w:val="24"/>
                <w:szCs w:val="24"/>
                <w:highlight w:val="none"/>
                <w:lang w:val="en-US" w:eastAsia="zh-CN"/>
              </w:rPr>
              <w:t>废水经临时沉淀池沉淀后用于场地冲洗及洒水抑尘。</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生活废水</w:t>
            </w:r>
            <w:r>
              <w:rPr>
                <w:rFonts w:hint="eastAsia"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施工</w:t>
            </w:r>
            <w:r>
              <w:rPr>
                <w:rFonts w:hint="eastAsia" w:cs="Times New Roman"/>
                <w:spacing w:val="0"/>
                <w:w w:val="100"/>
                <w:kern w:val="0"/>
                <w:position w:val="0"/>
                <w:sz w:val="24"/>
                <w:szCs w:val="24"/>
                <w:highlight w:val="none"/>
                <w:lang w:val="en-US" w:eastAsia="zh-CN"/>
              </w:rPr>
              <w:t>期</w:t>
            </w:r>
            <w:r>
              <w:rPr>
                <w:rFonts w:hint="default" w:ascii="Times New Roman" w:hAnsi="Times New Roman" w:eastAsia="宋体" w:cs="Times New Roman"/>
                <w:spacing w:val="0"/>
                <w:w w:val="100"/>
                <w:kern w:val="0"/>
                <w:position w:val="0"/>
                <w:sz w:val="24"/>
                <w:szCs w:val="24"/>
                <w:highlight w:val="none"/>
                <w:lang w:val="en-US" w:eastAsia="zh-CN"/>
              </w:rPr>
              <w:t>生活污水排入临时化粪池暂存，定期清掏，外运堆肥。</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4</w:t>
            </w:r>
            <w:r>
              <w:rPr>
                <w:rFonts w:hint="default" w:ascii="Times New Roman" w:hAnsi="Times New Roman" w:eastAsia="宋体" w:cs="Times New Roman"/>
                <w:spacing w:val="0"/>
                <w:w w:val="100"/>
                <w:kern w:val="0"/>
                <w:position w:val="0"/>
                <w:sz w:val="24"/>
                <w:szCs w:val="24"/>
                <w:highlight w:val="none"/>
                <w:lang w:val="en-US" w:eastAsia="zh-CN"/>
              </w:rPr>
              <w:t>、噪声污染防治措施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为了尽量减少因本项目施工而给周围环境带来不利影响，本评价建议采取以下控制措施：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（1）施工时应选用低噪声机械设备，淘汰高噪声设备和落后工艺，禁止采用冲击式钻机、柴油打桩机、旋挖桩机等高噪声设备，应选用静压式钻探机、预应力管桩等低噪声的施工方式。对</w:t>
            </w:r>
            <w:r>
              <w:rPr>
                <w:rFonts w:hint="eastAsia" w:ascii="Times New Roman" w:hAnsi="Times New Roman" w:eastAsia="宋体" w:cs="Times New Roman"/>
                <w:spacing w:val="0"/>
                <w:w w:val="100"/>
                <w:kern w:val="0"/>
                <w:position w:val="0"/>
                <w:sz w:val="24"/>
                <w:szCs w:val="24"/>
                <w:highlight w:val="none"/>
                <w:lang w:val="en-US" w:eastAsia="zh-CN"/>
              </w:rPr>
              <w:t>商混设备</w:t>
            </w:r>
            <w:r>
              <w:rPr>
                <w:rFonts w:hint="default" w:ascii="Times New Roman" w:hAnsi="Times New Roman" w:eastAsia="宋体" w:cs="Times New Roman"/>
                <w:spacing w:val="0"/>
                <w:w w:val="100"/>
                <w:kern w:val="0"/>
                <w:position w:val="0"/>
                <w:sz w:val="24"/>
                <w:szCs w:val="24"/>
                <w:highlight w:val="none"/>
                <w:lang w:val="en-US" w:eastAsia="zh-CN"/>
              </w:rPr>
              <w:t>、挖掘机、推土机与翻斗车等固定设备，可通过安装消声管、消音器或隔离发动机振动部件的方法降低噪声，对振动大的机械设备，采用隔振胶垫或减振机座，使机械设备的噪声源声压级满足控制标准；同时要加强各种机械设备和运输车辆的维修和保养，使设备和车辆性能处于良好状态。</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（2）施工机械产生的噪声往往具有突发、无规则、不连续和高强度等特点，施工单位应采取合理安排施工机械操作时间的方法加以缓解，并减少同时作业的高噪声施工机械数量，尽可能减轻声源叠加影响。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3）施工单位要合理安排施工作业时间，晚间（19:00~22:00）严禁高噪声设备施工，午间（12:00~14:00）及夜间（22:00~6:00）严禁施工，以免影响附近人们的休息。另外，为进一步确保周围人员不受影响，施工单位应合理安排施工机械的作业位置，尽量远离敏感点</w:t>
            </w:r>
            <w:r>
              <w:rPr>
                <w:rFonts w:hint="eastAsia" w:ascii="Times New Roman" w:hAnsi="Times New Roman" w:eastAsia="宋体" w:cs="Times New Roman"/>
                <w:spacing w:val="0"/>
                <w:w w:val="100"/>
                <w:kern w:val="0"/>
                <w:position w:val="0"/>
                <w:sz w:val="24"/>
                <w:szCs w:val="24"/>
                <w:highlight w:val="none"/>
                <w:lang w:val="en-US" w:eastAsia="zh-CN"/>
              </w:rPr>
              <w:t>，必要时设置声屏障。</w:t>
            </w:r>
            <w:r>
              <w:rPr>
                <w:rFonts w:hint="default" w:ascii="Times New Roman" w:hAnsi="Times New Roman" w:eastAsia="宋体" w:cs="Times New Roman"/>
                <w:spacing w:val="0"/>
                <w:w w:val="100"/>
                <w:kern w:val="0"/>
                <w:position w:val="0"/>
                <w:sz w:val="24"/>
                <w:szCs w:val="24"/>
                <w:highlight w:val="none"/>
                <w:lang w:val="en-US" w:eastAsia="zh-CN"/>
              </w:rPr>
              <w:t>如因建筑工程工艺要求或特殊需要必须连续作业而进行夜间施工时，施工单位必须提前7日持建管部门的证明向当地环境保护主管部门申报施工期和时间，并在周围居民点张贴告示，经环境保护主管部门批准备案后方可进行夜间施工。</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4）对于施工期间的材料运输、敲击等噪声源，要求施工单位文明施工；加强有效管理，加强施工队伍的素质教育，尽量减少人为的噪声以缓解其影响。加强劳动保护，改善施工人员作业环境。综合加工场操作人员实行轮班制，每人每天持续工作时间不得超过6小时，给受影响大的人员配发防噪耳塞、头盔、耳罩等噪声防护用具。</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5）做好周围群众的协调工作。施工期对周围群众带来多种不便，尤其受施工噪声的影响，抱怨较多，若处理不当，将影响社会安定。因此，应加强与周边住户、单位和居委会的联系，及时通报施工进度，减少人为噪声污染，取得群众的谅解。</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6）项目运输路线经过道路沿线两侧村屯时，应加强现场货物的运输管理，在运输车辆经过居民点时，尽量减速慢行，居民区内禁止鸣笛，禁止在中午（12:00-14:00）和夜间（22:00-6:00）经过居民点运输，以免影响沿途居民的正常生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通过采取上述措施后，施工</w:t>
            </w:r>
            <w:r>
              <w:rPr>
                <w:rFonts w:hint="default" w:ascii="Times New Roman" w:hAnsi="Times New Roman" w:eastAsia="宋体" w:cs="Times New Roman"/>
                <w:spacing w:val="0"/>
                <w:w w:val="100"/>
                <w:kern w:val="0"/>
                <w:position w:val="0"/>
                <w:sz w:val="24"/>
                <w:szCs w:val="24"/>
                <w:highlight w:val="none"/>
                <w:lang w:val="en-US" w:eastAsia="zh-CN"/>
              </w:rPr>
              <w:t>场界噪声可满足《建筑施工场界环境噪声排放标准》（GB12523-2011）的规定，施工期间的噪声对周围声环境的影响</w:t>
            </w:r>
            <w:r>
              <w:rPr>
                <w:rFonts w:hint="eastAsia" w:ascii="Times New Roman" w:hAnsi="Times New Roman" w:eastAsia="宋体" w:cs="Times New Roman"/>
                <w:spacing w:val="0"/>
                <w:w w:val="100"/>
                <w:kern w:val="0"/>
                <w:position w:val="0"/>
                <w:sz w:val="24"/>
                <w:szCs w:val="24"/>
                <w:highlight w:val="none"/>
                <w:lang w:val="en-US" w:eastAsia="zh-CN"/>
              </w:rPr>
              <w:t>可接受</w:t>
            </w:r>
            <w:r>
              <w:rPr>
                <w:rFonts w:hint="default" w:ascii="Times New Roman" w:hAnsi="Times New Roman" w:eastAsia="宋体" w:cs="Times New Roman"/>
                <w:spacing w:val="0"/>
                <w:w w:val="100"/>
                <w:kern w:val="0"/>
                <w:position w:val="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5</w:t>
            </w:r>
            <w:r>
              <w:rPr>
                <w:rFonts w:hint="default" w:ascii="Times New Roman" w:hAnsi="Times New Roman" w:eastAsia="宋体" w:cs="Times New Roman"/>
                <w:spacing w:val="0"/>
                <w:w w:val="100"/>
                <w:kern w:val="0"/>
                <w:position w:val="0"/>
                <w:sz w:val="24"/>
                <w:szCs w:val="24"/>
                <w:highlight w:val="none"/>
                <w:lang w:val="en-US" w:eastAsia="zh-CN"/>
              </w:rPr>
              <w:t>、施工期固体废物污染防治措施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（1）施工弃土</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本项目产生的土方主要为土地平整及挖地基时产生的土方，除回填、平整场地外，挖方的表土用于</w:t>
            </w:r>
            <w:r>
              <w:rPr>
                <w:rFonts w:hint="eastAsia" w:ascii="Times New Roman" w:hAnsi="Times New Roman" w:eastAsia="宋体" w:cs="Times New Roman"/>
                <w:spacing w:val="0"/>
                <w:w w:val="100"/>
                <w:kern w:val="0"/>
                <w:position w:val="0"/>
                <w:sz w:val="24"/>
                <w:szCs w:val="24"/>
                <w:highlight w:val="none"/>
                <w:lang w:val="en-US" w:eastAsia="zh-CN"/>
              </w:rPr>
              <w:t>生态恢复</w:t>
            </w:r>
            <w:r>
              <w:rPr>
                <w:rFonts w:hint="default" w:ascii="Times New Roman" w:hAnsi="Times New Roman" w:eastAsia="宋体" w:cs="Times New Roman"/>
                <w:spacing w:val="0"/>
                <w:w w:val="100"/>
                <w:kern w:val="0"/>
                <w:position w:val="0"/>
                <w:sz w:val="24"/>
                <w:szCs w:val="24"/>
                <w:highlight w:val="none"/>
                <w:lang w:val="en-US" w:eastAsia="zh-CN"/>
              </w:rPr>
              <w:t>，无弃土产生。</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（2）建筑垃圾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无法利用的建筑垃圾由建设单位统一清运至市政管理部门指定堆放点。</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（3）</w:t>
            </w:r>
            <w:r>
              <w:rPr>
                <w:rFonts w:hint="eastAsia" w:ascii="Times New Roman" w:hAnsi="Times New Roman" w:eastAsia="宋体" w:cs="Times New Roman"/>
                <w:spacing w:val="0"/>
                <w:w w:val="100"/>
                <w:kern w:val="0"/>
                <w:position w:val="0"/>
                <w:sz w:val="24"/>
                <w:szCs w:val="24"/>
                <w:highlight w:val="none"/>
                <w:lang w:val="en-US" w:eastAsia="zh-CN"/>
              </w:rPr>
              <w:t>施工人员</w:t>
            </w:r>
            <w:r>
              <w:rPr>
                <w:rFonts w:hint="default" w:ascii="Times New Roman" w:hAnsi="Times New Roman" w:eastAsia="宋体" w:cs="Times New Roman"/>
                <w:spacing w:val="0"/>
                <w:w w:val="100"/>
                <w:kern w:val="0"/>
                <w:position w:val="0"/>
                <w:sz w:val="24"/>
                <w:szCs w:val="24"/>
                <w:highlight w:val="none"/>
                <w:lang w:val="en-US" w:eastAsia="zh-CN"/>
              </w:rPr>
              <w:t>生活垃圾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根据《中华人民共和国固体废物污染环境防治法》的有关内容，施工人员产生的生活垃圾不要和建筑垃圾混放，建议施工期对生活垃圾集中收集，采取对生活垃圾的分类化管理，聘请专人定期清除垃圾，集中收集后交由</w:t>
            </w:r>
            <w:r>
              <w:rPr>
                <w:rFonts w:hint="eastAsia" w:ascii="Times New Roman" w:hAnsi="Times New Roman" w:eastAsia="宋体" w:cs="Times New Roman"/>
                <w:spacing w:val="0"/>
                <w:w w:val="100"/>
                <w:kern w:val="0"/>
                <w:position w:val="0"/>
                <w:sz w:val="24"/>
                <w:szCs w:val="24"/>
                <w:highlight w:val="none"/>
                <w:lang w:val="en-US" w:eastAsia="zh-CN"/>
              </w:rPr>
              <w:t>市政</w:t>
            </w:r>
            <w:r>
              <w:rPr>
                <w:rFonts w:hint="default" w:ascii="Times New Roman" w:hAnsi="Times New Roman" w:eastAsia="宋体" w:cs="Times New Roman"/>
                <w:spacing w:val="0"/>
                <w:w w:val="100"/>
                <w:kern w:val="0"/>
                <w:position w:val="0"/>
                <w:sz w:val="24"/>
                <w:szCs w:val="24"/>
                <w:highlight w:val="none"/>
                <w:lang w:val="en-US" w:eastAsia="zh-CN"/>
              </w:rPr>
              <w:t>部门统一处理。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施工期固废只要严格执行国家环保法律法规以及当地政府的管理规定，科学管理、文明施工，本项目产生的固体废物处置率达100%，不会造成污染。</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本项目采取的环境保护措施可有效控制施工期污染，防治施工对大气环境、水环境、声环境造成影响，并且固体废物合理处置。项目采取的生态环境保护措施可有效避免施工期对动植物造成影响，防止水土流失。施工结束后，拆除临建设施，对施工临时占地进行表土回覆及生态恢复，临时占地可恢复至原有状态。项目环保投资与总投资占比合理，施工期环保设施运行稳定，可达到生态保护和修复目的。</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s="宋体"/>
                <w:bCs/>
                <w:spacing w:val="10"/>
                <w:szCs w:val="21"/>
              </w:rPr>
            </w:pPr>
            <w:r>
              <w:rPr>
                <w:rFonts w:hint="default" w:ascii="Times New Roman" w:hAnsi="Times New Roman" w:eastAsia="宋体" w:cs="Times New Roman"/>
                <w:spacing w:val="0"/>
                <w:w w:val="100"/>
                <w:kern w:val="0"/>
                <w:position w:val="0"/>
                <w:sz w:val="24"/>
                <w:szCs w:val="24"/>
                <w:highlight w:val="none"/>
                <w:lang w:val="en-US" w:eastAsia="zh-CN"/>
              </w:rPr>
              <w:t>本</w:t>
            </w:r>
            <w:r>
              <w:rPr>
                <w:rFonts w:hint="eastAsia" w:cs="Times New Roman"/>
                <w:spacing w:val="0"/>
                <w:w w:val="100"/>
                <w:kern w:val="0"/>
                <w:position w:val="0"/>
                <w:sz w:val="24"/>
                <w:szCs w:val="24"/>
                <w:highlight w:val="none"/>
                <w:lang w:val="en-US" w:eastAsia="zh-CN"/>
              </w:rPr>
              <w:t>项目设</w:t>
            </w:r>
            <w:r>
              <w:rPr>
                <w:rFonts w:hint="default" w:ascii="Times New Roman" w:hAnsi="Times New Roman" w:eastAsia="宋体" w:cs="Times New Roman"/>
                <w:spacing w:val="0"/>
                <w:w w:val="100"/>
                <w:kern w:val="0"/>
                <w:position w:val="0"/>
                <w:sz w:val="24"/>
                <w:szCs w:val="24"/>
                <w:highlight w:val="none"/>
                <w:lang w:val="en-US" w:eastAsia="zh-CN"/>
              </w:rPr>
              <w:t>监理单位，采取措施如下：1.建立环境保护、环境卫生管理和检查制度。2.对施工现场作业人员进行包括环境保护、环境卫生等内容的培训和考核。3.在建筑工程开工前15天向工程所在地环境保护部门申报登记。4.监理单位负责对项目建设过程进行监理，确保项目的建设质量、安全、环保措施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53" w:type="dxa"/>
            <w:noWrap w:val="0"/>
            <w:tcMar>
              <w:left w:w="28" w:type="dxa"/>
              <w:right w:w="28" w:type="dxa"/>
            </w:tcMar>
            <w:vAlign w:val="center"/>
          </w:tcPr>
          <w:p>
            <w:pPr>
              <w:adjustRightInd w:val="0"/>
              <w:snapToGrid w:val="0"/>
              <w:jc w:val="center"/>
              <w:rPr>
                <w:rFonts w:ascii="宋体" w:hAnsi="宋体" w:cs="宋体"/>
                <w:bCs/>
                <w:spacing w:val="10"/>
                <w:sz w:val="24"/>
                <w:szCs w:val="24"/>
              </w:rPr>
            </w:pPr>
            <w:r>
              <w:rPr>
                <w:rFonts w:hint="eastAsia" w:ascii="宋体" w:hAnsi="宋体" w:cs="宋体"/>
                <w:bCs/>
                <w:spacing w:val="10"/>
                <w:sz w:val="24"/>
                <w:szCs w:val="24"/>
              </w:rPr>
              <w:t>运营期生态环境保护措施</w:t>
            </w:r>
          </w:p>
        </w:tc>
        <w:tc>
          <w:tcPr>
            <w:tcW w:w="8457"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1、生态影响防治措施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投产后，运营期噪声主要是设备运营时产生的电晕噪声，选购优良设施与设备，高标准施工与设计，强化消声与降噪处理。运营期间，及时维护，为鸟类生存、栖息、繁衍提供安静空间，减少对野生鸟类的人为干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营运期间，应进一步加强管理，以减少对鸟类种群的干扰，降低鸟类撞线的发生率。以各种器材来驱赶鸟类远离输电线路，安装防鸟刺，降低鸟撞机会。</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2、地表水水环境</w:t>
            </w:r>
            <w:r>
              <w:rPr>
                <w:rFonts w:hint="default" w:ascii="仿宋_GB2312" w:hAnsi="仿宋_GB2312" w:eastAsia="仿宋_GB2312" w:cs="仿宋_GB2312"/>
                <w:bCs/>
                <w:iCs/>
                <w:color w:val="auto"/>
                <w:kern w:val="0"/>
                <w:sz w:val="32"/>
                <w:szCs w:val="32"/>
                <w:lang w:val="en-US" w:eastAsia="zh-CN" w:bidi="ar-SA"/>
              </w:rPr>
              <w:t>保护</w:t>
            </w:r>
            <w:r>
              <w:rPr>
                <w:rFonts w:hint="default" w:ascii="Times New Roman" w:hAnsi="Times New Roman" w:eastAsia="宋体" w:cs="Times New Roman"/>
                <w:spacing w:val="0"/>
                <w:w w:val="100"/>
                <w:kern w:val="0"/>
                <w:position w:val="0"/>
                <w:sz w:val="24"/>
                <w:szCs w:val="24"/>
                <w:highlight w:val="none"/>
                <w:lang w:val="en-US" w:eastAsia="zh-CN"/>
              </w:rPr>
              <w:t>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本项目变电站仅</w:t>
            </w:r>
            <w:r>
              <w:rPr>
                <w:rFonts w:hint="eastAsia" w:cs="Times New Roman"/>
                <w:spacing w:val="0"/>
                <w:w w:val="100"/>
                <w:kern w:val="0"/>
                <w:position w:val="0"/>
                <w:sz w:val="24"/>
                <w:szCs w:val="24"/>
                <w:highlight w:val="none"/>
                <w:lang w:val="en-US" w:eastAsia="zh-CN"/>
              </w:rPr>
              <w:t>在预留位置</w:t>
            </w:r>
            <w:r>
              <w:rPr>
                <w:rFonts w:hint="default" w:ascii="Times New Roman" w:hAnsi="Times New Roman" w:eastAsia="宋体" w:cs="Times New Roman"/>
                <w:spacing w:val="0"/>
                <w:w w:val="100"/>
                <w:kern w:val="0"/>
                <w:position w:val="0"/>
                <w:sz w:val="24"/>
                <w:szCs w:val="24"/>
                <w:highlight w:val="none"/>
                <w:lang w:val="en-US" w:eastAsia="zh-CN"/>
              </w:rPr>
              <w:t>扩建间隔，无人员增减，运营期无废水产生；输电线路运营期无废水产生。</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3、地下水水环境保护措施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本项目变电站仅</w:t>
            </w:r>
            <w:r>
              <w:rPr>
                <w:rFonts w:hint="eastAsia" w:cs="Times New Roman"/>
                <w:spacing w:val="0"/>
                <w:w w:val="100"/>
                <w:kern w:val="0"/>
                <w:position w:val="0"/>
                <w:sz w:val="24"/>
                <w:szCs w:val="24"/>
                <w:highlight w:val="none"/>
                <w:lang w:val="en-US" w:eastAsia="zh-CN"/>
              </w:rPr>
              <w:t>在预留位置</w:t>
            </w:r>
            <w:r>
              <w:rPr>
                <w:rFonts w:hint="default" w:ascii="Times New Roman" w:hAnsi="Times New Roman" w:eastAsia="宋体" w:cs="Times New Roman"/>
                <w:spacing w:val="0"/>
                <w:w w:val="100"/>
                <w:kern w:val="0"/>
                <w:position w:val="0"/>
                <w:sz w:val="24"/>
                <w:szCs w:val="24"/>
                <w:highlight w:val="none"/>
                <w:lang w:val="en-US" w:eastAsia="zh-CN"/>
              </w:rPr>
              <w:t>扩建间隔，运营期不会对地下水产生影响；输电线路运营期对地下水无影响。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4、大气保护措施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本项目运营期无</w:t>
            </w:r>
            <w:r>
              <w:rPr>
                <w:rFonts w:hint="eastAsia" w:cs="Times New Roman"/>
                <w:spacing w:val="0"/>
                <w:w w:val="100"/>
                <w:kern w:val="0"/>
                <w:position w:val="0"/>
                <w:sz w:val="24"/>
                <w:szCs w:val="24"/>
                <w:highlight w:val="none"/>
                <w:lang w:val="en-US" w:eastAsia="zh-CN"/>
              </w:rPr>
              <w:t>废气</w:t>
            </w:r>
            <w:r>
              <w:rPr>
                <w:rFonts w:hint="default" w:ascii="Times New Roman" w:hAnsi="Times New Roman" w:eastAsia="宋体" w:cs="Times New Roman"/>
                <w:spacing w:val="0"/>
                <w:w w:val="100"/>
                <w:kern w:val="0"/>
                <w:position w:val="0"/>
                <w:sz w:val="24"/>
                <w:szCs w:val="24"/>
                <w:highlight w:val="none"/>
                <w:lang w:val="en-US" w:eastAsia="zh-CN"/>
              </w:rPr>
              <w:t>产生，无大气保护措施。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5、声环境保护措施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本项目运营期噪声来源主要是输电线路电晕噪声。输电线路选用合适的的导线类型，确保对地高度。</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6、固废污染防治措施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本项目</w:t>
            </w:r>
            <w:r>
              <w:rPr>
                <w:rFonts w:hint="eastAsia" w:ascii="Times New Roman" w:hAnsi="Times New Roman" w:eastAsia="宋体" w:cs="Times New Roman"/>
                <w:color w:val="auto"/>
                <w:spacing w:val="0"/>
                <w:w w:val="100"/>
                <w:kern w:val="0"/>
                <w:position w:val="0"/>
                <w:sz w:val="24"/>
                <w:szCs w:val="24"/>
                <w:highlight w:val="none"/>
                <w:lang w:val="en-US" w:eastAsia="zh-CN"/>
              </w:rPr>
              <w:t>太保</w:t>
            </w:r>
            <w:r>
              <w:rPr>
                <w:rFonts w:hint="default" w:ascii="Times New Roman" w:hAnsi="Times New Roman" w:eastAsia="宋体" w:cs="Times New Roman"/>
                <w:color w:val="auto"/>
                <w:spacing w:val="0"/>
                <w:w w:val="100"/>
                <w:kern w:val="0"/>
                <w:position w:val="0"/>
                <w:sz w:val="24"/>
                <w:szCs w:val="24"/>
                <w:highlight w:val="none"/>
                <w:lang w:val="en-US" w:eastAsia="zh-CN"/>
              </w:rPr>
              <w:t>220kV变电站仅</w:t>
            </w:r>
            <w:r>
              <w:rPr>
                <w:rFonts w:hint="eastAsia" w:cs="Times New Roman"/>
                <w:color w:val="auto"/>
                <w:spacing w:val="0"/>
                <w:w w:val="100"/>
                <w:kern w:val="0"/>
                <w:position w:val="0"/>
                <w:sz w:val="24"/>
                <w:szCs w:val="24"/>
                <w:highlight w:val="none"/>
                <w:lang w:val="en-US" w:eastAsia="zh-CN"/>
              </w:rPr>
              <w:t>在预留位置</w:t>
            </w:r>
            <w:r>
              <w:rPr>
                <w:rFonts w:hint="default" w:ascii="Times New Roman" w:hAnsi="Times New Roman" w:eastAsia="宋体" w:cs="Times New Roman"/>
                <w:color w:val="auto"/>
                <w:spacing w:val="0"/>
                <w:w w:val="100"/>
                <w:kern w:val="0"/>
                <w:position w:val="0"/>
                <w:sz w:val="24"/>
                <w:szCs w:val="24"/>
                <w:highlight w:val="none"/>
                <w:lang w:val="en-US" w:eastAsia="zh-CN"/>
              </w:rPr>
              <w:t>扩建间隔，不涉及人员增减，运营期不新增生活垃圾；</w:t>
            </w:r>
            <w:r>
              <w:rPr>
                <w:rFonts w:hint="eastAsia" w:cs="Times New Roman"/>
                <w:color w:val="auto"/>
                <w:spacing w:val="0"/>
                <w:w w:val="100"/>
                <w:kern w:val="0"/>
                <w:position w:val="0"/>
                <w:sz w:val="24"/>
                <w:szCs w:val="24"/>
                <w:highlight w:val="none"/>
                <w:lang w:val="en-US" w:eastAsia="zh-CN"/>
              </w:rPr>
              <w:t>因</w:t>
            </w:r>
            <w:r>
              <w:rPr>
                <w:rFonts w:hint="default" w:ascii="Times New Roman" w:hAnsi="Times New Roman" w:eastAsia="宋体" w:cs="Times New Roman"/>
                <w:color w:val="auto"/>
                <w:spacing w:val="0"/>
                <w:w w:val="100"/>
                <w:kern w:val="0"/>
                <w:position w:val="0"/>
                <w:sz w:val="24"/>
                <w:szCs w:val="24"/>
                <w:highlight w:val="none"/>
                <w:lang w:val="en-US" w:eastAsia="zh-CN"/>
              </w:rPr>
              <w:t>仅</w:t>
            </w:r>
            <w:r>
              <w:rPr>
                <w:rFonts w:hint="eastAsia" w:cs="Times New Roman"/>
                <w:color w:val="auto"/>
                <w:spacing w:val="0"/>
                <w:w w:val="100"/>
                <w:kern w:val="0"/>
                <w:position w:val="0"/>
                <w:sz w:val="24"/>
                <w:szCs w:val="24"/>
                <w:highlight w:val="none"/>
                <w:lang w:val="en-US" w:eastAsia="zh-CN"/>
              </w:rPr>
              <w:t>在预留位置</w:t>
            </w:r>
            <w:r>
              <w:rPr>
                <w:rFonts w:hint="default" w:ascii="Times New Roman" w:hAnsi="Times New Roman" w:eastAsia="宋体" w:cs="Times New Roman"/>
                <w:color w:val="auto"/>
                <w:spacing w:val="0"/>
                <w:w w:val="100"/>
                <w:kern w:val="0"/>
                <w:position w:val="0"/>
                <w:sz w:val="24"/>
                <w:szCs w:val="24"/>
                <w:highlight w:val="none"/>
                <w:lang w:val="en-US" w:eastAsia="zh-CN"/>
              </w:rPr>
              <w:t>扩建间隔</w:t>
            </w:r>
            <w:r>
              <w:rPr>
                <w:rFonts w:hint="eastAsia" w:ascii="Times New Roman" w:hAnsi="Times New Roman" w:eastAsia="宋体" w:cs="Times New Roman"/>
                <w:color w:val="auto"/>
                <w:spacing w:val="0"/>
                <w:w w:val="100"/>
                <w:kern w:val="0"/>
                <w:position w:val="0"/>
                <w:sz w:val="24"/>
                <w:szCs w:val="24"/>
                <w:highlight w:val="none"/>
                <w:lang w:val="en-US" w:eastAsia="zh-CN"/>
              </w:rPr>
              <w:t>，故</w:t>
            </w:r>
            <w:r>
              <w:rPr>
                <w:rFonts w:hint="default" w:ascii="Times New Roman" w:hAnsi="Times New Roman" w:eastAsia="宋体" w:cs="Times New Roman"/>
                <w:color w:val="auto"/>
                <w:spacing w:val="0"/>
                <w:w w:val="100"/>
                <w:kern w:val="0"/>
                <w:position w:val="0"/>
                <w:sz w:val="24"/>
                <w:szCs w:val="24"/>
                <w:highlight w:val="none"/>
                <w:lang w:val="en-US" w:eastAsia="zh-CN"/>
              </w:rPr>
              <w:t>不新增</w:t>
            </w:r>
            <w:r>
              <w:rPr>
                <w:rFonts w:hint="eastAsia" w:cs="Times New Roman"/>
                <w:color w:val="auto"/>
                <w:spacing w:val="0"/>
                <w:w w:val="100"/>
                <w:kern w:val="0"/>
                <w:position w:val="0"/>
                <w:sz w:val="24"/>
                <w:szCs w:val="24"/>
                <w:highlight w:val="none"/>
                <w:lang w:val="en-US" w:eastAsia="zh-CN"/>
              </w:rPr>
              <w:t>危险废物</w:t>
            </w:r>
            <w:r>
              <w:rPr>
                <w:rFonts w:hint="default" w:ascii="Times New Roman" w:hAnsi="Times New Roman" w:eastAsia="宋体" w:cs="Times New Roman"/>
                <w:color w:val="auto"/>
                <w:spacing w:val="0"/>
                <w:w w:val="100"/>
                <w:kern w:val="0"/>
                <w:position w:val="0"/>
                <w:sz w:val="24"/>
                <w:szCs w:val="24"/>
                <w:highlight w:val="none"/>
                <w:lang w:val="en-US" w:eastAsia="zh-CN"/>
              </w:rPr>
              <w:t>。输电线路运营期无固体废物产生。</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7、环境风险防治措施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本项目变电站仅在预留位置扩建间隔，运营期无环境风险；输电线路运营期无环境风险。</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8、电磁辐射防护措施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为保证项目的电磁辐射环境符合标准，建设单位应采取以下措施：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（1）合理设计并保证设备及配件加工精良</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对于变电站站设备的金属附件，如吊夹环、保护角、垫片和接头等，设计时就要确定合理的外形和尺寸，以避免出线高电位梯度点；所有的边角都应挫圆，螺栓头也应打圆或屏蔽，避免存在尖角和凸出物；特别是在出现最大电压梯度的地方，金属附件上的保护电镀层应确保光滑。</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（2）控制绝缘子表面放电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使用设计合理的绝缘子，要特别关注绝缘子的几何形状及关键部位材料的特性，尽量使用能改善绝缘子表面或沿绝缘子串电压分布的保护装置。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（3）减小因接触不良而产生的火花放电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在安装设备时，保证所有的固定螺栓都可靠拧紧，导电元件尽可能接地，或连接导线电位。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pPr>
            <w:r>
              <w:rPr>
                <w:rFonts w:hint="default" w:ascii="Times New Roman" w:hAnsi="Times New Roman" w:eastAsia="宋体" w:cs="Times New Roman"/>
                <w:spacing w:val="0"/>
                <w:w w:val="100"/>
                <w:kern w:val="0"/>
                <w:position w:val="0"/>
                <w:sz w:val="24"/>
                <w:szCs w:val="24"/>
                <w:highlight w:val="none"/>
                <w:lang w:val="en-US" w:eastAsia="zh-CN"/>
              </w:rPr>
              <w:t>严格按照规划设计进行工程施工、设备选型和采购，变电站内大功率的电磁振荡设备采取必要的屏蔽措施，将机箱的孔口、门缝连接缝密封；合理布局变电站电气设备，保证导体和电气设备安全距离；选用具有抗干扰能力的设备，设置防雷接地保护装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2" w:hRule="atLeast"/>
          <w:jc w:val="center"/>
        </w:trPr>
        <w:tc>
          <w:tcPr>
            <w:tcW w:w="753" w:type="dxa"/>
            <w:noWrap w:val="0"/>
            <w:vAlign w:val="center"/>
          </w:tcPr>
          <w:p>
            <w:pPr>
              <w:adjustRightInd w:val="0"/>
              <w:snapToGrid w:val="0"/>
              <w:jc w:val="center"/>
              <w:rPr>
                <w:rFonts w:ascii="宋体" w:hAnsi="宋体" w:cs="宋体"/>
                <w:bCs/>
                <w:spacing w:val="10"/>
                <w:sz w:val="24"/>
                <w:szCs w:val="24"/>
              </w:rPr>
            </w:pPr>
            <w:r>
              <w:rPr>
                <w:rFonts w:hint="eastAsia" w:ascii="宋体" w:hAnsi="宋体"/>
                <w:bCs/>
                <w:sz w:val="24"/>
                <w:szCs w:val="24"/>
              </w:rPr>
              <w:t>其他</w:t>
            </w:r>
          </w:p>
        </w:tc>
        <w:tc>
          <w:tcPr>
            <w:tcW w:w="8457"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1、</w:t>
            </w:r>
            <w:r>
              <w:rPr>
                <w:rFonts w:hint="default" w:ascii="Times New Roman" w:hAnsi="Times New Roman" w:eastAsia="宋体" w:cs="Times New Roman"/>
                <w:spacing w:val="0"/>
                <w:w w:val="100"/>
                <w:kern w:val="0"/>
                <w:position w:val="0"/>
                <w:sz w:val="24"/>
                <w:szCs w:val="24"/>
                <w:highlight w:val="none"/>
                <w:lang w:val="en-US" w:eastAsia="zh-CN"/>
              </w:rPr>
              <w:t>环境管理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项目环境保护管理是指建设单位、设计单位和施工单位在项目的可行性研究、项目设计、建设期和运行期必须遵守国家、省市的有关环境保护法规、政策、标准，落实环境影响评价报告中拟定采取的污染防治措施，并确保环境保护设施处于正常运行状态。环境管理计划制定出机构的能力建设、执行各项防治措施的职责、实施进度、监测内容和报告程序，以及资金投入和来源等内容。在项目建设期和运行期，接受地方环境保护主管部门的监督和指导，并配合环境保护主管部门完成对项目建设的</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三同时</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审查。项目运行期环境管理机构及职责：项目运行期的环境管理机构，负责场内的环境管理和监测工作，对照国家环保法律、法规和标准，及时监督和掌握污染情况。项目环境管理机构的基本职责为：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（1）</w:t>
            </w:r>
            <w:r>
              <w:rPr>
                <w:rFonts w:hint="default" w:ascii="Times New Roman" w:hAnsi="Times New Roman" w:eastAsia="宋体" w:cs="Times New Roman"/>
                <w:spacing w:val="0"/>
                <w:w w:val="100"/>
                <w:kern w:val="0"/>
                <w:position w:val="0"/>
                <w:sz w:val="24"/>
                <w:szCs w:val="24"/>
                <w:highlight w:val="none"/>
                <w:lang w:val="en-US" w:eastAsia="zh-CN"/>
              </w:rPr>
              <w:t>宣传、组织贯彻国家有关环境保护的法律、法规、规章，搞好项目的环境保护工作；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执行上级主管部门建立的各种环境管理制度；</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（3）</w:t>
            </w:r>
            <w:r>
              <w:rPr>
                <w:rFonts w:hint="default" w:ascii="Times New Roman" w:hAnsi="Times New Roman" w:eastAsia="宋体" w:cs="Times New Roman"/>
                <w:spacing w:val="0"/>
                <w:w w:val="100"/>
                <w:kern w:val="0"/>
                <w:position w:val="0"/>
                <w:sz w:val="24"/>
                <w:szCs w:val="24"/>
                <w:highlight w:val="none"/>
                <w:lang w:val="en-US" w:eastAsia="zh-CN"/>
              </w:rPr>
              <w:t>监督本项目环保设施和设备的安装、调试和运行，保证“三同时”验收合格；</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（4）</w:t>
            </w:r>
            <w:r>
              <w:rPr>
                <w:rFonts w:hint="default" w:ascii="Times New Roman" w:hAnsi="Times New Roman" w:eastAsia="宋体" w:cs="Times New Roman"/>
                <w:spacing w:val="0"/>
                <w:w w:val="100"/>
                <w:kern w:val="0"/>
                <w:position w:val="0"/>
                <w:sz w:val="24"/>
                <w:szCs w:val="24"/>
                <w:highlight w:val="none"/>
                <w:lang w:val="en-US" w:eastAsia="zh-CN"/>
              </w:rPr>
              <w:t>领导并组织项目运行期的环境监测工作，建立档案；</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（5）</w:t>
            </w:r>
            <w:r>
              <w:rPr>
                <w:rFonts w:hint="default" w:ascii="Times New Roman" w:hAnsi="Times New Roman" w:eastAsia="宋体" w:cs="Times New Roman"/>
                <w:spacing w:val="0"/>
                <w:w w:val="100"/>
                <w:kern w:val="0"/>
                <w:position w:val="0"/>
                <w:sz w:val="24"/>
                <w:szCs w:val="24"/>
                <w:highlight w:val="none"/>
                <w:lang w:val="en-US" w:eastAsia="zh-CN"/>
              </w:rPr>
              <w:t>调查、处理项目产生的污染事故和污染纠纷；</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（6）</w:t>
            </w:r>
            <w:r>
              <w:rPr>
                <w:rFonts w:hint="default" w:ascii="Times New Roman" w:hAnsi="Times New Roman" w:eastAsia="宋体" w:cs="Times New Roman"/>
                <w:spacing w:val="0"/>
                <w:w w:val="100"/>
                <w:kern w:val="0"/>
                <w:position w:val="0"/>
                <w:sz w:val="24"/>
                <w:szCs w:val="24"/>
                <w:highlight w:val="none"/>
                <w:lang w:val="en-US" w:eastAsia="zh-CN"/>
              </w:rPr>
              <w:t>开展环保教育、技术培训和学术交流活动，提高员工素质。</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eastAsia" w:ascii="Times New Roman" w:hAnsi="Times New Roman" w:eastAsia="宋体" w:cs="Times New Roman"/>
                <w:spacing w:val="0"/>
                <w:w w:val="100"/>
                <w:kern w:val="0"/>
                <w:position w:val="0"/>
                <w:sz w:val="24"/>
                <w:szCs w:val="24"/>
                <w:highlight w:val="none"/>
                <w:lang w:val="en-US" w:eastAsia="zh-CN"/>
              </w:rPr>
              <w:t>2、</w:t>
            </w:r>
            <w:r>
              <w:rPr>
                <w:rFonts w:hint="default" w:ascii="Times New Roman" w:hAnsi="Times New Roman" w:eastAsia="宋体" w:cs="Times New Roman"/>
                <w:spacing w:val="0"/>
                <w:w w:val="100"/>
                <w:kern w:val="0"/>
                <w:position w:val="0"/>
                <w:sz w:val="24"/>
                <w:szCs w:val="24"/>
                <w:highlight w:val="none"/>
                <w:lang w:val="en-US" w:eastAsia="zh-CN"/>
              </w:rPr>
              <w:t>监测计划</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环境监测（包括污染源监测）是企业环境保护的重要组成部分，也是企业的一项规范化制度。通过环境监测，进行数据整理分析，建立监测档案，可为污染源治理，掌握污染物排放变化规律提供依据，为上级环保部门进行区域环境规划、管理执法提供依据。同时，环境监测也是企业实现污染物总量控制，做到清洁生产的重要保证手段之一。为及时了解项目在运行期对环境影响的范围和程度，以便采取相应的措施，同时验证已采取环保措施的效益。结合工程与环境特点，确定项目施工期的环境监测内容，各个指标的监测均按国家标准监测方法进行。</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根据《排污单位自行监测技术指南 总则》（HJ819-2017），排污单位应掌握本单位的污染排放状况及其对周边环境质量的影响，对污染物排放、周边环境质量影响进行监测。企业委托有资质的监测单位进行污染源监测，并将监测报告存档。</w:t>
            </w:r>
          </w:p>
          <w:p>
            <w:pPr>
              <w:pStyle w:val="44"/>
              <w:keepNext w:val="0"/>
              <w:keepLines w:val="0"/>
              <w:pageBreakBefore w:val="0"/>
              <w:widowControl w:val="0"/>
              <w:tabs>
                <w:tab w:val="left" w:pos="8207"/>
              </w:tabs>
              <w:kinsoku/>
              <w:wordWrap/>
              <w:overflowPunct/>
              <w:topLinePunct w:val="0"/>
              <w:autoSpaceDE/>
              <w:autoSpaceDN/>
              <w:bidi w:val="0"/>
              <w:adjustRightInd w:val="0"/>
              <w:snapToGrid w:val="0"/>
              <w:spacing w:before="0" w:beforeLines="0" w:line="240" w:lineRule="auto"/>
              <w:ind w:left="0" w:leftChars="0" w:firstLine="0"/>
              <w:contextualSpacing/>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5-1</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val="en-US" w:eastAsia="zh-CN"/>
              </w:rPr>
              <w:t>运营期</w:t>
            </w:r>
            <w:r>
              <w:rPr>
                <w:rFonts w:hint="default" w:ascii="Times New Roman" w:hAnsi="Times New Roman" w:eastAsia="宋体" w:cs="Times New Roman"/>
                <w:b/>
                <w:bCs/>
                <w:color w:val="auto"/>
                <w:sz w:val="21"/>
                <w:szCs w:val="21"/>
                <w:highlight w:val="none"/>
              </w:rPr>
              <w:t>污染源监测计划一览表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1"/>
              <w:gridCol w:w="666"/>
              <w:gridCol w:w="599"/>
              <w:gridCol w:w="747"/>
              <w:gridCol w:w="653"/>
              <w:gridCol w:w="1306"/>
              <w:gridCol w:w="1180"/>
              <w:gridCol w:w="378"/>
              <w:gridCol w:w="1107"/>
              <w:gridCol w:w="12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219"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项目</w:t>
                  </w:r>
                </w:p>
              </w:tc>
              <w:tc>
                <w:tcPr>
                  <w:tcW w:w="404"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污染源</w:t>
                  </w:r>
                </w:p>
              </w:tc>
              <w:tc>
                <w:tcPr>
                  <w:tcW w:w="363"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监测指标</w:t>
                  </w:r>
                </w:p>
              </w:tc>
              <w:tc>
                <w:tcPr>
                  <w:tcW w:w="453"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环境保护措施</w:t>
                  </w:r>
                </w:p>
              </w:tc>
              <w:tc>
                <w:tcPr>
                  <w:tcW w:w="396"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监测点位</w:t>
                  </w:r>
                </w:p>
              </w:tc>
              <w:tc>
                <w:tcPr>
                  <w:tcW w:w="792"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执行标准</w:t>
                  </w:r>
                </w:p>
              </w:tc>
              <w:tc>
                <w:tcPr>
                  <w:tcW w:w="716"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监测频次</w:t>
                  </w:r>
                </w:p>
              </w:tc>
              <w:tc>
                <w:tcPr>
                  <w:tcW w:w="229"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监测技术</w:t>
                  </w:r>
                </w:p>
              </w:tc>
              <w:tc>
                <w:tcPr>
                  <w:tcW w:w="671"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采样方法</w:t>
                  </w:r>
                </w:p>
              </w:tc>
              <w:tc>
                <w:tcPr>
                  <w:tcW w:w="753"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监测分析方法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9" w:hRule="atLeast"/>
                <w:jc w:val="center"/>
              </w:trPr>
              <w:tc>
                <w:tcPr>
                  <w:tcW w:w="219"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噪声</w:t>
                  </w:r>
                </w:p>
              </w:tc>
              <w:tc>
                <w:tcPr>
                  <w:tcW w:w="404"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变电站、输电线路</w:t>
                  </w:r>
                </w:p>
              </w:tc>
              <w:tc>
                <w:tcPr>
                  <w:tcW w:w="363"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昼夜噪声等效A声级</w:t>
                  </w:r>
                </w:p>
              </w:tc>
              <w:tc>
                <w:tcPr>
                  <w:tcW w:w="453"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减振</w:t>
                  </w:r>
                  <w:r>
                    <w:rPr>
                      <w:rFonts w:hint="default" w:ascii="Times New Roman" w:hAnsi="Times New Roman" w:eastAsia="宋体" w:cs="Times New Roman"/>
                      <w:color w:val="auto"/>
                      <w:sz w:val="18"/>
                      <w:szCs w:val="18"/>
                      <w:highlight w:val="none"/>
                      <w:lang w:eastAsia="zh-CN"/>
                    </w:rPr>
                    <w:t>、隔声、距离衰减、绿化等</w:t>
                  </w:r>
                  <w:r>
                    <w:rPr>
                      <w:rFonts w:hint="default" w:ascii="Times New Roman" w:hAnsi="Times New Roman" w:eastAsia="宋体" w:cs="Times New Roman"/>
                      <w:color w:val="auto"/>
                      <w:sz w:val="18"/>
                      <w:szCs w:val="18"/>
                      <w:highlight w:val="none"/>
                    </w:rPr>
                    <w:t>措施</w:t>
                  </w:r>
                </w:p>
              </w:tc>
              <w:tc>
                <w:tcPr>
                  <w:tcW w:w="396"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变电站站界外、输电线路两侧</w:t>
                  </w:r>
                </w:p>
              </w:tc>
              <w:tc>
                <w:tcPr>
                  <w:tcW w:w="792"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FF0000"/>
                      <w:sz w:val="18"/>
                      <w:szCs w:val="18"/>
                      <w:highlight w:val="none"/>
                      <w:lang w:val="en-US" w:eastAsia="zh-CN"/>
                    </w:rPr>
                    <w:t>变电站站界外</w:t>
                  </w:r>
                  <w:r>
                    <w:rPr>
                      <w:rFonts w:hint="eastAsia" w:cs="Times New Roman"/>
                      <w:color w:val="FF0000"/>
                      <w:sz w:val="18"/>
                      <w:szCs w:val="18"/>
                      <w:highlight w:val="none"/>
                      <w:lang w:val="en-US" w:eastAsia="zh-CN"/>
                    </w:rPr>
                    <w:t>执行</w:t>
                  </w:r>
                  <w:r>
                    <w:rPr>
                      <w:rFonts w:hint="default" w:ascii="Times New Roman" w:hAnsi="Times New Roman" w:eastAsia="宋体" w:cs="Times New Roman"/>
                      <w:color w:val="FF0000"/>
                      <w:sz w:val="18"/>
                      <w:szCs w:val="18"/>
                      <w:highlight w:val="none"/>
                    </w:rPr>
                    <w:t>《声环境质量标准》（GB3096—2008）中</w:t>
                  </w:r>
                  <w:r>
                    <w:rPr>
                      <w:rFonts w:hint="eastAsia" w:cs="Times New Roman"/>
                      <w:color w:val="FF0000"/>
                      <w:sz w:val="18"/>
                      <w:szCs w:val="18"/>
                      <w:highlight w:val="none"/>
                      <w:lang w:val="en-US" w:eastAsia="zh-CN"/>
                    </w:rPr>
                    <w:t>2</w:t>
                  </w:r>
                  <w:r>
                    <w:rPr>
                      <w:rFonts w:hint="default" w:ascii="Times New Roman" w:hAnsi="Times New Roman" w:eastAsia="宋体" w:cs="Times New Roman"/>
                      <w:color w:val="FF0000"/>
                      <w:sz w:val="18"/>
                      <w:szCs w:val="18"/>
                      <w:highlight w:val="none"/>
                    </w:rPr>
                    <w:t>级标准</w:t>
                  </w:r>
                  <w:r>
                    <w:rPr>
                      <w:rFonts w:hint="eastAsia" w:ascii="Times New Roman" w:hAnsi="Times New Roman" w:eastAsia="宋体" w:cs="Times New Roman"/>
                      <w:color w:val="FF0000"/>
                      <w:sz w:val="18"/>
                      <w:szCs w:val="18"/>
                      <w:highlight w:val="none"/>
                      <w:lang w:eastAsia="zh-CN"/>
                    </w:rPr>
                    <w:t>及</w:t>
                  </w:r>
                  <w:r>
                    <w:rPr>
                      <w:rFonts w:hint="default" w:ascii="Times New Roman" w:hAnsi="Times New Roman" w:eastAsia="宋体" w:cs="Times New Roman"/>
                      <w:color w:val="FF0000"/>
                      <w:sz w:val="18"/>
                      <w:szCs w:val="18"/>
                      <w:highlight w:val="none"/>
                      <w:lang w:eastAsia="zh-CN"/>
                    </w:rPr>
                    <w:t>《工业企业厂界环境噪声排放标准》(GB12348-2008)中</w:t>
                  </w:r>
                  <w:r>
                    <w:rPr>
                      <w:rFonts w:hint="eastAsia" w:cs="Times New Roman"/>
                      <w:color w:val="FF0000"/>
                      <w:sz w:val="18"/>
                      <w:szCs w:val="18"/>
                      <w:highlight w:val="none"/>
                      <w:lang w:val="en-US" w:eastAsia="zh-CN"/>
                    </w:rPr>
                    <w:t>2</w:t>
                  </w:r>
                  <w:r>
                    <w:rPr>
                      <w:rFonts w:hint="default" w:ascii="Times New Roman" w:hAnsi="Times New Roman" w:eastAsia="宋体" w:cs="Times New Roman"/>
                      <w:color w:val="FF0000"/>
                      <w:sz w:val="18"/>
                      <w:szCs w:val="18"/>
                      <w:highlight w:val="none"/>
                      <w:lang w:eastAsia="zh-CN"/>
                    </w:rPr>
                    <w:t>类标准</w:t>
                  </w:r>
                  <w:r>
                    <w:rPr>
                      <w:rFonts w:hint="eastAsia" w:cs="Times New Roman"/>
                      <w:color w:val="FF0000"/>
                      <w:sz w:val="18"/>
                      <w:szCs w:val="18"/>
                      <w:highlight w:val="none"/>
                      <w:lang w:eastAsia="zh-CN"/>
                    </w:rPr>
                    <w:t>；</w:t>
                  </w:r>
                  <w:r>
                    <w:rPr>
                      <w:rFonts w:hint="eastAsia" w:cs="Times New Roman"/>
                      <w:color w:val="FF0000"/>
                      <w:sz w:val="18"/>
                      <w:szCs w:val="18"/>
                      <w:highlight w:val="none"/>
                      <w:lang w:val="en-US" w:eastAsia="zh-CN"/>
                    </w:rPr>
                    <w:t>输电线路（位于经开区的部分）执行</w:t>
                  </w:r>
                  <w:r>
                    <w:rPr>
                      <w:rFonts w:hint="eastAsia" w:cs="Times New Roman"/>
                      <w:color w:val="FF0000"/>
                      <w:sz w:val="18"/>
                      <w:szCs w:val="18"/>
                      <w:highlight w:val="none"/>
                      <w:lang w:eastAsia="zh-CN"/>
                    </w:rPr>
                    <w:t>《声环境质量标准》(GB3096-2008)中的</w:t>
                  </w:r>
                  <w:r>
                    <w:rPr>
                      <w:rFonts w:hint="eastAsia" w:cs="Times New Roman"/>
                      <w:color w:val="FF0000"/>
                      <w:sz w:val="18"/>
                      <w:szCs w:val="18"/>
                      <w:highlight w:val="none"/>
                      <w:lang w:val="en-US" w:eastAsia="zh-CN"/>
                    </w:rPr>
                    <w:t>3</w:t>
                  </w:r>
                  <w:r>
                    <w:rPr>
                      <w:rFonts w:hint="eastAsia" w:cs="Times New Roman"/>
                      <w:color w:val="FF0000"/>
                      <w:sz w:val="18"/>
                      <w:szCs w:val="18"/>
                      <w:highlight w:val="none"/>
                      <w:lang w:eastAsia="zh-CN"/>
                    </w:rPr>
                    <w:t>类标准；</w:t>
                  </w:r>
                  <w:r>
                    <w:rPr>
                      <w:rFonts w:hint="eastAsia" w:cs="Times New Roman"/>
                      <w:color w:val="FF0000"/>
                      <w:sz w:val="18"/>
                      <w:szCs w:val="18"/>
                      <w:highlight w:val="none"/>
                      <w:lang w:val="en-US" w:eastAsia="zh-CN"/>
                    </w:rPr>
                    <w:t>输电线路（位于其他地区的部分）执行</w:t>
                  </w:r>
                  <w:r>
                    <w:rPr>
                      <w:rFonts w:hint="eastAsia" w:cs="Times New Roman"/>
                      <w:color w:val="FF0000"/>
                      <w:sz w:val="18"/>
                      <w:szCs w:val="18"/>
                      <w:highlight w:val="none"/>
                      <w:lang w:eastAsia="zh-CN"/>
                    </w:rPr>
                    <w:t>《声环境质量标准》(GB3096-2008)中的</w:t>
                  </w:r>
                  <w:r>
                    <w:rPr>
                      <w:rFonts w:hint="eastAsia" w:cs="Times New Roman"/>
                      <w:color w:val="FF0000"/>
                      <w:sz w:val="18"/>
                      <w:szCs w:val="18"/>
                      <w:highlight w:val="none"/>
                      <w:lang w:val="en-US" w:eastAsia="zh-CN"/>
                    </w:rPr>
                    <w:t>1</w:t>
                  </w:r>
                  <w:r>
                    <w:rPr>
                      <w:rFonts w:hint="eastAsia" w:cs="Times New Roman"/>
                      <w:color w:val="FF0000"/>
                      <w:sz w:val="18"/>
                      <w:szCs w:val="18"/>
                      <w:highlight w:val="none"/>
                      <w:lang w:eastAsia="zh-CN"/>
                    </w:rPr>
                    <w:t>类标准</w:t>
                  </w:r>
                </w:p>
              </w:tc>
              <w:tc>
                <w:tcPr>
                  <w:tcW w:w="716"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zh-CN"/>
                    </w:rPr>
                    <w:t>一次/季</w:t>
                  </w:r>
                  <w:r>
                    <w:rPr>
                      <w:rFonts w:hint="eastAsia" w:ascii="Times New Roman" w:hAnsi="Times New Roman" w:eastAsia="宋体" w:cs="Times New Roman"/>
                      <w:color w:val="auto"/>
                      <w:sz w:val="18"/>
                      <w:szCs w:val="18"/>
                      <w:highlight w:val="none"/>
                      <w:lang w:val="zh-CN"/>
                    </w:rPr>
                    <w:t>度</w:t>
                  </w:r>
                  <w:r>
                    <w:rPr>
                      <w:rFonts w:hint="default" w:ascii="Times New Roman" w:hAnsi="Times New Roman" w:eastAsia="宋体" w:cs="Times New Roman"/>
                      <w:color w:val="auto"/>
                      <w:sz w:val="18"/>
                      <w:szCs w:val="18"/>
                      <w:highlight w:val="none"/>
                      <w:lang w:val="zh-CN"/>
                    </w:rPr>
                    <w:t>（昼、夜间）</w:t>
                  </w:r>
                </w:p>
              </w:tc>
              <w:tc>
                <w:tcPr>
                  <w:tcW w:w="229"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手工监测技术</w:t>
                  </w:r>
                </w:p>
              </w:tc>
              <w:tc>
                <w:tcPr>
                  <w:tcW w:w="671"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参照《声环境质量标准》（GB3096—2008）</w:t>
                  </w:r>
                  <w:r>
                    <w:rPr>
                      <w:rFonts w:hint="eastAsia" w:ascii="Times New Roman" w:hAnsi="Times New Roman" w:eastAsia="宋体" w:cs="Times New Roman"/>
                      <w:color w:val="auto"/>
                      <w:sz w:val="18"/>
                      <w:szCs w:val="18"/>
                      <w:highlight w:val="none"/>
                      <w:lang w:eastAsia="zh-CN"/>
                    </w:rPr>
                    <w:t>及</w:t>
                  </w:r>
                  <w:r>
                    <w:rPr>
                      <w:rFonts w:hint="default" w:ascii="Times New Roman" w:hAnsi="Times New Roman" w:eastAsia="宋体" w:cs="Times New Roman"/>
                      <w:color w:val="auto"/>
                      <w:sz w:val="18"/>
                      <w:szCs w:val="18"/>
                      <w:highlight w:val="none"/>
                      <w:lang w:eastAsia="zh-CN"/>
                    </w:rPr>
                    <w:t>《工业企业厂界环境噪声排放标准》(GB12348-2008)</w:t>
                  </w:r>
                </w:p>
              </w:tc>
              <w:tc>
                <w:tcPr>
                  <w:tcW w:w="753"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参照《声环境质量标准》（GB3096—2008）</w:t>
                  </w:r>
                  <w:r>
                    <w:rPr>
                      <w:rFonts w:hint="eastAsia" w:ascii="Times New Roman" w:hAnsi="Times New Roman" w:eastAsia="宋体" w:cs="Times New Roman"/>
                      <w:color w:val="auto"/>
                      <w:sz w:val="18"/>
                      <w:szCs w:val="18"/>
                      <w:highlight w:val="none"/>
                      <w:lang w:eastAsia="zh-CN"/>
                    </w:rPr>
                    <w:t>及</w:t>
                  </w:r>
                  <w:r>
                    <w:rPr>
                      <w:rFonts w:hint="default" w:ascii="Times New Roman" w:hAnsi="Times New Roman" w:eastAsia="宋体" w:cs="Times New Roman"/>
                      <w:color w:val="auto"/>
                      <w:sz w:val="18"/>
                      <w:szCs w:val="18"/>
                      <w:highlight w:val="none"/>
                      <w:lang w:eastAsia="zh-CN"/>
                    </w:rPr>
                    <w:t>《工业企业厂界环境噪声排放标准》(GB12348-2008</w:t>
                  </w:r>
                  <w:r>
                    <w:rPr>
                      <w:rFonts w:hint="default" w:ascii="Times New Roman" w:hAnsi="Times New Roman" w:eastAsia="宋体" w:cs="Times New Roman"/>
                      <w:color w:val="auto"/>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8" w:hRule="atLeast"/>
                <w:jc w:val="center"/>
              </w:trPr>
              <w:tc>
                <w:tcPr>
                  <w:tcW w:w="219"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000000"/>
                      <w:sz w:val="18"/>
                      <w:szCs w:val="18"/>
                      <w:highlight w:val="none"/>
                      <w:lang w:eastAsia="zh-CN"/>
                    </w:rPr>
                  </w:pPr>
                  <w:r>
                    <w:rPr>
                      <w:rFonts w:hint="default" w:ascii="Times New Roman" w:hAnsi="Times New Roman" w:eastAsia="宋体" w:cs="Times New Roman"/>
                      <w:color w:val="000000"/>
                      <w:sz w:val="18"/>
                      <w:szCs w:val="18"/>
                      <w:highlight w:val="none"/>
                      <w:lang w:eastAsia="zh-CN"/>
                    </w:rPr>
                    <w:t>电磁辐射</w:t>
                  </w:r>
                </w:p>
              </w:tc>
              <w:tc>
                <w:tcPr>
                  <w:tcW w:w="404"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eastAsia="宋体" w:cs="Times New Roman"/>
                      <w:color w:val="000000"/>
                      <w:sz w:val="18"/>
                      <w:szCs w:val="18"/>
                      <w:highlight w:val="none"/>
                      <w:lang w:val="en-US" w:eastAsia="zh-CN"/>
                    </w:rPr>
                    <w:t>变电</w:t>
                  </w:r>
                  <w:r>
                    <w:rPr>
                      <w:rFonts w:hint="default" w:ascii="Times New Roman" w:hAnsi="Times New Roman" w:eastAsia="宋体" w:cs="Times New Roman"/>
                      <w:color w:val="000000"/>
                      <w:sz w:val="18"/>
                      <w:szCs w:val="18"/>
                      <w:highlight w:val="none"/>
                      <w:lang w:val="en-US" w:eastAsia="zh-CN"/>
                    </w:rPr>
                    <w:t>站</w:t>
                  </w:r>
                  <w:r>
                    <w:rPr>
                      <w:rFonts w:hint="eastAsia" w:ascii="Times New Roman" w:hAnsi="Times New Roman" w:eastAsia="宋体" w:cs="Times New Roman"/>
                      <w:color w:val="000000"/>
                      <w:sz w:val="18"/>
                      <w:szCs w:val="18"/>
                      <w:highlight w:val="none"/>
                      <w:lang w:val="en-US" w:eastAsia="zh-CN"/>
                    </w:rPr>
                    <w:t>、输电线路</w:t>
                  </w:r>
                </w:p>
              </w:tc>
              <w:tc>
                <w:tcPr>
                  <w:tcW w:w="363"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000000"/>
                      <w:sz w:val="18"/>
                      <w:szCs w:val="18"/>
                      <w:highlight w:val="none"/>
                      <w:lang w:eastAsia="zh-CN"/>
                    </w:rPr>
                  </w:pPr>
                  <w:r>
                    <w:rPr>
                      <w:rFonts w:hint="default" w:ascii="Times New Roman" w:hAnsi="Times New Roman" w:eastAsia="宋体" w:cs="Times New Roman"/>
                      <w:color w:val="000000"/>
                      <w:sz w:val="18"/>
                      <w:szCs w:val="18"/>
                      <w:highlight w:val="none"/>
                      <w:lang w:val="en-US" w:eastAsia="zh-CN"/>
                    </w:rPr>
                    <w:t>工频电场、工频磁场</w:t>
                  </w:r>
                </w:p>
              </w:tc>
              <w:tc>
                <w:tcPr>
                  <w:tcW w:w="453"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jc w:val="left"/>
                    <w:textAlignment w:val="auto"/>
                    <w:rPr>
                      <w:rFonts w:hint="default" w:ascii="Times New Roman" w:hAnsi="Times New Roman" w:eastAsia="宋体" w:cs="Times New Roman"/>
                      <w:color w:val="000000"/>
                      <w:sz w:val="18"/>
                      <w:szCs w:val="18"/>
                      <w:highlight w:val="none"/>
                      <w:lang w:val="en-US" w:eastAsia="zh-CN"/>
                    </w:rPr>
                  </w:pPr>
                  <w:r>
                    <w:rPr>
                      <w:rFonts w:hint="default" w:ascii="Times New Roman" w:hAnsi="Times New Roman" w:eastAsia="宋体" w:cs="Times New Roman"/>
                      <w:color w:val="000000"/>
                      <w:sz w:val="18"/>
                      <w:szCs w:val="18"/>
                      <w:highlight w:val="none"/>
                      <w:lang w:val="en-US" w:eastAsia="zh-CN"/>
                    </w:rPr>
                    <w:t>优化设计、保证安全距离等</w:t>
                  </w:r>
                </w:p>
              </w:tc>
              <w:tc>
                <w:tcPr>
                  <w:tcW w:w="396"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eastAsia="宋体" w:cs="Times New Roman"/>
                      <w:color w:val="000000"/>
                      <w:sz w:val="18"/>
                      <w:szCs w:val="18"/>
                      <w:highlight w:val="none"/>
                      <w:lang w:val="en-US" w:eastAsia="zh-CN"/>
                    </w:rPr>
                    <w:t>变电站站界外、输电线路两侧</w:t>
                  </w:r>
                </w:p>
              </w:tc>
              <w:tc>
                <w:tcPr>
                  <w:tcW w:w="792"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000000"/>
                      <w:sz w:val="18"/>
                      <w:szCs w:val="18"/>
                      <w:highlight w:val="none"/>
                      <w:lang w:val="en-US" w:eastAsia="zh-CN"/>
                    </w:rPr>
                  </w:pPr>
                  <w:r>
                    <w:rPr>
                      <w:rFonts w:hint="default" w:ascii="Times New Roman" w:hAnsi="Times New Roman" w:eastAsia="宋体" w:cs="Times New Roman"/>
                      <w:color w:val="000000"/>
                      <w:sz w:val="18"/>
                      <w:szCs w:val="18"/>
                      <w:highlight w:val="none"/>
                      <w:lang w:val="en-US" w:eastAsia="zh-CN"/>
                    </w:rPr>
                    <w:t>《电磁环境控制限值》（GB8702-2014）</w:t>
                  </w:r>
                </w:p>
              </w:tc>
              <w:tc>
                <w:tcPr>
                  <w:tcW w:w="716"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000000"/>
                      <w:sz w:val="18"/>
                      <w:szCs w:val="18"/>
                      <w:highlight w:val="none"/>
                      <w:lang w:eastAsia="zh-CN"/>
                    </w:rPr>
                  </w:pPr>
                  <w:r>
                    <w:rPr>
                      <w:rFonts w:hint="default" w:ascii="Times New Roman" w:hAnsi="Times New Roman" w:eastAsia="宋体" w:cs="Times New Roman"/>
                      <w:color w:val="000000"/>
                      <w:sz w:val="18"/>
                      <w:szCs w:val="18"/>
                      <w:highlight w:val="none"/>
                      <w:lang w:val="en-US" w:eastAsia="zh-CN"/>
                    </w:rPr>
                    <w:t>本工程完成后正式投产后第一年结合竣工环境保护验收监测一次，根据需要，必要时进行再次监测</w:t>
                  </w:r>
                </w:p>
              </w:tc>
              <w:tc>
                <w:tcPr>
                  <w:tcW w:w="229"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000000"/>
                      <w:sz w:val="18"/>
                      <w:szCs w:val="18"/>
                      <w:highlight w:val="none"/>
                      <w:lang w:eastAsia="zh-CN"/>
                    </w:rPr>
                  </w:pPr>
                  <w:r>
                    <w:rPr>
                      <w:rFonts w:hint="default" w:ascii="Times New Roman" w:hAnsi="Times New Roman" w:eastAsia="宋体" w:cs="Times New Roman"/>
                      <w:color w:val="000000"/>
                      <w:sz w:val="18"/>
                      <w:szCs w:val="18"/>
                      <w:highlight w:val="none"/>
                      <w:lang w:eastAsia="zh-CN"/>
                    </w:rPr>
                    <w:t>手工监测技术</w:t>
                  </w:r>
                </w:p>
              </w:tc>
              <w:tc>
                <w:tcPr>
                  <w:tcW w:w="671"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000000"/>
                      <w:sz w:val="18"/>
                      <w:szCs w:val="18"/>
                      <w:highlight w:val="none"/>
                      <w:lang w:eastAsia="zh-CN"/>
                    </w:rPr>
                  </w:pPr>
                  <w:r>
                    <w:rPr>
                      <w:rFonts w:hint="default" w:ascii="Times New Roman" w:hAnsi="Times New Roman" w:eastAsia="宋体" w:cs="Times New Roman"/>
                      <w:color w:val="000000"/>
                      <w:sz w:val="18"/>
                      <w:szCs w:val="18"/>
                      <w:highlight w:val="none"/>
                    </w:rPr>
                    <w:t>参照</w:t>
                  </w:r>
                  <w:r>
                    <w:rPr>
                      <w:rFonts w:hint="default" w:ascii="Times New Roman" w:hAnsi="Times New Roman" w:eastAsia="宋体" w:cs="Times New Roman"/>
                      <w:color w:val="000000"/>
                      <w:sz w:val="18"/>
                      <w:szCs w:val="18"/>
                      <w:highlight w:val="none"/>
                      <w:lang w:val="en-US" w:eastAsia="zh-CN"/>
                    </w:rPr>
                    <w:t>《电磁环境控制限值》（GB8702-2014）</w:t>
                  </w:r>
                </w:p>
              </w:tc>
              <w:tc>
                <w:tcPr>
                  <w:tcW w:w="753"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line="200" w:lineRule="exact"/>
                    <w:contextualSpacing/>
                    <w:textAlignment w:val="auto"/>
                    <w:rPr>
                      <w:rFonts w:hint="default" w:ascii="Times New Roman" w:hAnsi="Times New Roman" w:eastAsia="宋体" w:cs="Times New Roman"/>
                      <w:color w:val="000000"/>
                      <w:sz w:val="18"/>
                      <w:szCs w:val="18"/>
                      <w:highlight w:val="none"/>
                      <w:lang w:eastAsia="zh-CN"/>
                    </w:rPr>
                  </w:pPr>
                  <w:r>
                    <w:rPr>
                      <w:rFonts w:hint="default" w:ascii="Times New Roman" w:hAnsi="Times New Roman" w:eastAsia="宋体" w:cs="Times New Roman"/>
                      <w:color w:val="000000"/>
                      <w:sz w:val="18"/>
                      <w:szCs w:val="18"/>
                      <w:highlight w:val="none"/>
                    </w:rPr>
                    <w:t>参照</w:t>
                  </w:r>
                  <w:r>
                    <w:rPr>
                      <w:rFonts w:hint="default" w:ascii="Times New Roman" w:hAnsi="Times New Roman" w:eastAsia="宋体" w:cs="Times New Roman"/>
                      <w:color w:val="000000"/>
                      <w:sz w:val="18"/>
                      <w:szCs w:val="18"/>
                      <w:highlight w:val="none"/>
                      <w:lang w:val="en-US" w:eastAsia="zh-CN"/>
                    </w:rPr>
                    <w:t>《电磁环境控制限值》（GB8702-2014）</w:t>
                  </w:r>
                </w:p>
              </w:tc>
            </w:tr>
          </w:tbl>
          <w:p>
            <w:pPr>
              <w:adjustRightInd w:val="0"/>
              <w:snapToGrid w:val="0"/>
              <w:rPr>
                <w:rFonts w:ascii="宋体" w:hAnsi="宋体" w:cs="宋体"/>
                <w:bCs/>
                <w:spacing w:val="1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753" w:type="dxa"/>
            <w:noWrap w:val="0"/>
            <w:vAlign w:val="center"/>
          </w:tcPr>
          <w:p>
            <w:pPr>
              <w:adjustRightInd w:val="0"/>
              <w:snapToGrid w:val="0"/>
              <w:jc w:val="center"/>
              <w:rPr>
                <w:rFonts w:ascii="宋体" w:hAnsi="宋体" w:cs="宋体"/>
                <w:bCs/>
                <w:spacing w:val="10"/>
                <w:sz w:val="24"/>
                <w:szCs w:val="24"/>
              </w:rPr>
            </w:pPr>
            <w:r>
              <w:rPr>
                <w:rFonts w:hint="eastAsia" w:ascii="宋体" w:hAnsi="宋体"/>
                <w:bCs/>
                <w:sz w:val="24"/>
                <w:szCs w:val="24"/>
              </w:rPr>
              <w:t>环保投资</w:t>
            </w:r>
          </w:p>
        </w:tc>
        <w:tc>
          <w:tcPr>
            <w:tcW w:w="8457"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yellow"/>
                <w:lang w:val="en-US" w:eastAsia="zh-CN"/>
              </w:rPr>
            </w:pPr>
            <w:r>
              <w:rPr>
                <w:rFonts w:hint="default" w:ascii="Times New Roman" w:hAnsi="Times New Roman" w:eastAsia="宋体" w:cs="Times New Roman"/>
                <w:spacing w:val="0"/>
                <w:w w:val="100"/>
                <w:kern w:val="0"/>
                <w:position w:val="0"/>
                <w:sz w:val="24"/>
                <w:szCs w:val="24"/>
                <w:highlight w:val="none"/>
                <w:lang w:val="en-US" w:eastAsia="zh-CN"/>
              </w:rPr>
              <w:t>本项目总投资为5416.712万元，环保投资总额为</w:t>
            </w:r>
            <w:r>
              <w:rPr>
                <w:rFonts w:hint="eastAsia" w:ascii="Times New Roman" w:hAnsi="Times New Roman" w:eastAsia="宋体" w:cs="Times New Roman"/>
                <w:spacing w:val="0"/>
                <w:w w:val="100"/>
                <w:kern w:val="0"/>
                <w:position w:val="0"/>
                <w:sz w:val="24"/>
                <w:szCs w:val="24"/>
                <w:highlight w:val="none"/>
                <w:lang w:val="en-US" w:eastAsia="zh-CN"/>
              </w:rPr>
              <w:t>80</w:t>
            </w:r>
            <w:r>
              <w:rPr>
                <w:rFonts w:hint="default" w:ascii="Times New Roman" w:hAnsi="Times New Roman" w:eastAsia="宋体" w:cs="Times New Roman"/>
                <w:spacing w:val="0"/>
                <w:w w:val="100"/>
                <w:kern w:val="0"/>
                <w:position w:val="0"/>
                <w:sz w:val="24"/>
                <w:szCs w:val="24"/>
                <w:highlight w:val="none"/>
                <w:lang w:val="en-US" w:eastAsia="zh-CN"/>
              </w:rPr>
              <w:t>万元，占总投资的</w:t>
            </w:r>
            <w:r>
              <w:rPr>
                <w:rFonts w:hint="eastAsia" w:ascii="Times New Roman" w:hAnsi="Times New Roman" w:eastAsia="宋体" w:cs="Times New Roman"/>
                <w:spacing w:val="0"/>
                <w:w w:val="100"/>
                <w:kern w:val="0"/>
                <w:position w:val="0"/>
                <w:sz w:val="24"/>
                <w:szCs w:val="24"/>
                <w:highlight w:val="none"/>
                <w:lang w:val="en-US" w:eastAsia="zh-CN"/>
              </w:rPr>
              <w:t>1.</w:t>
            </w:r>
            <w:r>
              <w:rPr>
                <w:rFonts w:hint="eastAsia" w:cs="Times New Roman"/>
                <w:spacing w:val="0"/>
                <w:w w:val="100"/>
                <w:kern w:val="0"/>
                <w:position w:val="0"/>
                <w:sz w:val="24"/>
                <w:szCs w:val="24"/>
                <w:highlight w:val="none"/>
                <w:lang w:val="en-US" w:eastAsia="zh-CN"/>
              </w:rPr>
              <w:t>48</w:t>
            </w:r>
            <w:r>
              <w:rPr>
                <w:rFonts w:hint="default" w:ascii="Times New Roman" w:hAnsi="Times New Roman" w:eastAsia="宋体" w:cs="Times New Roman"/>
                <w:spacing w:val="0"/>
                <w:w w:val="100"/>
                <w:kern w:val="0"/>
                <w:position w:val="0"/>
                <w:sz w:val="24"/>
                <w:szCs w:val="24"/>
                <w:highlight w:val="none"/>
                <w:lang w:val="en-US" w:eastAsia="zh-CN"/>
              </w:rPr>
              <w:t>%。具体见表</w:t>
            </w:r>
            <w:r>
              <w:rPr>
                <w:rFonts w:hint="eastAsia" w:ascii="Times New Roman" w:hAnsi="Times New Roman" w:eastAsia="宋体" w:cs="Times New Roman"/>
                <w:spacing w:val="0"/>
                <w:w w:val="100"/>
                <w:kern w:val="0"/>
                <w:position w:val="0"/>
                <w:sz w:val="24"/>
                <w:szCs w:val="24"/>
                <w:highlight w:val="none"/>
                <w:lang w:val="en-US" w:eastAsia="zh-CN"/>
              </w:rPr>
              <w:t>5-2</w:t>
            </w:r>
            <w:r>
              <w:rPr>
                <w:rFonts w:hint="default" w:ascii="Times New Roman" w:hAnsi="Times New Roman" w:eastAsia="宋体" w:cs="Times New Roman"/>
                <w:spacing w:val="0"/>
                <w:w w:val="100"/>
                <w:kern w:val="0"/>
                <w:position w:val="0"/>
                <w:sz w:val="24"/>
                <w:szCs w:val="24"/>
                <w:highlight w:val="none"/>
                <w:lang w:val="en-US" w:eastAsia="zh-CN"/>
              </w:rPr>
              <w:t>。</w:t>
            </w:r>
          </w:p>
          <w:p>
            <w:pPr>
              <w:pStyle w:val="44"/>
              <w:keepNext w:val="0"/>
              <w:keepLines w:val="0"/>
              <w:pageBreakBefore w:val="0"/>
              <w:widowControl w:val="0"/>
              <w:tabs>
                <w:tab w:val="left" w:pos="8207"/>
              </w:tabs>
              <w:kinsoku/>
              <w:wordWrap/>
              <w:overflowPunct/>
              <w:topLinePunct w:val="0"/>
              <w:autoSpaceDE/>
              <w:autoSpaceDN/>
              <w:bidi w:val="0"/>
              <w:adjustRightInd w:val="0"/>
              <w:snapToGrid w:val="0"/>
              <w:spacing w:before="0" w:beforeLines="0" w:line="240" w:lineRule="auto"/>
              <w:ind w:left="0" w:leftChars="0" w:firstLine="0"/>
              <w:contextualSpacing/>
              <w:textAlignment w:val="auto"/>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表</w:t>
            </w:r>
            <w:r>
              <w:rPr>
                <w:rFonts w:hint="eastAsia" w:ascii="Times New Roman" w:hAnsi="Times New Roman" w:eastAsia="宋体" w:cs="Times New Roman"/>
                <w:b/>
                <w:bCs/>
                <w:color w:val="000000"/>
                <w:sz w:val="21"/>
                <w:szCs w:val="21"/>
                <w:highlight w:val="none"/>
                <w:lang w:val="en-US" w:eastAsia="zh-CN"/>
              </w:rPr>
              <w:t>5-2</w:t>
            </w:r>
            <w:r>
              <w:rPr>
                <w:rFonts w:hint="default" w:ascii="Times New Roman" w:hAnsi="Times New Roman" w:eastAsia="宋体" w:cs="Times New Roman"/>
                <w:b/>
                <w:bCs/>
                <w:color w:val="000000"/>
                <w:sz w:val="21"/>
                <w:szCs w:val="21"/>
                <w:highlight w:val="none"/>
              </w:rPr>
              <w:t xml:space="preserve">  项目环保措施及投资一览表</w:t>
            </w:r>
          </w:p>
          <w:tbl>
            <w:tblPr>
              <w:tblStyle w:val="20"/>
              <w:tblW w:w="826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0"/>
              <w:gridCol w:w="828"/>
              <w:gridCol w:w="961"/>
              <w:gridCol w:w="3545"/>
              <w:gridCol w:w="22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2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序号</w:t>
                  </w:r>
                </w:p>
              </w:tc>
              <w:tc>
                <w:tcPr>
                  <w:tcW w:w="828"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项目</w:t>
                  </w:r>
                </w:p>
              </w:tc>
              <w:tc>
                <w:tcPr>
                  <w:tcW w:w="45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环保措施</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投资额（万元）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72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1</w:t>
                  </w:r>
                </w:p>
              </w:tc>
              <w:tc>
                <w:tcPr>
                  <w:tcW w:w="82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施工期</w:t>
                  </w:r>
                </w:p>
              </w:tc>
              <w:tc>
                <w:tcPr>
                  <w:tcW w:w="961"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扬尘</w:t>
                  </w:r>
                </w:p>
              </w:tc>
              <w:tc>
                <w:tcPr>
                  <w:tcW w:w="3545"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修建临时遮蔽</w:t>
                  </w:r>
                  <w:r>
                    <w:rPr>
                      <w:rFonts w:hint="eastAsia" w:ascii="Times New Roman" w:hAnsi="Times New Roman" w:eastAsia="宋体" w:cs="Times New Roman"/>
                      <w:color w:val="000000"/>
                      <w:sz w:val="18"/>
                      <w:szCs w:val="18"/>
                      <w:highlight w:val="none"/>
                      <w:lang w:eastAsia="zh-CN"/>
                    </w:rPr>
                    <w:t>、</w:t>
                  </w:r>
                  <w:r>
                    <w:rPr>
                      <w:rFonts w:hint="default" w:ascii="Times New Roman" w:hAnsi="Times New Roman" w:eastAsia="宋体" w:cs="Times New Roman"/>
                      <w:color w:val="000000"/>
                      <w:sz w:val="18"/>
                      <w:szCs w:val="18"/>
                      <w:highlight w:val="none"/>
                    </w:rPr>
                    <w:t>洒水降尘等措施</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lang w:val="en-US"/>
                    </w:rPr>
                  </w:pPr>
                  <w:r>
                    <w:rPr>
                      <w:rFonts w:hint="eastAsia" w:ascii="Times New Roman" w:hAnsi="Times New Roman" w:eastAsia="宋体" w:cs="Times New Roman"/>
                      <w:color w:val="000000"/>
                      <w:sz w:val="18"/>
                      <w:szCs w:val="18"/>
                      <w:highlight w:val="none"/>
                      <w:lang w:val="en-US" w:eastAsia="zh-CN"/>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7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8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961"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废水</w:t>
                  </w:r>
                </w:p>
              </w:tc>
              <w:tc>
                <w:tcPr>
                  <w:tcW w:w="3545"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lang w:val="en-US" w:eastAsia="zh-CN"/>
                    </w:rPr>
                  </w:pPr>
                  <w:r>
                    <w:rPr>
                      <w:rFonts w:hint="eastAsia" w:cs="Times New Roman"/>
                      <w:color w:val="000000"/>
                      <w:sz w:val="18"/>
                      <w:szCs w:val="18"/>
                      <w:highlight w:val="none"/>
                      <w:lang w:val="en-US" w:eastAsia="zh-CN"/>
                    </w:rPr>
                    <w:t>临时化粪池</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eastAsia" w:ascii="Times New Roman" w:hAnsi="Times New Roman" w:eastAsia="宋体" w:cs="Times New Roman"/>
                      <w:color w:val="000000"/>
                      <w:sz w:val="18"/>
                      <w:szCs w:val="18"/>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7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8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961"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噪声</w:t>
                  </w:r>
                </w:p>
              </w:tc>
              <w:tc>
                <w:tcPr>
                  <w:tcW w:w="3545"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减振、吸声、隔声</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eastAsia="宋体" w:cs="Times New Roman"/>
                      <w:color w:val="000000"/>
                      <w:sz w:val="18"/>
                      <w:szCs w:val="18"/>
                      <w:highlight w:val="none"/>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7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8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96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固废</w:t>
                  </w:r>
                </w:p>
              </w:tc>
              <w:tc>
                <w:tcPr>
                  <w:tcW w:w="3545"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垃圾分类收集箱</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eastAsia" w:ascii="Times New Roman" w:hAnsi="Times New Roman" w:eastAsia="宋体" w:cs="Times New Roman"/>
                      <w:color w:val="000000"/>
                      <w:sz w:val="18"/>
                      <w:szCs w:val="18"/>
                      <w:highlight w:val="none"/>
                      <w:lang w:val="en-US" w:eastAsia="zh-CN"/>
                    </w:rPr>
                  </w:pPr>
                  <w:r>
                    <w:rPr>
                      <w:rFonts w:hint="eastAsia" w:ascii="Times New Roman" w:hAnsi="Times New Roman" w:eastAsia="宋体" w:cs="Times New Roman"/>
                      <w:color w:val="000000"/>
                      <w:sz w:val="18"/>
                      <w:szCs w:val="18"/>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7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8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96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3545"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土方回填、建筑垃圾处置</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eastAsia="宋体" w:cs="Times New Roman"/>
                      <w:color w:val="000000"/>
                      <w:sz w:val="18"/>
                      <w:szCs w:val="18"/>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7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8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961"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生态</w:t>
                  </w:r>
                </w:p>
              </w:tc>
              <w:tc>
                <w:tcPr>
                  <w:tcW w:w="3545"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eastAsia" w:ascii="Times New Roman" w:hAnsi="Times New Roman" w:eastAsia="宋体" w:cs="Times New Roman"/>
                      <w:color w:val="000000"/>
                      <w:sz w:val="18"/>
                      <w:szCs w:val="18"/>
                      <w:highlight w:val="none"/>
                      <w:lang w:val="en-US" w:eastAsia="zh-CN"/>
                    </w:rPr>
                    <w:t>表土剥离、</w:t>
                  </w:r>
                  <w:r>
                    <w:rPr>
                      <w:rFonts w:hint="default" w:ascii="Times New Roman" w:hAnsi="Times New Roman" w:eastAsia="宋体" w:cs="Times New Roman"/>
                      <w:color w:val="000000"/>
                      <w:sz w:val="18"/>
                      <w:szCs w:val="18"/>
                      <w:highlight w:val="none"/>
                    </w:rPr>
                    <w:t>临时场地生态恢复</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eastAsia="宋体" w:cs="Times New Roman"/>
                      <w:color w:val="000000"/>
                      <w:sz w:val="18"/>
                      <w:szCs w:val="18"/>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2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2</w:t>
                  </w:r>
                </w:p>
              </w:tc>
              <w:tc>
                <w:tcPr>
                  <w:tcW w:w="82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运营期</w:t>
                  </w:r>
                </w:p>
              </w:tc>
              <w:tc>
                <w:tcPr>
                  <w:tcW w:w="961"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eastAsia" w:ascii="Times New Roman" w:hAnsi="Times New Roman" w:eastAsia="宋体" w:cs="Times New Roman"/>
                      <w:color w:val="000000"/>
                      <w:sz w:val="18"/>
                      <w:szCs w:val="18"/>
                      <w:highlight w:val="none"/>
                      <w:lang w:eastAsia="zh-CN"/>
                    </w:rPr>
                  </w:pPr>
                  <w:r>
                    <w:rPr>
                      <w:rFonts w:hint="eastAsia" w:ascii="Times New Roman" w:hAnsi="Times New Roman" w:eastAsia="宋体" w:cs="Times New Roman"/>
                      <w:color w:val="000000"/>
                      <w:sz w:val="18"/>
                      <w:szCs w:val="18"/>
                      <w:highlight w:val="none"/>
                      <w:lang w:val="en-US" w:eastAsia="zh-CN"/>
                    </w:rPr>
                    <w:t>生态</w:t>
                  </w:r>
                </w:p>
              </w:tc>
              <w:tc>
                <w:tcPr>
                  <w:tcW w:w="3545"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eastAsia" w:ascii="Times New Roman" w:hAnsi="Times New Roman" w:eastAsia="宋体" w:cs="Times New Roman"/>
                      <w:color w:val="000000"/>
                      <w:sz w:val="18"/>
                      <w:szCs w:val="18"/>
                      <w:highlight w:val="none"/>
                      <w:lang w:eastAsia="zh-CN"/>
                    </w:rPr>
                  </w:pPr>
                  <w:r>
                    <w:rPr>
                      <w:rFonts w:hint="eastAsia" w:ascii="Times New Roman" w:hAnsi="Times New Roman" w:eastAsia="宋体" w:cs="Times New Roman"/>
                      <w:color w:val="000000"/>
                      <w:sz w:val="18"/>
                      <w:szCs w:val="18"/>
                      <w:highlight w:val="none"/>
                      <w:lang w:val="en-US" w:eastAsia="zh-CN"/>
                    </w:rPr>
                    <w:t>塔基安装防鸟刺</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eastAsia="宋体" w:cs="Times New Roman"/>
                      <w:color w:val="000000"/>
                      <w:sz w:val="18"/>
                      <w:szCs w:val="18"/>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7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contextualSpacing/>
                    <w:jc w:val="center"/>
                    <w:textAlignment w:val="auto"/>
                    <w:rPr>
                      <w:rFonts w:hint="default" w:ascii="Times New Roman" w:hAnsi="Times New Roman" w:cs="Times New Roman"/>
                      <w:color w:val="000000"/>
                      <w:sz w:val="18"/>
                      <w:szCs w:val="18"/>
                      <w:highlight w:val="none"/>
                    </w:rPr>
                  </w:pPr>
                </w:p>
              </w:tc>
              <w:tc>
                <w:tcPr>
                  <w:tcW w:w="8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p>
              </w:tc>
              <w:tc>
                <w:tcPr>
                  <w:tcW w:w="45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eastAsia" w:ascii="Times New Roman" w:hAnsi="Times New Roman" w:eastAsia="宋体" w:cs="Times New Roman"/>
                      <w:color w:val="000000"/>
                      <w:sz w:val="18"/>
                      <w:szCs w:val="18"/>
                      <w:highlight w:val="none"/>
                      <w:lang w:val="en-US" w:eastAsia="zh-CN"/>
                    </w:rPr>
                  </w:pPr>
                  <w:r>
                    <w:rPr>
                      <w:rFonts w:hint="default" w:ascii="Times New Roman" w:hAnsi="Times New Roman" w:eastAsia="宋体" w:cs="Times New Roman"/>
                      <w:color w:val="000000"/>
                      <w:sz w:val="18"/>
                      <w:szCs w:val="18"/>
                      <w:highlight w:val="none"/>
                    </w:rPr>
                    <w:t>环保措施运行维护费用</w:t>
                  </w:r>
                  <w:r>
                    <w:rPr>
                      <w:rFonts w:hint="eastAsia" w:ascii="Times New Roman" w:hAnsi="Times New Roman" w:eastAsia="宋体" w:cs="Times New Roman"/>
                      <w:color w:val="000000"/>
                      <w:sz w:val="18"/>
                      <w:szCs w:val="18"/>
                      <w:highlight w:val="none"/>
                      <w:lang w:eastAsia="zh-CN"/>
                    </w:rPr>
                    <w:t>、例行监测</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eastAsia="宋体" w:cs="Times New Roman"/>
                      <w:color w:val="000000"/>
                      <w:sz w:val="18"/>
                      <w:szCs w:val="18"/>
                      <w:highlight w:val="none"/>
                      <w:lang w:val="en-US" w:eastAsia="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6054"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rPr>
                  </w:pPr>
                  <w:r>
                    <w:rPr>
                      <w:rFonts w:hint="default" w:ascii="Times New Roman" w:hAnsi="Times New Roman" w:eastAsia="宋体" w:cs="Times New Roman"/>
                      <w:color w:val="000000"/>
                      <w:sz w:val="18"/>
                      <w:szCs w:val="18"/>
                      <w:highlight w:val="none"/>
                    </w:rPr>
                    <w:t>总计</w:t>
                  </w:r>
                </w:p>
              </w:tc>
              <w:tc>
                <w:tcPr>
                  <w:tcW w:w="2210" w:type="dxa"/>
                  <w:noWrap w:val="0"/>
                  <w:vAlign w:val="center"/>
                </w:tcPr>
                <w:p>
                  <w:pPr>
                    <w:keepNext w:val="0"/>
                    <w:keepLines w:val="0"/>
                    <w:pageBreakBefore w:val="0"/>
                    <w:widowControl w:val="0"/>
                    <w:kinsoku/>
                    <w:wordWrap/>
                    <w:overflowPunct/>
                    <w:topLinePunct w:val="0"/>
                    <w:autoSpaceDE/>
                    <w:autoSpaceDN/>
                    <w:bidi w:val="0"/>
                    <w:adjustRightInd/>
                    <w:snapToGrid/>
                    <w:spacing w:line="220" w:lineRule="exact"/>
                    <w:ind w:left="0" w:leftChars="0" w:firstLine="0" w:firstLineChars="0"/>
                    <w:contextualSpacing/>
                    <w:jc w:val="center"/>
                    <w:textAlignment w:val="auto"/>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eastAsia="宋体" w:cs="Times New Roman"/>
                      <w:color w:val="000000"/>
                      <w:sz w:val="18"/>
                      <w:szCs w:val="18"/>
                      <w:highlight w:val="none"/>
                      <w:lang w:val="en-US" w:eastAsia="zh-CN"/>
                    </w:rPr>
                    <w:t>80</w:t>
                  </w:r>
                </w:p>
              </w:tc>
            </w:tr>
          </w:tbl>
          <w:p>
            <w:pPr>
              <w:adjustRightInd w:val="0"/>
              <w:snapToGrid w:val="0"/>
              <w:rPr>
                <w:rFonts w:ascii="宋体" w:hAnsi="宋体" w:cs="宋体"/>
                <w:bCs/>
                <w:spacing w:val="10"/>
                <w:szCs w:val="21"/>
              </w:rPr>
            </w:pPr>
          </w:p>
        </w:tc>
      </w:tr>
    </w:tbl>
    <w:p>
      <w:pPr>
        <w:sectPr>
          <w:pgSz w:w="11907" w:h="16840"/>
          <w:pgMar w:top="1440" w:right="1797" w:bottom="1440" w:left="1797" w:header="851" w:footer="1077" w:gutter="0"/>
          <w:pgBorders>
            <w:top w:val="none" w:sz="0" w:space="0"/>
            <w:left w:val="none" w:sz="0" w:space="0"/>
            <w:bottom w:val="none" w:sz="0" w:space="0"/>
            <w:right w:val="none" w:sz="0" w:space="0"/>
          </w:pgBorders>
          <w:pgNumType w:fmt="decimal"/>
          <w:cols w:space="425" w:num="1"/>
          <w:docGrid w:linePitch="312" w:charSpace="0"/>
        </w:sectPr>
      </w:pPr>
    </w:p>
    <w:p>
      <w:pPr>
        <w:pStyle w:val="17"/>
        <w:jc w:val="center"/>
        <w:outlineLvl w:val="0"/>
        <w:rPr>
          <w:rFonts w:ascii="黑体" w:hAnsi="黑体" w:eastAsia="黑体"/>
          <w:snapToGrid w:val="0"/>
          <w:sz w:val="30"/>
          <w:szCs w:val="30"/>
        </w:rPr>
      </w:pPr>
      <w:bookmarkStart w:id="51" w:name="_Toc11526"/>
      <w:r>
        <w:rPr>
          <w:rFonts w:hint="eastAsia" w:ascii="黑体" w:hAnsi="黑体" w:eastAsia="黑体"/>
          <w:snapToGrid w:val="0"/>
          <w:sz w:val="30"/>
          <w:szCs w:val="30"/>
        </w:rPr>
        <w:t>六、生态环境保护措施监督检查清单</w:t>
      </w:r>
      <w:bookmarkEnd w:id="51"/>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84"/>
        <w:gridCol w:w="2285"/>
        <w:gridCol w:w="1625"/>
        <w:gridCol w:w="1012"/>
        <w:gridCol w:w="18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vMerge w:val="restart"/>
            <w:tcBorders>
              <w:tl2br w:val="single" w:color="auto" w:sz="4" w:space="0"/>
            </w:tcBorders>
            <w:noWrap w:val="0"/>
            <w:vAlign w:val="top"/>
          </w:tcPr>
          <w:p>
            <w:pPr>
              <w:adjustRightInd w:val="0"/>
              <w:snapToGrid w:val="0"/>
              <w:jc w:val="center"/>
              <w:rPr>
                <w:rFonts w:hint="eastAsia" w:ascii="宋体" w:hAnsi="宋体" w:cs="宋体"/>
                <w:szCs w:val="21"/>
              </w:rPr>
            </w:pPr>
            <w:bookmarkStart w:id="52" w:name="_Toc17417"/>
            <w:r>
              <w:rPr>
                <w:rFonts w:hint="eastAsia" w:ascii="宋体" w:hAnsi="宋体" w:cs="宋体"/>
                <w:szCs w:val="21"/>
              </w:rPr>
              <w:t>内容</w:t>
            </w:r>
            <w:bookmarkEnd w:id="52"/>
          </w:p>
          <w:p>
            <w:pPr>
              <w:adjustRightInd w:val="0"/>
              <w:snapToGrid w:val="0"/>
              <w:jc w:val="center"/>
              <w:rPr>
                <w:rFonts w:hint="eastAsia" w:ascii="宋体" w:hAnsi="宋体" w:cs="宋体"/>
                <w:szCs w:val="21"/>
              </w:rPr>
            </w:pPr>
            <w:bookmarkStart w:id="53" w:name="_Toc25897"/>
            <w:r>
              <w:rPr>
                <w:rFonts w:hint="eastAsia" w:ascii="宋体" w:hAnsi="宋体" w:cs="宋体"/>
                <w:szCs w:val="21"/>
              </w:rPr>
              <w:t>要素</w:t>
            </w:r>
            <w:bookmarkEnd w:id="53"/>
          </w:p>
        </w:tc>
        <w:tc>
          <w:tcPr>
            <w:tcW w:w="2294" w:type="pct"/>
            <w:gridSpan w:val="2"/>
            <w:noWrap w:val="0"/>
            <w:vAlign w:val="center"/>
          </w:tcPr>
          <w:p>
            <w:pPr>
              <w:adjustRightInd w:val="0"/>
              <w:snapToGrid w:val="0"/>
              <w:jc w:val="center"/>
              <w:rPr>
                <w:rFonts w:hint="eastAsia" w:ascii="宋体" w:hAnsi="宋体" w:cs="宋体"/>
                <w:szCs w:val="21"/>
              </w:rPr>
            </w:pPr>
            <w:bookmarkStart w:id="54" w:name="_Toc2092"/>
            <w:r>
              <w:rPr>
                <w:rFonts w:hint="eastAsia" w:ascii="宋体" w:hAnsi="宋体" w:cs="宋体"/>
                <w:szCs w:val="21"/>
              </w:rPr>
              <w:t>施工期</w:t>
            </w:r>
            <w:bookmarkEnd w:id="54"/>
          </w:p>
        </w:tc>
        <w:tc>
          <w:tcPr>
            <w:tcW w:w="1659" w:type="pct"/>
            <w:gridSpan w:val="2"/>
            <w:noWrap w:val="0"/>
            <w:vAlign w:val="center"/>
          </w:tcPr>
          <w:p>
            <w:pPr>
              <w:adjustRightInd w:val="0"/>
              <w:snapToGrid w:val="0"/>
              <w:jc w:val="center"/>
              <w:rPr>
                <w:rFonts w:hint="eastAsia" w:ascii="宋体" w:hAnsi="宋体" w:cs="宋体"/>
                <w:szCs w:val="21"/>
              </w:rPr>
            </w:pPr>
            <w:bookmarkStart w:id="55" w:name="_Toc1130"/>
            <w:r>
              <w:rPr>
                <w:rFonts w:hint="eastAsia" w:ascii="宋体" w:hAnsi="宋体" w:cs="宋体"/>
                <w:szCs w:val="21"/>
              </w:rPr>
              <w:t>运营期</w:t>
            </w:r>
            <w:bookmarkEnd w:id="55"/>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vMerge w:val="continue"/>
            <w:noWrap w:val="0"/>
            <w:vAlign w:val="top"/>
          </w:tcPr>
          <w:p>
            <w:pPr>
              <w:adjustRightInd w:val="0"/>
              <w:snapToGrid w:val="0"/>
              <w:jc w:val="center"/>
              <w:rPr>
                <w:rFonts w:hint="eastAsia" w:ascii="宋体" w:hAnsi="宋体" w:cs="宋体"/>
                <w:szCs w:val="21"/>
              </w:rPr>
            </w:pPr>
          </w:p>
        </w:tc>
        <w:tc>
          <w:tcPr>
            <w:tcW w:w="1340" w:type="pct"/>
            <w:noWrap w:val="0"/>
            <w:vAlign w:val="center"/>
          </w:tcPr>
          <w:p>
            <w:pPr>
              <w:adjustRightInd w:val="0"/>
              <w:snapToGrid w:val="0"/>
              <w:jc w:val="center"/>
              <w:rPr>
                <w:rFonts w:hint="eastAsia" w:ascii="宋体" w:hAnsi="宋体" w:cs="宋体"/>
                <w:szCs w:val="21"/>
              </w:rPr>
            </w:pPr>
            <w:bookmarkStart w:id="56" w:name="_Toc13968"/>
            <w:r>
              <w:rPr>
                <w:rFonts w:hint="eastAsia" w:ascii="宋体" w:hAnsi="宋体" w:cs="宋体"/>
                <w:szCs w:val="21"/>
              </w:rPr>
              <w:t>环境保护措施</w:t>
            </w:r>
            <w:bookmarkEnd w:id="56"/>
          </w:p>
        </w:tc>
        <w:tc>
          <w:tcPr>
            <w:tcW w:w="953" w:type="pct"/>
            <w:noWrap w:val="0"/>
            <w:vAlign w:val="center"/>
          </w:tcPr>
          <w:p>
            <w:pPr>
              <w:adjustRightInd w:val="0"/>
              <w:snapToGrid w:val="0"/>
              <w:jc w:val="center"/>
              <w:rPr>
                <w:rFonts w:hint="eastAsia" w:ascii="宋体" w:hAnsi="宋体" w:cs="宋体"/>
                <w:szCs w:val="21"/>
              </w:rPr>
            </w:pPr>
            <w:bookmarkStart w:id="57" w:name="_Toc26482"/>
            <w:r>
              <w:rPr>
                <w:rFonts w:hint="eastAsia" w:ascii="宋体" w:hAnsi="宋体" w:cs="宋体"/>
                <w:szCs w:val="21"/>
              </w:rPr>
              <w:t>验收要求</w:t>
            </w:r>
            <w:bookmarkEnd w:id="57"/>
          </w:p>
        </w:tc>
        <w:tc>
          <w:tcPr>
            <w:tcW w:w="593" w:type="pct"/>
            <w:noWrap w:val="0"/>
            <w:vAlign w:val="center"/>
          </w:tcPr>
          <w:p>
            <w:pPr>
              <w:adjustRightInd w:val="0"/>
              <w:snapToGrid w:val="0"/>
              <w:jc w:val="center"/>
              <w:rPr>
                <w:rFonts w:hint="eastAsia" w:ascii="宋体" w:hAnsi="宋体" w:cs="宋体"/>
                <w:szCs w:val="21"/>
              </w:rPr>
            </w:pPr>
            <w:bookmarkStart w:id="58" w:name="_Toc2812"/>
            <w:r>
              <w:rPr>
                <w:rFonts w:hint="eastAsia" w:ascii="宋体" w:hAnsi="宋体" w:cs="宋体"/>
                <w:szCs w:val="21"/>
              </w:rPr>
              <w:t>环境保护措施</w:t>
            </w:r>
            <w:bookmarkEnd w:id="58"/>
          </w:p>
        </w:tc>
        <w:tc>
          <w:tcPr>
            <w:tcW w:w="1065" w:type="pct"/>
            <w:noWrap w:val="0"/>
            <w:vAlign w:val="center"/>
          </w:tcPr>
          <w:p>
            <w:pPr>
              <w:adjustRightInd w:val="0"/>
              <w:snapToGrid w:val="0"/>
              <w:jc w:val="center"/>
              <w:rPr>
                <w:rFonts w:hint="eastAsia" w:ascii="宋体" w:hAnsi="宋体" w:cs="宋体"/>
                <w:szCs w:val="21"/>
              </w:rPr>
            </w:pPr>
            <w:bookmarkStart w:id="59" w:name="_Toc6463"/>
            <w:r>
              <w:rPr>
                <w:rFonts w:hint="eastAsia" w:ascii="宋体" w:hAnsi="宋体" w:cs="宋体"/>
                <w:szCs w:val="21"/>
              </w:rPr>
              <w:t>验收要求</w:t>
            </w:r>
            <w:bookmarkEnd w:id="59"/>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陆生生态</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zh-CN"/>
              </w:rPr>
              <w:t>施工过程中避免或减少临时场地占用，控制用地范围，注意保护相邻植被，表土和挖方土分层堆放及回填，堆土场采取草袋土拦挡和</w:t>
            </w:r>
            <w:r>
              <w:rPr>
                <w:rFonts w:hint="eastAsia" w:ascii="Times New Roman" w:hAnsi="Times New Roman" w:eastAsia="宋体" w:cs="Times New Roman"/>
                <w:color w:val="000000"/>
                <w:sz w:val="21"/>
                <w:szCs w:val="21"/>
                <w:highlight w:val="none"/>
                <w:lang w:eastAsia="zh-CN"/>
              </w:rPr>
              <w:t>土工布</w:t>
            </w:r>
            <w:r>
              <w:rPr>
                <w:rFonts w:hint="default" w:ascii="Times New Roman" w:hAnsi="Times New Roman" w:eastAsia="宋体" w:cs="Times New Roman"/>
                <w:color w:val="000000"/>
                <w:sz w:val="21"/>
                <w:szCs w:val="21"/>
                <w:highlight w:val="none"/>
              </w:rPr>
              <w:t>苫盖</w:t>
            </w:r>
            <w:r>
              <w:rPr>
                <w:rFonts w:hint="eastAsia" w:ascii="Times New Roman" w:hAnsi="Times New Roman" w:eastAsia="宋体" w:cs="Times New Roman"/>
                <w:color w:val="000000"/>
                <w:sz w:val="21"/>
                <w:szCs w:val="21"/>
                <w:highlight w:val="none"/>
                <w:lang w:val="zh-CN"/>
              </w:rPr>
              <w:t>，设置截水沟，施工结束后及时恢复临时占地及绿化，减少对生态环境的破坏。</w:t>
            </w:r>
            <w:r>
              <w:rPr>
                <w:rFonts w:hint="eastAsia" w:ascii="Times New Roman" w:hAnsi="Times New Roman" w:eastAsia="宋体" w:cs="Times New Roman"/>
                <w:color w:val="000000"/>
                <w:sz w:val="21"/>
                <w:szCs w:val="21"/>
                <w:highlight w:val="none"/>
                <w:lang w:val="en-US" w:eastAsia="zh-CN"/>
              </w:rPr>
              <w:t>输电</w:t>
            </w:r>
            <w:r>
              <w:rPr>
                <w:rFonts w:hint="default" w:ascii="Times New Roman" w:hAnsi="Times New Roman" w:eastAsia="宋体" w:cs="Times New Roman"/>
                <w:color w:val="000000"/>
                <w:sz w:val="21"/>
                <w:szCs w:val="21"/>
                <w:highlight w:val="none"/>
                <w:lang w:val="zh-CN"/>
              </w:rPr>
              <w:t>线路临时占地为</w:t>
            </w:r>
            <w:r>
              <w:rPr>
                <w:rFonts w:hint="eastAsia" w:ascii="Times New Roman" w:hAnsi="Times New Roman" w:eastAsia="宋体" w:cs="Times New Roman"/>
                <w:color w:val="000000"/>
                <w:sz w:val="21"/>
                <w:szCs w:val="21"/>
                <w:highlight w:val="none"/>
                <w:lang w:val="zh-CN"/>
              </w:rPr>
              <w:t>一般</w:t>
            </w:r>
            <w:r>
              <w:rPr>
                <w:rFonts w:hint="default" w:ascii="Times New Roman" w:hAnsi="Times New Roman" w:eastAsia="宋体" w:cs="Times New Roman"/>
                <w:color w:val="000000"/>
                <w:sz w:val="21"/>
                <w:szCs w:val="21"/>
                <w:highlight w:val="none"/>
                <w:lang w:val="zh-CN"/>
              </w:rPr>
              <w:t>农田，施工后对临时施工通道进行恢复，使其恢复原有水平与生态功能。</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表土回填，</w:t>
            </w:r>
            <w:r>
              <w:rPr>
                <w:rFonts w:hint="eastAsia" w:ascii="Times New Roman" w:hAnsi="Times New Roman" w:eastAsia="宋体" w:cs="Times New Roman"/>
                <w:color w:val="000000"/>
                <w:sz w:val="21"/>
                <w:szCs w:val="21"/>
                <w:highlight w:val="none"/>
                <w:lang w:eastAsia="zh-CN"/>
              </w:rPr>
              <w:t>临建设施拆除，</w:t>
            </w:r>
            <w:r>
              <w:rPr>
                <w:rFonts w:hint="default" w:ascii="Times New Roman" w:hAnsi="Times New Roman" w:eastAsia="宋体" w:cs="Times New Roman"/>
                <w:color w:val="000000"/>
                <w:sz w:val="21"/>
                <w:szCs w:val="21"/>
                <w:highlight w:val="none"/>
              </w:rPr>
              <w:t>迹地完成恢复</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zh-CN" w:eastAsia="zh-CN" w:bidi="ar-SA"/>
              </w:rPr>
            </w:pPr>
            <w:r>
              <w:rPr>
                <w:rFonts w:hint="eastAsia" w:ascii="Times New Roman" w:hAnsi="Times New Roman" w:eastAsia="宋体" w:cs="Times New Roman"/>
                <w:color w:val="000000"/>
                <w:sz w:val="21"/>
                <w:szCs w:val="21"/>
                <w:highlight w:val="none"/>
                <w:lang w:val="zh-CN"/>
              </w:rPr>
              <w:t>塔基安装防鸟刺</w:t>
            </w:r>
            <w:r>
              <w:rPr>
                <w:rFonts w:hint="eastAsia" w:cs="Times New Roman"/>
                <w:color w:val="000000"/>
                <w:sz w:val="21"/>
                <w:szCs w:val="21"/>
                <w:highlight w:val="none"/>
                <w:lang w:val="zh-CN"/>
              </w:rPr>
              <w:t>、</w:t>
            </w:r>
            <w:r>
              <w:rPr>
                <w:rFonts w:hint="eastAsia" w:cs="Times New Roman"/>
                <w:color w:val="auto"/>
                <w:sz w:val="21"/>
                <w:szCs w:val="21"/>
                <w:highlight w:val="none"/>
                <w:lang w:val="zh-CN"/>
              </w:rPr>
              <w:t>设置警示标识、禁止攀爬标识</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落实相关措施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水生生态</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地表水环境</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施工生活污水排入临时化粪池暂存，定期清掏，外运堆肥</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施工生活污水排入临时化粪池暂存，定期清掏，外运堆肥</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地下水及土壤环境</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声环境</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选用低噪声机械设备，对振动大的机械设备，采用隔振胶垫或减振机座，合理安排施工作业时间，晚间（19:00~22:00）严禁高噪声设备施工，午间（12:00~14:00）及夜间（22:00~6:00）严禁施工等</w:t>
            </w:r>
            <w:r>
              <w:rPr>
                <w:rFonts w:hint="eastAsia" w:ascii="Times New Roman" w:hAnsi="Times New Roman" w:eastAsia="宋体" w:cs="Times New Roman"/>
                <w:color w:val="000000"/>
                <w:sz w:val="21"/>
                <w:szCs w:val="21"/>
                <w:highlight w:val="none"/>
                <w:lang w:eastAsia="zh-CN"/>
              </w:rPr>
              <w:t>，</w:t>
            </w:r>
            <w:r>
              <w:rPr>
                <w:rFonts w:hint="eastAsia" w:ascii="Times New Roman" w:hAnsi="Times New Roman" w:eastAsia="宋体" w:cs="Times New Roman"/>
                <w:color w:val="000000"/>
                <w:sz w:val="21"/>
                <w:szCs w:val="21"/>
                <w:highlight w:val="none"/>
                <w:lang w:val="en-US" w:eastAsia="zh-CN"/>
              </w:rPr>
              <w:t>必要时设置声屏障</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满足《建筑施工场界环境噪声排放标准》（GB12523-2011）标准。</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低噪声设备、采取降噪措施</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输电线路（位于经开区的部分）噪声满足《声环境质量标准》（GB3096—2008）中</w:t>
            </w:r>
            <w:r>
              <w:rPr>
                <w:rFonts w:hint="eastAsia" w:cs="Times New Roman"/>
                <w:color w:val="FF0000"/>
                <w:sz w:val="21"/>
                <w:szCs w:val="21"/>
                <w:highlight w:val="none"/>
                <w:lang w:val="en-US" w:eastAsia="zh-CN"/>
              </w:rPr>
              <w:t>3</w:t>
            </w:r>
            <w:r>
              <w:rPr>
                <w:rFonts w:hint="eastAsia" w:ascii="Times New Roman" w:hAnsi="Times New Roman" w:eastAsia="宋体" w:cs="Times New Roman"/>
                <w:color w:val="FF0000"/>
                <w:sz w:val="21"/>
                <w:szCs w:val="21"/>
                <w:highlight w:val="none"/>
                <w:lang w:val="en-US" w:eastAsia="zh-CN"/>
              </w:rPr>
              <w:t>级标准中的昼间≤</w:t>
            </w:r>
            <w:r>
              <w:rPr>
                <w:rFonts w:hint="eastAsia" w:cs="Times New Roman"/>
                <w:color w:val="FF0000"/>
                <w:sz w:val="21"/>
                <w:szCs w:val="21"/>
                <w:highlight w:val="none"/>
                <w:lang w:val="en-US" w:eastAsia="zh-CN"/>
              </w:rPr>
              <w:t>65</w:t>
            </w:r>
            <w:r>
              <w:rPr>
                <w:rFonts w:hint="eastAsia" w:ascii="Times New Roman" w:hAnsi="Times New Roman" w:eastAsia="宋体" w:cs="Times New Roman"/>
                <w:color w:val="FF0000"/>
                <w:sz w:val="21"/>
                <w:szCs w:val="21"/>
                <w:highlight w:val="none"/>
                <w:lang w:val="en-US" w:eastAsia="zh-CN"/>
              </w:rPr>
              <w:t>dB（A），夜间≤</w:t>
            </w:r>
            <w:r>
              <w:rPr>
                <w:rFonts w:hint="eastAsia" w:cs="Times New Roman"/>
                <w:color w:val="FF0000"/>
                <w:sz w:val="21"/>
                <w:szCs w:val="21"/>
                <w:highlight w:val="none"/>
                <w:lang w:val="en-US" w:eastAsia="zh-CN"/>
              </w:rPr>
              <w:t>55</w:t>
            </w:r>
            <w:r>
              <w:rPr>
                <w:rFonts w:hint="eastAsia" w:ascii="Times New Roman" w:hAnsi="Times New Roman" w:eastAsia="宋体" w:cs="Times New Roman"/>
                <w:color w:val="FF0000"/>
                <w:sz w:val="21"/>
                <w:szCs w:val="21"/>
                <w:highlight w:val="none"/>
                <w:lang w:val="en-US" w:eastAsia="zh-CN"/>
              </w:rPr>
              <w:t>dB（A）的要求</w:t>
            </w:r>
            <w:r>
              <w:rPr>
                <w:rFonts w:hint="eastAsia" w:ascii="Times New Roman" w:hAnsi="Times New Roman" w:eastAsia="宋体" w:cs="Times New Roman"/>
                <w:color w:val="FF0000"/>
                <w:sz w:val="21"/>
                <w:szCs w:val="21"/>
                <w:highlight w:val="none"/>
                <w:lang w:eastAsia="zh-CN"/>
              </w:rPr>
              <w:t>；</w:t>
            </w:r>
            <w:r>
              <w:rPr>
                <w:rFonts w:hint="eastAsia" w:ascii="Times New Roman" w:hAnsi="Times New Roman" w:eastAsia="宋体" w:cs="Times New Roman"/>
                <w:color w:val="FF0000"/>
                <w:sz w:val="21"/>
                <w:szCs w:val="21"/>
                <w:highlight w:val="none"/>
                <w:lang w:val="en-US" w:eastAsia="zh-CN"/>
              </w:rPr>
              <w:t>输电线路（位于其他地区的部分）执行</w:t>
            </w:r>
            <w:r>
              <w:rPr>
                <w:rFonts w:hint="eastAsia" w:ascii="Times New Roman" w:hAnsi="Times New Roman" w:eastAsia="宋体" w:cs="Times New Roman"/>
                <w:color w:val="FF0000"/>
                <w:sz w:val="21"/>
                <w:szCs w:val="21"/>
                <w:highlight w:val="none"/>
                <w:lang w:eastAsia="zh-CN"/>
              </w:rPr>
              <w:t>《声环境质量标准》(GB3096-2008)中的</w:t>
            </w:r>
            <w:r>
              <w:rPr>
                <w:rFonts w:hint="eastAsia" w:ascii="Times New Roman" w:hAnsi="Times New Roman" w:eastAsia="宋体" w:cs="Times New Roman"/>
                <w:color w:val="FF0000"/>
                <w:sz w:val="21"/>
                <w:szCs w:val="21"/>
                <w:highlight w:val="none"/>
                <w:lang w:val="en-US" w:eastAsia="zh-CN"/>
              </w:rPr>
              <w:t>1</w:t>
            </w:r>
            <w:r>
              <w:rPr>
                <w:rFonts w:hint="eastAsia" w:ascii="Times New Roman" w:hAnsi="Times New Roman" w:eastAsia="宋体" w:cs="Times New Roman"/>
                <w:color w:val="FF0000"/>
                <w:sz w:val="21"/>
                <w:szCs w:val="21"/>
                <w:highlight w:val="none"/>
                <w:lang w:eastAsia="zh-CN"/>
              </w:rPr>
              <w:t>类标准</w:t>
            </w:r>
            <w:r>
              <w:rPr>
                <w:rFonts w:hint="eastAsia" w:ascii="Times New Roman" w:hAnsi="Times New Roman" w:eastAsia="宋体" w:cs="Times New Roman"/>
                <w:color w:val="FF0000"/>
                <w:sz w:val="21"/>
                <w:szCs w:val="21"/>
                <w:highlight w:val="none"/>
                <w:lang w:val="en-US" w:eastAsia="zh-CN"/>
              </w:rPr>
              <w:t>中的昼间≤55dB（A），夜间≤45dB（A）的要求</w:t>
            </w:r>
            <w:r>
              <w:rPr>
                <w:rFonts w:hint="default" w:ascii="Times New Roman" w:hAnsi="Times New Roman" w:eastAsia="宋体" w:cs="Times New Roman"/>
                <w:color w:val="FF0000"/>
                <w:sz w:val="21"/>
                <w:szCs w:val="21"/>
                <w:highlight w:val="none"/>
              </w:rPr>
              <w:t>；</w:t>
            </w:r>
            <w:r>
              <w:rPr>
                <w:rFonts w:hint="eastAsia" w:ascii="Times New Roman" w:hAnsi="Times New Roman" w:eastAsia="宋体" w:cs="Times New Roman"/>
                <w:color w:val="000000"/>
                <w:sz w:val="21"/>
                <w:szCs w:val="21"/>
                <w:highlight w:val="none"/>
                <w:lang w:val="en-US" w:eastAsia="zh-CN"/>
              </w:rPr>
              <w:t>变电站</w:t>
            </w:r>
            <w:r>
              <w:rPr>
                <w:rFonts w:hint="eastAsia" w:ascii="Times New Roman" w:hAnsi="Times New Roman" w:eastAsia="宋体" w:cs="Times New Roman"/>
                <w:color w:val="000000"/>
                <w:sz w:val="21"/>
                <w:szCs w:val="21"/>
                <w:highlight w:val="none"/>
                <w:lang w:eastAsia="zh-CN"/>
              </w:rPr>
              <w:t>站界</w:t>
            </w:r>
            <w:r>
              <w:rPr>
                <w:rFonts w:hint="default" w:ascii="Times New Roman" w:hAnsi="Times New Roman" w:eastAsia="宋体" w:cs="Times New Roman"/>
                <w:color w:val="000000"/>
                <w:sz w:val="21"/>
                <w:szCs w:val="21"/>
                <w:highlight w:val="none"/>
              </w:rPr>
              <w:t>噪声满足《工业企业厂界环境噪声排放标准》（GB12348-2008）标准</w:t>
            </w:r>
            <w:r>
              <w:rPr>
                <w:rFonts w:hint="eastAsia" w:cs="Times New Roman"/>
                <w:color w:val="000000"/>
                <w:sz w:val="21"/>
                <w:szCs w:val="21"/>
                <w:highlight w:val="none"/>
                <w:lang w:val="en-US" w:eastAsia="zh-CN"/>
              </w:rPr>
              <w:t>2</w:t>
            </w:r>
            <w:r>
              <w:rPr>
                <w:rFonts w:hint="eastAsia" w:ascii="Times New Roman" w:hAnsi="Times New Roman" w:eastAsia="宋体" w:cs="Times New Roman"/>
                <w:color w:val="000000"/>
                <w:sz w:val="21"/>
                <w:szCs w:val="21"/>
                <w:highlight w:val="none"/>
                <w:lang w:val="en-US" w:eastAsia="zh-CN"/>
              </w:rPr>
              <w:t>类</w:t>
            </w:r>
            <w:r>
              <w:rPr>
                <w:rFonts w:hint="default" w:ascii="Times New Roman" w:hAnsi="Times New Roman" w:eastAsia="宋体" w:cs="Times New Roman"/>
                <w:color w:val="000000"/>
                <w:sz w:val="21"/>
                <w:szCs w:val="21"/>
                <w:highlight w:val="none"/>
              </w:rPr>
              <w:t>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振动</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大气环境</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eastAsia="zh-CN"/>
              </w:rPr>
              <w:t>土方及时苫盖，施工车辆苫盖，</w:t>
            </w:r>
            <w:r>
              <w:rPr>
                <w:rFonts w:hint="default" w:ascii="Times New Roman" w:hAnsi="Times New Roman" w:eastAsia="宋体" w:cs="Times New Roman"/>
                <w:color w:val="000000"/>
                <w:sz w:val="21"/>
                <w:szCs w:val="21"/>
                <w:highlight w:val="none"/>
              </w:rPr>
              <w:t>洒水抑尘</w:t>
            </w:r>
            <w:r>
              <w:rPr>
                <w:rFonts w:hint="default" w:ascii="Times New Roman" w:hAnsi="Times New Roman" w:eastAsia="宋体" w:cs="Times New Roman"/>
                <w:color w:val="000000"/>
                <w:sz w:val="21"/>
                <w:szCs w:val="21"/>
                <w:highlight w:val="none"/>
                <w:lang w:eastAsia="zh-CN"/>
              </w:rPr>
              <w:t>等</w:t>
            </w:r>
            <w:r>
              <w:rPr>
                <w:rFonts w:hint="default" w:ascii="Times New Roman" w:hAnsi="Times New Roman" w:eastAsia="宋体" w:cs="Times New Roman"/>
                <w:color w:val="000000"/>
                <w:sz w:val="21"/>
                <w:szCs w:val="21"/>
                <w:highlight w:val="none"/>
              </w:rPr>
              <w:t>措施，禁止大风天气施工，施工场地周边应设置围挡等措施</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施工期产生的粉尘排放满足《大气污染物综合排放标准》(GB16297-1996)表2中无组织排放监控浓度限值</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固体废物</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无法利用的建筑垃圾由建设单位统一清运至市政管理部门指定堆放点；生活垃圾集中收集后交由</w:t>
            </w:r>
            <w:r>
              <w:rPr>
                <w:rFonts w:hint="eastAsia" w:ascii="Times New Roman" w:hAnsi="Times New Roman" w:eastAsia="宋体" w:cs="Times New Roman"/>
                <w:color w:val="000000"/>
                <w:sz w:val="21"/>
                <w:szCs w:val="21"/>
                <w:highlight w:val="none"/>
                <w:lang w:eastAsia="zh-CN"/>
              </w:rPr>
              <w:t>市政</w:t>
            </w:r>
            <w:r>
              <w:rPr>
                <w:rFonts w:hint="default" w:ascii="Times New Roman" w:hAnsi="Times New Roman" w:eastAsia="宋体" w:cs="Times New Roman"/>
                <w:color w:val="000000"/>
                <w:sz w:val="21"/>
                <w:szCs w:val="21"/>
                <w:highlight w:val="none"/>
              </w:rPr>
              <w:t>部门统一处理</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落实相关措施，无乱丢乱弃。</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电磁环境</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优化设计、保证安全距离等</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满足</w:t>
            </w:r>
            <w:r>
              <w:rPr>
                <w:rFonts w:hint="default" w:ascii="Times New Roman" w:hAnsi="Times New Roman" w:eastAsia="宋体" w:cs="Times New Roman"/>
                <w:color w:val="000000"/>
                <w:sz w:val="21"/>
                <w:szCs w:val="21"/>
                <w:highlight w:val="none"/>
                <w:lang w:val="en-US" w:eastAsia="zh-CN"/>
              </w:rPr>
              <w:t>《电磁环境控制限值》（</w:t>
            </w:r>
            <w:r>
              <w:rPr>
                <w:rFonts w:hint="eastAsia" w:ascii="Times New Roman" w:hAnsi="Times New Roman" w:eastAsia="宋体" w:cs="Times New Roman"/>
                <w:color w:val="000000"/>
                <w:sz w:val="21"/>
                <w:szCs w:val="21"/>
                <w:highlight w:val="none"/>
                <w:lang w:val="en-US" w:eastAsia="zh-CN"/>
              </w:rPr>
              <w:t>GB</w:t>
            </w:r>
            <w:r>
              <w:rPr>
                <w:rFonts w:hint="default" w:ascii="Times New Roman" w:hAnsi="Times New Roman" w:eastAsia="宋体" w:cs="Times New Roman"/>
                <w:color w:val="000000"/>
                <w:sz w:val="21"/>
                <w:szCs w:val="21"/>
                <w:highlight w:val="none"/>
                <w:lang w:val="en-US" w:eastAsia="zh-CN"/>
              </w:rPr>
              <w:t>8702-2104）</w:t>
            </w:r>
            <w:r>
              <w:rPr>
                <w:rFonts w:hint="eastAsia" w:ascii="Times New Roman" w:hAnsi="Times New Roman" w:eastAsia="宋体" w:cs="Times New Roman"/>
                <w:color w:val="000000"/>
                <w:sz w:val="21"/>
                <w:szCs w:val="21"/>
                <w:highlight w:val="none"/>
                <w:lang w:val="en-US" w:eastAsia="zh-CN"/>
              </w:rPr>
              <w:t>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环境风险</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环境监测</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zh-CN"/>
              </w:rPr>
              <w:t>对扬尘、施工场界噪声进行监测</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zh-CN"/>
              </w:rPr>
              <w:t>落实相关监测计划</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变电站</w:t>
            </w:r>
            <w:r>
              <w:rPr>
                <w:rFonts w:hint="eastAsia" w:ascii="Times New Roman" w:hAnsi="Times New Roman" w:eastAsia="宋体" w:cs="Times New Roman"/>
                <w:color w:val="000000"/>
                <w:sz w:val="21"/>
                <w:szCs w:val="21"/>
                <w:highlight w:val="none"/>
                <w:lang w:val="zh-CN"/>
              </w:rPr>
              <w:t>站界周围、</w:t>
            </w:r>
            <w:r>
              <w:rPr>
                <w:rFonts w:hint="eastAsia" w:ascii="Times New Roman" w:hAnsi="Times New Roman" w:eastAsia="宋体" w:cs="Times New Roman"/>
                <w:color w:val="000000"/>
                <w:sz w:val="21"/>
                <w:szCs w:val="21"/>
                <w:highlight w:val="none"/>
                <w:lang w:val="en-US" w:eastAsia="zh-CN"/>
              </w:rPr>
              <w:t>输电线路两侧</w:t>
            </w:r>
            <w:r>
              <w:rPr>
                <w:rFonts w:hint="default" w:ascii="Times New Roman" w:hAnsi="Times New Roman" w:eastAsia="宋体" w:cs="Times New Roman"/>
                <w:color w:val="000000"/>
                <w:sz w:val="21"/>
                <w:szCs w:val="21"/>
                <w:highlight w:val="none"/>
                <w:lang w:val="zh-CN"/>
              </w:rPr>
              <w:t>噪声进行监测</w:t>
            </w:r>
            <w:r>
              <w:rPr>
                <w:rFonts w:hint="eastAsia" w:ascii="Times New Roman" w:hAnsi="Times New Roman" w:eastAsia="宋体" w:cs="Times New Roman"/>
                <w:color w:val="000000"/>
                <w:sz w:val="21"/>
                <w:szCs w:val="21"/>
                <w:highlight w:val="none"/>
                <w:lang w:val="zh-CN"/>
              </w:rPr>
              <w:t>，</w:t>
            </w:r>
            <w:r>
              <w:rPr>
                <w:rFonts w:hint="eastAsia" w:ascii="Times New Roman" w:hAnsi="Times New Roman" w:eastAsia="宋体" w:cs="Times New Roman"/>
                <w:color w:val="000000"/>
                <w:sz w:val="21"/>
                <w:szCs w:val="21"/>
                <w:highlight w:val="none"/>
                <w:lang w:val="en-US" w:eastAsia="zh-CN"/>
              </w:rPr>
              <w:t>变电站</w:t>
            </w:r>
            <w:r>
              <w:rPr>
                <w:rFonts w:hint="eastAsia" w:ascii="Times New Roman" w:hAnsi="Times New Roman" w:eastAsia="宋体" w:cs="Times New Roman"/>
                <w:color w:val="000000"/>
                <w:sz w:val="21"/>
                <w:szCs w:val="21"/>
                <w:highlight w:val="none"/>
                <w:lang w:val="zh-CN"/>
              </w:rPr>
              <w:t>站界、</w:t>
            </w:r>
            <w:r>
              <w:rPr>
                <w:rFonts w:hint="eastAsia" w:ascii="Times New Roman" w:hAnsi="Times New Roman" w:eastAsia="宋体" w:cs="Times New Roman"/>
                <w:color w:val="000000"/>
                <w:sz w:val="21"/>
                <w:szCs w:val="21"/>
                <w:highlight w:val="none"/>
                <w:lang w:val="en-US" w:eastAsia="zh-CN"/>
              </w:rPr>
              <w:t>输电线路两侧</w:t>
            </w:r>
            <w:r>
              <w:rPr>
                <w:rFonts w:hint="eastAsia" w:ascii="Times New Roman" w:hAnsi="Times New Roman" w:eastAsia="宋体" w:cs="Times New Roman"/>
                <w:color w:val="000000"/>
                <w:sz w:val="21"/>
                <w:szCs w:val="21"/>
                <w:highlight w:val="none"/>
                <w:lang w:val="zh-CN"/>
              </w:rPr>
              <w:t>电磁监测</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zh-CN"/>
              </w:rPr>
              <w:t>落实相关监测计划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46" w:type="pct"/>
            <w:noWrap w:val="0"/>
            <w:vAlign w:val="center"/>
          </w:tcPr>
          <w:p>
            <w:pPr>
              <w:adjustRightInd w:val="0"/>
              <w:snapToGrid w:val="0"/>
              <w:jc w:val="center"/>
              <w:rPr>
                <w:rFonts w:ascii="宋体" w:hAnsi="宋体" w:cs="宋体"/>
                <w:szCs w:val="21"/>
              </w:rPr>
            </w:pPr>
            <w:r>
              <w:rPr>
                <w:rFonts w:hint="eastAsia" w:ascii="宋体" w:hAnsi="宋体" w:cs="宋体"/>
                <w:szCs w:val="21"/>
              </w:rPr>
              <w:t>其他</w:t>
            </w:r>
          </w:p>
        </w:tc>
        <w:tc>
          <w:tcPr>
            <w:tcW w:w="1340"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95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593"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rPr>
              <w:t>/</w:t>
            </w:r>
          </w:p>
        </w:tc>
        <w:tc>
          <w:tcPr>
            <w:tcW w:w="1065" w:type="pct"/>
            <w:shd w:val="clear" w:color="auto" w:fill="auto"/>
            <w:noWrap w:val="0"/>
            <w:vAlign w:val="center"/>
          </w:tcPr>
          <w:p>
            <w:pPr>
              <w:pStyle w:val="54"/>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严格执行环境保护</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三同时</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制度</w:t>
            </w:r>
          </w:p>
        </w:tc>
      </w:tr>
    </w:tbl>
    <w:p>
      <w:pPr>
        <w:pStyle w:val="17"/>
        <w:spacing w:before="192" w:beforeLines="80" w:beforeAutospacing="0"/>
        <w:jc w:val="center"/>
        <w:outlineLvl w:val="0"/>
        <w:rPr>
          <w:rFonts w:hint="eastAsia" w:ascii="黑体" w:hAnsi="黑体" w:eastAsia="黑体"/>
          <w:snapToGrid w:val="0"/>
          <w:sz w:val="30"/>
          <w:szCs w:val="30"/>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pStyle w:val="17"/>
        <w:spacing w:before="192" w:beforeLines="80" w:beforeAutospacing="0"/>
        <w:jc w:val="center"/>
        <w:outlineLvl w:val="0"/>
        <w:rPr>
          <w:rFonts w:ascii="黑体" w:hAnsi="黑体" w:eastAsia="黑体"/>
          <w:snapToGrid w:val="0"/>
          <w:sz w:val="30"/>
          <w:szCs w:val="30"/>
        </w:rPr>
      </w:pPr>
      <w:bookmarkStart w:id="60" w:name="_Toc3117"/>
      <w:r>
        <w:rPr>
          <w:rFonts w:hint="eastAsia" w:ascii="黑体" w:hAnsi="黑体" w:eastAsia="黑体"/>
          <w:snapToGrid w:val="0"/>
          <w:sz w:val="30"/>
          <w:szCs w:val="30"/>
        </w:rPr>
        <w:t>七、结论</w:t>
      </w:r>
      <w:bookmarkEnd w:id="60"/>
    </w:p>
    <w:tbl>
      <w:tblPr>
        <w:tblStyle w:val="20"/>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pacing w:val="0"/>
                <w:w w:val="100"/>
                <w:kern w:val="0"/>
                <w:position w:val="0"/>
                <w:sz w:val="24"/>
                <w:szCs w:val="24"/>
                <w:highlight w:val="none"/>
                <w:lang w:val="en-US" w:eastAsia="zh-CN"/>
              </w:rPr>
            </w:pPr>
            <w:r>
              <w:rPr>
                <w:rFonts w:hint="default" w:ascii="Times New Roman" w:hAnsi="Times New Roman" w:eastAsia="宋体" w:cs="Times New Roman"/>
                <w:color w:val="000000"/>
                <w:sz w:val="24"/>
                <w:szCs w:val="24"/>
              </w:rPr>
              <w:t>龙煤双鸭山集贤200MW风力发电项目接网工程</w:t>
            </w:r>
            <w:r>
              <w:rPr>
                <w:rFonts w:hint="eastAsia" w:ascii="Times New Roman" w:hAnsi="Times New Roman" w:eastAsia="宋体" w:cs="Times New Roman"/>
                <w:color w:val="000000"/>
                <w:sz w:val="24"/>
                <w:szCs w:val="24"/>
                <w:lang w:val="en-US" w:eastAsia="zh-CN"/>
              </w:rPr>
              <w:t>项目</w:t>
            </w:r>
            <w:r>
              <w:rPr>
                <w:rFonts w:hint="default" w:ascii="Times New Roman" w:hAnsi="Times New Roman" w:eastAsia="宋体" w:cs="Times New Roman"/>
                <w:spacing w:val="0"/>
                <w:w w:val="100"/>
                <w:kern w:val="0"/>
                <w:position w:val="0"/>
                <w:sz w:val="24"/>
                <w:szCs w:val="24"/>
                <w:highlight w:val="none"/>
                <w:lang w:val="en-US" w:eastAsia="zh-CN"/>
              </w:rPr>
              <w:t>在加强该地区供电网络建设、拉动地方经济、创造良好的经济发展环境等方面都将发挥积极的作用。该项目符合国家相关产业政策，在严格落实本报告表提出的污染防治措施的基础上，切实做到</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三同时</w:t>
            </w:r>
            <w:r>
              <w:rPr>
                <w:rFonts w:hint="eastAsia" w:ascii="Times New Roman" w:hAnsi="Times New Roman" w:eastAsia="宋体" w:cs="Times New Roman"/>
                <w:spacing w:val="0"/>
                <w:w w:val="100"/>
                <w:kern w:val="0"/>
                <w:position w:val="0"/>
                <w:sz w:val="24"/>
                <w:szCs w:val="24"/>
                <w:highlight w:val="none"/>
                <w:lang w:val="en-US" w:eastAsia="zh-CN"/>
              </w:rPr>
              <w:t>”</w:t>
            </w:r>
            <w:r>
              <w:rPr>
                <w:rFonts w:hint="default" w:ascii="Times New Roman" w:hAnsi="Times New Roman" w:eastAsia="宋体" w:cs="Times New Roman"/>
                <w:spacing w:val="0"/>
                <w:w w:val="100"/>
                <w:kern w:val="0"/>
                <w:position w:val="0"/>
                <w:sz w:val="24"/>
                <w:szCs w:val="24"/>
                <w:highlight w:val="none"/>
                <w:lang w:val="en-US" w:eastAsia="zh-CN"/>
              </w:rPr>
              <w:t>的情况下，本项目施工期扬尘、噪声、生活污水及少量的植被破坏和水土流失等对周围环境影响较小，项目施工期结束后通过生态恢复措施恢复项目沿线的生态环境，对生态环境的影响可接受；营运期噪声、电磁环境符合国家标准要求，对周围环境影响较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s="宋体"/>
                <w:szCs w:val="21"/>
              </w:rPr>
            </w:pPr>
            <w:r>
              <w:rPr>
                <w:rFonts w:hint="default" w:ascii="Times New Roman" w:hAnsi="Times New Roman" w:eastAsia="宋体" w:cs="Times New Roman"/>
                <w:spacing w:val="0"/>
                <w:w w:val="100"/>
                <w:kern w:val="0"/>
                <w:position w:val="0"/>
                <w:sz w:val="24"/>
                <w:szCs w:val="24"/>
                <w:highlight w:val="none"/>
                <w:lang w:val="en-US" w:eastAsia="zh-CN"/>
              </w:rPr>
              <w:t>从环境角度讲，本项目建设可行。</w:t>
            </w:r>
          </w:p>
        </w:tc>
      </w:tr>
    </w:tbl>
    <w:p>
      <w:pPr>
        <w:rPr>
          <w:rFonts w:ascii="宋体"/>
        </w:rPr>
      </w:pPr>
    </w:p>
    <w:p>
      <w:pPr>
        <w:adjustRightInd w:val="0"/>
        <w:snapToGrid w:val="0"/>
        <w:spacing w:before="192" w:beforeLines="80"/>
        <w:rPr>
          <w:rFonts w:ascii="宋体" w:cs="宋体"/>
          <w:szCs w:val="21"/>
        </w:rPr>
      </w:pPr>
      <w:r>
        <w:rPr>
          <w:rFonts w:ascii="黑体" w:hAnsi="黑体" w:eastAsia="黑体"/>
          <w:snapToGrid w:val="0"/>
          <w:sz w:val="32"/>
          <w:szCs w:val="32"/>
        </w:rPr>
        <w:br w:type="page"/>
      </w:r>
    </w:p>
    <w:p>
      <w:pPr>
        <w:pStyle w:val="1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firstLine="0" w:firstLineChars="0"/>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61" w:name="_Toc28938"/>
      <w:bookmarkStart w:id="62" w:name="_Toc7439"/>
      <w:bookmarkStart w:id="63" w:name="_Toc6990"/>
      <w:bookmarkStart w:id="64" w:name="_Toc29560"/>
      <w:bookmarkStart w:id="65" w:name="_Toc3802"/>
      <w:r>
        <w:rPr>
          <w:rFonts w:hint="default" w:ascii="Times New Roman" w:hAnsi="Times New Roman" w:eastAsia="宋体" w:cs="Times New Roman"/>
          <w:b/>
          <w:bCs/>
          <w:snapToGrid w:val="0"/>
          <w:color w:val="000000"/>
          <w:sz w:val="24"/>
          <w:szCs w:val="24"/>
          <w:highlight w:val="none"/>
          <w:lang w:val="en-US" w:eastAsia="zh-CN"/>
        </w:rPr>
        <w:t>附件</w:t>
      </w:r>
      <w:bookmarkEnd w:id="61"/>
      <w:bookmarkEnd w:id="62"/>
      <w:bookmarkEnd w:id="63"/>
      <w:bookmarkEnd w:id="64"/>
      <w:bookmarkEnd w:id="65"/>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rPr>
      </w:pPr>
      <w:bookmarkStart w:id="66" w:name="_Toc17978"/>
      <w:bookmarkStart w:id="67" w:name="_Toc7645"/>
      <w:bookmarkStart w:id="68" w:name="_Toc22945"/>
      <w:bookmarkStart w:id="69" w:name="_Toc27276"/>
      <w:r>
        <w:rPr>
          <w:rFonts w:hint="default" w:ascii="Times New Roman" w:hAnsi="Times New Roman" w:eastAsia="宋体" w:cs="Times New Roman"/>
          <w:b/>
          <w:bCs/>
          <w:snapToGrid w:val="0"/>
          <w:color w:val="000000"/>
          <w:sz w:val="24"/>
          <w:szCs w:val="24"/>
          <w:highlight w:val="none"/>
        </w:rPr>
        <w:t>附件1</w:t>
      </w:r>
      <w:r>
        <w:rPr>
          <w:rFonts w:hint="eastAsia" w:cs="Times New Roman"/>
          <w:b/>
          <w:bCs/>
          <w:snapToGrid w:val="0"/>
          <w:color w:val="000000"/>
          <w:sz w:val="24"/>
          <w:szCs w:val="24"/>
          <w:highlight w:val="none"/>
          <w:lang w:val="en-US" w:eastAsia="zh-CN"/>
        </w:rPr>
        <w:t xml:space="preserve"> </w:t>
      </w:r>
      <w:r>
        <w:rPr>
          <w:rFonts w:hint="default" w:ascii="Times New Roman" w:hAnsi="Times New Roman" w:eastAsia="宋体" w:cs="Times New Roman"/>
          <w:b/>
          <w:bCs/>
          <w:snapToGrid w:val="0"/>
          <w:color w:val="000000"/>
          <w:sz w:val="24"/>
          <w:szCs w:val="24"/>
          <w:highlight w:val="none"/>
        </w:rPr>
        <w:t>电磁环境影响专项评价</w:t>
      </w:r>
      <w:bookmarkEnd w:id="66"/>
      <w:bookmarkEnd w:id="67"/>
      <w:bookmarkEnd w:id="68"/>
      <w:bookmarkEnd w:id="69"/>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snapToGrid w:val="0"/>
          <w:color w:val="000000"/>
          <w:sz w:val="24"/>
          <w:szCs w:val="24"/>
          <w:highlight w:val="none"/>
        </w:r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snapToGrid w:val="0"/>
          <w:color w:val="000000"/>
          <w:sz w:val="24"/>
          <w:szCs w:val="24"/>
          <w:highlight w:val="none"/>
        </w:r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snapToGrid w:val="0"/>
          <w:color w:val="000000"/>
          <w:sz w:val="24"/>
          <w:szCs w:val="24"/>
          <w:highlight w:val="none"/>
        </w:rPr>
      </w:pPr>
    </w:p>
    <w:p>
      <w:pPr>
        <w:keepNext w:val="0"/>
        <w:keepLines w:val="0"/>
        <w:widowControl/>
        <w:suppressLineNumbers w:val="0"/>
        <w:jc w:val="left"/>
        <w:rPr>
          <w:rFonts w:hint="default" w:ascii="宋体" w:hAnsi="宋体" w:eastAsia="宋体" w:cs="宋体"/>
          <w:b/>
          <w:bCs/>
          <w:color w:val="000000"/>
          <w:kern w:val="0"/>
          <w:sz w:val="52"/>
          <w:szCs w:val="52"/>
          <w:lang w:val="en-US" w:eastAsia="zh-CN" w:bidi="ar"/>
        </w:rPr>
      </w:pPr>
    </w:p>
    <w:p>
      <w:pPr>
        <w:keepNext w:val="0"/>
        <w:keepLines w:val="0"/>
        <w:widowControl/>
        <w:suppressLineNumbers w:val="0"/>
        <w:jc w:val="left"/>
        <w:rPr>
          <w:rFonts w:hint="default" w:ascii="宋体" w:hAnsi="宋体" w:eastAsia="宋体" w:cs="宋体"/>
          <w:b/>
          <w:bCs/>
          <w:color w:val="000000"/>
          <w:kern w:val="0"/>
          <w:sz w:val="52"/>
          <w:szCs w:val="52"/>
          <w:lang w:val="en-US" w:eastAsia="zh-CN" w:bidi="ar"/>
        </w:rPr>
      </w:pP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52"/>
          <w:szCs w:val="52"/>
          <w:lang w:val="en-US" w:eastAsia="zh-CN" w:bidi="ar"/>
        </w:rPr>
      </w:pPr>
      <w:r>
        <w:rPr>
          <w:rFonts w:hint="eastAsia" w:ascii="宋体" w:hAnsi="宋体" w:eastAsia="宋体" w:cs="宋体"/>
          <w:b/>
          <w:bCs/>
          <w:color w:val="000000"/>
          <w:kern w:val="0"/>
          <w:sz w:val="52"/>
          <w:szCs w:val="52"/>
          <w:lang w:val="en-US" w:eastAsia="zh-CN" w:bidi="ar"/>
        </w:rPr>
        <w:t>龙煤双鸭山集贤200MW风力发电项目接网工程项目</w:t>
      </w: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52"/>
          <w:szCs w:val="52"/>
          <w:lang w:val="en-US" w:eastAsia="zh-CN" w:bidi="ar"/>
        </w:rPr>
      </w:pPr>
      <w:r>
        <w:rPr>
          <w:rFonts w:hint="eastAsia" w:ascii="宋体" w:hAnsi="宋体" w:eastAsia="宋体" w:cs="宋体"/>
          <w:b/>
          <w:bCs/>
          <w:color w:val="000000"/>
          <w:kern w:val="0"/>
          <w:sz w:val="52"/>
          <w:szCs w:val="52"/>
          <w:lang w:val="en-US" w:eastAsia="zh-CN" w:bidi="ar"/>
        </w:rPr>
        <w:t>电磁环境影响专题评价</w:t>
      </w: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52"/>
          <w:szCs w:val="52"/>
          <w:lang w:val="en-US" w:eastAsia="zh-CN" w:bidi="ar"/>
        </w:rPr>
      </w:pP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52"/>
          <w:szCs w:val="52"/>
          <w:lang w:val="en-US" w:eastAsia="zh-CN" w:bidi="ar"/>
        </w:rPr>
      </w:pP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52"/>
          <w:szCs w:val="52"/>
          <w:lang w:val="en-US" w:eastAsia="zh-CN" w:bidi="ar"/>
        </w:rPr>
      </w:pP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52"/>
          <w:szCs w:val="52"/>
          <w:lang w:val="en-US" w:eastAsia="zh-CN" w:bidi="ar"/>
        </w:rPr>
      </w:pP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52"/>
          <w:szCs w:val="52"/>
          <w:lang w:val="en-US" w:eastAsia="zh-CN" w:bidi="ar"/>
        </w:rPr>
      </w:pP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52"/>
          <w:szCs w:val="52"/>
          <w:lang w:val="en-US" w:eastAsia="zh-CN" w:bidi="ar"/>
        </w:rPr>
      </w:pP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52"/>
          <w:szCs w:val="52"/>
          <w:lang w:val="en-US" w:eastAsia="zh-CN" w:bidi="ar"/>
        </w:rPr>
      </w:pPr>
    </w:p>
    <w:p>
      <w:pPr>
        <w:keepNext w:val="0"/>
        <w:keepLines w:val="0"/>
        <w:widowControl/>
        <w:suppressLineNumbers w:val="0"/>
        <w:ind w:left="0" w:leftChars="0" w:firstLine="0" w:firstLineChars="0"/>
        <w:jc w:val="both"/>
        <w:rPr>
          <w:rFonts w:hint="eastAsia" w:ascii="宋体" w:hAnsi="宋体" w:eastAsia="宋体" w:cs="宋体"/>
          <w:b/>
          <w:bCs/>
          <w:color w:val="000000"/>
          <w:kern w:val="0"/>
          <w:sz w:val="28"/>
          <w:szCs w:val="28"/>
          <w:lang w:val="en-US" w:eastAsia="zh-CN" w:bidi="ar"/>
        </w:rPr>
      </w:pPr>
    </w:p>
    <w:p>
      <w:pPr>
        <w:keepNext w:val="0"/>
        <w:keepLines w:val="0"/>
        <w:widowControl/>
        <w:suppressLineNumbers w:val="0"/>
        <w:ind w:left="0" w:leftChars="0" w:firstLine="0" w:firstLineChars="0"/>
        <w:jc w:val="both"/>
        <w:rPr>
          <w:rFonts w:hint="eastAsia" w:ascii="宋体" w:hAnsi="宋体" w:eastAsia="宋体" w:cs="宋体"/>
          <w:b/>
          <w:bCs/>
          <w:color w:val="000000"/>
          <w:kern w:val="0"/>
          <w:sz w:val="28"/>
          <w:szCs w:val="28"/>
          <w:lang w:val="en-US" w:eastAsia="zh-CN" w:bidi="ar"/>
        </w:rPr>
      </w:pPr>
    </w:p>
    <w:p>
      <w:pPr>
        <w:keepNext w:val="0"/>
        <w:keepLines w:val="0"/>
        <w:widowControl/>
        <w:suppressLineNumbers w:val="0"/>
        <w:ind w:left="0" w:leftChars="0" w:firstLine="0" w:firstLineChars="0"/>
        <w:jc w:val="both"/>
        <w:rPr>
          <w:rFonts w:hint="eastAsia" w:ascii="宋体" w:hAnsi="宋体" w:eastAsia="宋体" w:cs="宋体"/>
          <w:b/>
          <w:bCs/>
          <w:color w:val="000000"/>
          <w:kern w:val="0"/>
          <w:sz w:val="28"/>
          <w:szCs w:val="28"/>
          <w:lang w:val="en-US" w:eastAsia="zh-CN" w:bidi="ar"/>
        </w:rPr>
      </w:pPr>
    </w:p>
    <w:p>
      <w:pPr>
        <w:keepNext w:val="0"/>
        <w:keepLines w:val="0"/>
        <w:widowControl/>
        <w:suppressLineNumbers w:val="0"/>
        <w:ind w:left="0" w:leftChars="0" w:firstLine="0" w:firstLineChars="0"/>
        <w:jc w:val="center"/>
        <w:rPr>
          <w:rFonts w:hint="eastAsia" w:ascii="宋体" w:hAnsi="宋体" w:eastAsia="宋体" w:cs="宋体"/>
          <w:b/>
          <w:bCs/>
          <w:color w:val="000000"/>
          <w:kern w:val="0"/>
          <w:sz w:val="28"/>
          <w:szCs w:val="28"/>
          <w:lang w:val="en-US" w:eastAsia="zh-CN" w:bidi="ar"/>
        </w:rPr>
      </w:pPr>
      <w:r>
        <w:rPr>
          <w:rFonts w:hint="eastAsia" w:ascii="宋体" w:hAnsi="宋体" w:eastAsia="宋体" w:cs="宋体"/>
          <w:b/>
          <w:bCs/>
          <w:color w:val="000000"/>
          <w:kern w:val="0"/>
          <w:sz w:val="28"/>
          <w:szCs w:val="28"/>
          <w:lang w:val="en-US" w:eastAsia="zh-CN" w:bidi="ar"/>
        </w:rPr>
        <w:t>建设单位：双鸭山龙双发电有限公司</w:t>
      </w:r>
    </w:p>
    <w:p>
      <w:pPr>
        <w:keepNext w:val="0"/>
        <w:keepLines w:val="0"/>
        <w:widowControl/>
        <w:suppressLineNumbers w:val="0"/>
        <w:ind w:left="0" w:leftChars="0" w:firstLine="0" w:firstLineChars="0"/>
        <w:jc w:val="center"/>
        <w:rPr>
          <w:rFonts w:hint="default" w:ascii="宋体" w:hAnsi="宋体" w:eastAsia="宋体" w:cs="宋体"/>
          <w:b/>
          <w:bCs/>
          <w:color w:val="000000"/>
          <w:kern w:val="0"/>
          <w:sz w:val="28"/>
          <w:szCs w:val="28"/>
          <w:lang w:val="en-US" w:eastAsia="zh-CN" w:bidi="ar"/>
        </w:rPr>
      </w:pPr>
      <w:r>
        <w:rPr>
          <w:rFonts w:hint="eastAsia" w:ascii="宋体" w:hAnsi="宋体" w:eastAsia="宋体" w:cs="宋体"/>
          <w:b/>
          <w:bCs/>
          <w:color w:val="000000"/>
          <w:kern w:val="0"/>
          <w:sz w:val="28"/>
          <w:szCs w:val="28"/>
          <w:lang w:val="en-US" w:eastAsia="zh-CN" w:bidi="ar"/>
        </w:rPr>
        <w:t>编制日期：2025年1</w:t>
      </w:r>
      <w:r>
        <w:rPr>
          <w:rFonts w:hint="eastAsia" w:ascii="宋体" w:hAnsi="宋体" w:cs="宋体"/>
          <w:b/>
          <w:bCs/>
          <w:color w:val="000000"/>
          <w:kern w:val="0"/>
          <w:sz w:val="28"/>
          <w:szCs w:val="28"/>
          <w:lang w:val="en-US" w:eastAsia="zh-CN" w:bidi="ar"/>
        </w:rPr>
        <w:t>2</w:t>
      </w:r>
      <w:r>
        <w:rPr>
          <w:rFonts w:hint="eastAsia" w:ascii="宋体" w:hAnsi="宋体" w:eastAsia="宋体" w:cs="宋体"/>
          <w:b/>
          <w:bCs/>
          <w:color w:val="000000"/>
          <w:kern w:val="0"/>
          <w:sz w:val="28"/>
          <w:szCs w:val="28"/>
          <w:lang w:val="en-US" w:eastAsia="zh-CN" w:bidi="ar"/>
        </w:rPr>
        <w:t>月</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bCs/>
          <w:color w:val="000000"/>
          <w:szCs w:val="21"/>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20"/>
        <w:tblW w:w="0" w:type="auto"/>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0"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sz w:val="24"/>
                <w:szCs w:val="24"/>
                <w:highlight w:val="none"/>
              </w:rPr>
            </w:pPr>
            <w:r>
              <w:rPr>
                <w:rFonts w:hint="default" w:ascii="Times New Roman" w:hAnsi="Times New Roman" w:eastAsia="宋体" w:cs="Times New Roman"/>
                <w:b/>
                <w:bCs/>
                <w:color w:val="000000"/>
                <w:sz w:val="24"/>
                <w:szCs w:val="24"/>
                <w:highlight w:val="none"/>
                <w:lang w:val="en-US" w:eastAsia="zh-CN"/>
              </w:rPr>
              <w:t>1</w:t>
            </w:r>
            <w:r>
              <w:rPr>
                <w:rFonts w:hint="eastAsia" w:ascii="Times New Roman" w:hAnsi="Times New Roman" w:eastAsia="宋体" w:cs="Times New Roman"/>
                <w:b/>
                <w:bCs/>
                <w:color w:val="000000"/>
                <w:sz w:val="24"/>
                <w:szCs w:val="24"/>
                <w:highlight w:val="none"/>
                <w:lang w:val="en-US" w:eastAsia="zh-CN"/>
              </w:rPr>
              <w:t>、工程概况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（1）项目名称：龙煤双鸭山集贤200MW风力发电项目接网工程项目；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（2）建设单位：双鸭山龙双发电有限公司；</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（3）建设性质：新建；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（4）建设地址：</w:t>
            </w:r>
            <w:r>
              <w:rPr>
                <w:rFonts w:hint="default" w:ascii="Times New Roman" w:hAnsi="Times New Roman" w:eastAsia="宋体" w:cs="Times New Roman"/>
                <w:color w:val="000000"/>
                <w:sz w:val="24"/>
                <w:szCs w:val="24"/>
                <w:highlight w:val="none"/>
                <w:u w:val="none"/>
              </w:rPr>
              <w:t>黑龙江省</w:t>
            </w:r>
            <w:r>
              <w:rPr>
                <w:rFonts w:hint="eastAsia" w:ascii="Times New Roman" w:hAnsi="Times New Roman" w:eastAsia="宋体" w:cs="Times New Roman"/>
                <w:color w:val="000000"/>
                <w:sz w:val="24"/>
                <w:szCs w:val="24"/>
                <w:highlight w:val="none"/>
                <w:u w:val="none"/>
                <w:lang w:val="en-US" w:eastAsia="zh-CN"/>
              </w:rPr>
              <w:t>双鸭山市集贤县</w:t>
            </w:r>
            <w:r>
              <w:rPr>
                <w:rFonts w:hint="eastAsia" w:cs="Times New Roman"/>
                <w:color w:val="000000"/>
                <w:sz w:val="24"/>
                <w:szCs w:val="24"/>
                <w:highlight w:val="none"/>
                <w:u w:val="none"/>
                <w:lang w:val="en-US" w:eastAsia="zh-CN"/>
              </w:rPr>
              <w:t>和</w:t>
            </w:r>
            <w:r>
              <w:rPr>
                <w:rFonts w:hint="eastAsia" w:ascii="Times New Roman" w:hAnsi="Times New Roman" w:eastAsia="宋体" w:cs="Times New Roman"/>
                <w:color w:val="000000"/>
                <w:sz w:val="24"/>
                <w:szCs w:val="24"/>
                <w:highlight w:val="none"/>
                <w:u w:val="none"/>
                <w:lang w:val="en-US" w:eastAsia="zh-CN"/>
              </w:rPr>
              <w:t>双鸭山市</w:t>
            </w:r>
            <w:r>
              <w:rPr>
                <w:rFonts w:hint="eastAsia" w:cs="Times New Roman"/>
                <w:color w:val="000000"/>
                <w:sz w:val="24"/>
                <w:szCs w:val="24"/>
                <w:highlight w:val="none"/>
                <w:u w:val="none"/>
                <w:lang w:val="en-US" w:eastAsia="zh-CN"/>
              </w:rPr>
              <w:t>四方台区</w:t>
            </w:r>
            <w:r>
              <w:rPr>
                <w:rFonts w:hint="eastAsia" w:ascii="Times New Roman" w:hAnsi="Times New Roman" w:eastAsia="宋体" w:cs="Times New Roman"/>
                <w:color w:val="000000"/>
                <w:sz w:val="24"/>
                <w:szCs w:val="24"/>
                <w:highlight w:val="none"/>
                <w:u w:val="none"/>
                <w:lang w:val="en-US" w:eastAsia="zh-CN"/>
              </w:rPr>
              <w:t>境内</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（5）占地面积：项目总占地面积为255500.</w:t>
            </w:r>
            <w:r>
              <w:rPr>
                <w:rFonts w:hint="eastAsia" w:cs="Times New Roman"/>
                <w:color w:val="000000"/>
                <w:sz w:val="24"/>
                <w:szCs w:val="24"/>
                <w:highlight w:val="none"/>
                <w:lang w:val="en-US" w:eastAsia="zh-CN"/>
              </w:rPr>
              <w:t>1</w:t>
            </w:r>
            <w:r>
              <w:rPr>
                <w:rFonts w:hint="eastAsia" w:ascii="Times New Roman" w:hAnsi="Times New Roman" w:eastAsia="宋体" w:cs="Times New Roman"/>
                <w:color w:val="000000"/>
                <w:sz w:val="24"/>
                <w:szCs w:val="24"/>
                <w:highlight w:val="none"/>
                <w:lang w:val="en-US" w:eastAsia="zh-CN"/>
              </w:rPr>
              <w:t>m</w:t>
            </w:r>
            <w:r>
              <w:rPr>
                <w:rFonts w:hint="eastAsia"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，永久占地</w:t>
            </w:r>
            <w:r>
              <w:rPr>
                <w:rFonts w:hint="eastAsia" w:cs="Times New Roman"/>
                <w:color w:val="000000"/>
                <w:sz w:val="24"/>
                <w:szCs w:val="24"/>
                <w:highlight w:val="none"/>
                <w:lang w:val="en-US" w:eastAsia="zh-CN"/>
              </w:rPr>
              <w:t>（租地）</w:t>
            </w:r>
            <w:r>
              <w:rPr>
                <w:rFonts w:hint="eastAsia" w:ascii="Times New Roman" w:hAnsi="Times New Roman" w:eastAsia="宋体" w:cs="Times New Roman"/>
                <w:color w:val="000000"/>
                <w:sz w:val="24"/>
                <w:szCs w:val="24"/>
                <w:highlight w:val="none"/>
                <w:lang w:val="en-US" w:eastAsia="zh-CN"/>
              </w:rPr>
              <w:t>5864.63m</w:t>
            </w:r>
            <w:r>
              <w:rPr>
                <w:rFonts w:hint="eastAsia"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，临时占地249635.4</w:t>
            </w:r>
            <w:r>
              <w:rPr>
                <w:rFonts w:hint="eastAsia" w:cs="Times New Roman"/>
                <w:color w:val="000000"/>
                <w:sz w:val="24"/>
                <w:szCs w:val="24"/>
                <w:highlight w:val="none"/>
                <w:lang w:val="en-US" w:eastAsia="zh-CN"/>
              </w:rPr>
              <w:t>7</w:t>
            </w:r>
            <w:r>
              <w:rPr>
                <w:rFonts w:hint="eastAsia" w:ascii="Times New Roman" w:hAnsi="Times New Roman" w:eastAsia="宋体" w:cs="Times New Roman"/>
                <w:color w:val="000000"/>
                <w:sz w:val="24"/>
                <w:szCs w:val="24"/>
                <w:highlight w:val="none"/>
                <w:lang w:val="en-US" w:eastAsia="zh-CN"/>
              </w:rPr>
              <w:t>m</w:t>
            </w:r>
            <w:r>
              <w:rPr>
                <w:rFonts w:hint="eastAsia" w:ascii="Times New Roman" w:hAnsi="Times New Roman" w:eastAsia="宋体" w:cs="Times New Roman"/>
                <w:color w:val="000000"/>
                <w:sz w:val="24"/>
                <w:szCs w:val="24"/>
                <w:highlight w:val="none"/>
                <w:vertAlign w:val="superscript"/>
                <w:lang w:val="en-US" w:eastAsia="zh-CN"/>
              </w:rPr>
              <w:t>2</w:t>
            </w:r>
            <w:r>
              <w:rPr>
                <w:rFonts w:hint="eastAsia" w:ascii="Times New Roman" w:hAnsi="Times New Roman" w:eastAsia="宋体" w:cs="Times New Roman"/>
                <w:color w:val="000000"/>
                <w:sz w:val="24"/>
                <w:szCs w:val="24"/>
                <w:highlight w:val="none"/>
                <w:lang w:val="en-US" w:eastAsia="zh-CN"/>
              </w:rPr>
              <w:t>，占地类型为耕地。</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（6）建设时间：202</w:t>
            </w:r>
            <w:r>
              <w:rPr>
                <w:rFonts w:hint="eastAsia" w:cs="Times New Roman"/>
                <w:color w:val="000000"/>
                <w:sz w:val="24"/>
                <w:szCs w:val="24"/>
                <w:highlight w:val="none"/>
                <w:lang w:val="en-US" w:eastAsia="zh-CN"/>
              </w:rPr>
              <w:t>6</w:t>
            </w:r>
            <w:r>
              <w:rPr>
                <w:rFonts w:hint="eastAsia" w:ascii="Times New Roman" w:hAnsi="Times New Roman" w:eastAsia="宋体" w:cs="Times New Roman"/>
                <w:color w:val="000000"/>
                <w:sz w:val="24"/>
                <w:szCs w:val="24"/>
                <w:highlight w:val="none"/>
                <w:lang w:val="en-US" w:eastAsia="zh-CN"/>
              </w:rPr>
              <w:t>年</w:t>
            </w:r>
            <w:r>
              <w:rPr>
                <w:rFonts w:hint="eastAsia" w:cs="Times New Roman"/>
                <w:color w:val="000000"/>
                <w:sz w:val="24"/>
                <w:szCs w:val="24"/>
                <w:highlight w:val="none"/>
                <w:lang w:val="en-US" w:eastAsia="zh-CN"/>
              </w:rPr>
              <w:t>3</w:t>
            </w:r>
            <w:r>
              <w:rPr>
                <w:rFonts w:hint="eastAsia" w:ascii="Times New Roman" w:hAnsi="Times New Roman" w:eastAsia="宋体" w:cs="Times New Roman"/>
                <w:color w:val="000000"/>
                <w:sz w:val="24"/>
                <w:szCs w:val="24"/>
                <w:highlight w:val="none"/>
                <w:lang w:val="en-US" w:eastAsia="zh-CN"/>
              </w:rPr>
              <w:t>月-202</w:t>
            </w:r>
            <w:r>
              <w:rPr>
                <w:rFonts w:hint="eastAsia" w:cs="Times New Roman"/>
                <w:color w:val="000000"/>
                <w:sz w:val="24"/>
                <w:szCs w:val="24"/>
                <w:highlight w:val="none"/>
                <w:lang w:val="en-US" w:eastAsia="zh-CN"/>
              </w:rPr>
              <w:t>6</w:t>
            </w:r>
            <w:r>
              <w:rPr>
                <w:rFonts w:hint="eastAsia" w:ascii="Times New Roman" w:hAnsi="Times New Roman" w:eastAsia="宋体" w:cs="Times New Roman"/>
                <w:color w:val="000000"/>
                <w:sz w:val="24"/>
                <w:szCs w:val="24"/>
                <w:highlight w:val="none"/>
                <w:lang w:val="en-US" w:eastAsia="zh-CN"/>
              </w:rPr>
              <w:t>年</w:t>
            </w:r>
            <w:r>
              <w:rPr>
                <w:rFonts w:hint="eastAsia" w:cs="Times New Roman"/>
                <w:color w:val="000000"/>
                <w:sz w:val="24"/>
                <w:szCs w:val="24"/>
                <w:highlight w:val="none"/>
                <w:lang w:val="en-US" w:eastAsia="zh-CN"/>
              </w:rPr>
              <w:t>5</w:t>
            </w:r>
            <w:r>
              <w:rPr>
                <w:rFonts w:hint="eastAsia" w:ascii="Times New Roman" w:hAnsi="Times New Roman" w:eastAsia="宋体" w:cs="Times New Roman"/>
                <w:color w:val="000000"/>
                <w:sz w:val="24"/>
                <w:szCs w:val="24"/>
                <w:highlight w:val="none"/>
                <w:lang w:val="en-US" w:eastAsia="zh-CN"/>
              </w:rPr>
              <w:t>月；</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（7）总投资：5416</w:t>
            </w:r>
            <w:r>
              <w:rPr>
                <w:rFonts w:hint="eastAsia"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712</w:t>
            </w:r>
            <w:r>
              <w:rPr>
                <w:rFonts w:hint="eastAsia" w:cs="Times New Roman"/>
                <w:color w:val="000000"/>
                <w:sz w:val="24"/>
                <w:szCs w:val="24"/>
                <w:highlight w:val="none"/>
                <w:lang w:val="en-US" w:eastAsia="zh-CN"/>
              </w:rPr>
              <w:t>万</w:t>
            </w:r>
            <w:r>
              <w:rPr>
                <w:rFonts w:hint="eastAsia" w:ascii="Times New Roman" w:hAnsi="Times New Roman" w:eastAsia="宋体" w:cs="Times New Roman"/>
                <w:color w:val="000000"/>
                <w:sz w:val="24"/>
                <w:szCs w:val="24"/>
                <w:highlight w:val="none"/>
                <w:lang w:val="en-US" w:eastAsia="zh-CN"/>
              </w:rPr>
              <w:t>元，其中环保投资</w:t>
            </w:r>
            <w:r>
              <w:rPr>
                <w:rFonts w:hint="eastAsia" w:cs="Times New Roman"/>
                <w:color w:val="000000"/>
                <w:sz w:val="24"/>
                <w:szCs w:val="24"/>
                <w:highlight w:val="none"/>
                <w:lang w:val="en-US" w:eastAsia="zh-CN"/>
              </w:rPr>
              <w:t>80</w:t>
            </w:r>
            <w:r>
              <w:rPr>
                <w:rFonts w:hint="eastAsia" w:ascii="Times New Roman" w:hAnsi="Times New Roman" w:eastAsia="宋体" w:cs="Times New Roman"/>
                <w:color w:val="000000"/>
                <w:sz w:val="24"/>
                <w:szCs w:val="24"/>
                <w:highlight w:val="none"/>
                <w:lang w:val="en-US" w:eastAsia="zh-CN"/>
              </w:rPr>
              <w:t>万元，占总投资的</w:t>
            </w:r>
            <w:r>
              <w:rPr>
                <w:rFonts w:hint="eastAsia" w:cs="Times New Roman"/>
                <w:color w:val="000000"/>
                <w:sz w:val="24"/>
                <w:szCs w:val="24"/>
                <w:highlight w:val="none"/>
                <w:lang w:val="en-US" w:eastAsia="zh-CN"/>
              </w:rPr>
              <w:t>1.48</w:t>
            </w:r>
            <w:r>
              <w:rPr>
                <w:rFonts w:hint="eastAsia" w:ascii="Times New Roman" w:hAnsi="Times New Roman" w:eastAsia="宋体" w:cs="Times New Roman"/>
                <w:color w:val="000000"/>
                <w:sz w:val="24"/>
                <w:szCs w:val="24"/>
                <w:highlight w:val="none"/>
                <w:lang w:val="en-US" w:eastAsia="zh-CN"/>
              </w:rPr>
              <w:t>%</w:t>
            </w:r>
            <w:r>
              <w:rPr>
                <w:rFonts w:hint="eastAsia" w:cs="Times New Roman"/>
                <w:color w:val="0000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sz w:val="24"/>
                <w:szCs w:val="24"/>
                <w:highlight w:val="none"/>
              </w:rPr>
            </w:pPr>
            <w:r>
              <w:rPr>
                <w:rFonts w:hint="default" w:ascii="Times New Roman" w:hAnsi="Times New Roman" w:eastAsia="宋体" w:cs="Times New Roman"/>
                <w:b/>
                <w:bCs/>
                <w:color w:val="000000"/>
                <w:sz w:val="24"/>
                <w:szCs w:val="24"/>
                <w:highlight w:val="none"/>
                <w:lang w:val="en-US" w:eastAsia="zh-CN"/>
              </w:rPr>
              <w:t xml:space="preserve">1.1 </w:t>
            </w:r>
            <w:r>
              <w:rPr>
                <w:rFonts w:hint="eastAsia" w:ascii="Times New Roman" w:hAnsi="Times New Roman" w:eastAsia="宋体" w:cs="Times New Roman"/>
                <w:b/>
                <w:bCs/>
                <w:color w:val="000000"/>
                <w:sz w:val="24"/>
                <w:szCs w:val="24"/>
                <w:highlight w:val="none"/>
                <w:lang w:val="en-US" w:eastAsia="zh-CN"/>
              </w:rPr>
              <w:t>工程内容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太保变电站扩建1个220kV出线间隔</w:t>
            </w:r>
            <w:r>
              <w:rPr>
                <w:rFonts w:hint="default" w:ascii="Times New Roman" w:hAnsi="Times New Roman" w:eastAsia="宋体"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接入220kV配电装置原有西侧第二回间隔。</w:t>
            </w:r>
            <w:r>
              <w:rPr>
                <w:rFonts w:hint="default" w:ascii="Times New Roman" w:hAnsi="Times New Roman" w:eastAsia="宋体" w:cs="Times New Roman"/>
                <w:color w:val="000000"/>
                <w:sz w:val="24"/>
                <w:szCs w:val="24"/>
                <w:highlight w:val="none"/>
                <w:lang w:val="en-US" w:eastAsia="zh-CN"/>
              </w:rPr>
              <w:t>新建线路</w:t>
            </w:r>
            <w:r>
              <w:rPr>
                <w:rFonts w:hint="eastAsia" w:ascii="Times New Roman" w:hAnsi="Times New Roman" w:eastAsia="宋体" w:cs="Times New Roman"/>
                <w:color w:val="000000"/>
                <w:sz w:val="24"/>
                <w:szCs w:val="24"/>
                <w:highlight w:val="none"/>
                <w:lang w:val="en-US" w:eastAsia="zh-CN"/>
              </w:rPr>
              <w:t>全</w:t>
            </w:r>
            <w:r>
              <w:rPr>
                <w:rFonts w:hint="default" w:ascii="Times New Roman" w:hAnsi="Times New Roman" w:eastAsia="宋体" w:cs="Times New Roman"/>
                <w:color w:val="000000"/>
                <w:sz w:val="24"/>
                <w:szCs w:val="24"/>
                <w:highlight w:val="none"/>
                <w:lang w:val="en-US" w:eastAsia="zh-CN"/>
              </w:rPr>
              <w:t>长</w:t>
            </w:r>
            <w:r>
              <w:rPr>
                <w:rFonts w:hint="eastAsia" w:ascii="Times New Roman" w:hAnsi="Times New Roman" w:eastAsia="宋体" w:cs="Times New Roman"/>
                <w:color w:val="000000"/>
                <w:sz w:val="24"/>
                <w:szCs w:val="24"/>
                <w:highlight w:val="none"/>
                <w:lang w:val="en-US" w:eastAsia="zh-CN"/>
              </w:rPr>
              <w:t>26.5</w:t>
            </w:r>
            <w:r>
              <w:rPr>
                <w:rFonts w:hint="default" w:ascii="Times New Roman" w:hAnsi="Times New Roman" w:eastAsia="宋体" w:cs="Times New Roman"/>
                <w:color w:val="000000"/>
                <w:sz w:val="24"/>
                <w:szCs w:val="24"/>
                <w:highlight w:val="none"/>
                <w:lang w:val="en-US" w:eastAsia="zh-CN"/>
              </w:rPr>
              <w:t>km</w:t>
            </w:r>
            <w:r>
              <w:rPr>
                <w:rFonts w:hint="eastAsia" w:ascii="Times New Roman" w:hAnsi="Times New Roman" w:eastAsia="宋体" w:cs="Times New Roman"/>
                <w:color w:val="000000"/>
                <w:sz w:val="24"/>
                <w:szCs w:val="24"/>
                <w:highlight w:val="none"/>
                <w:lang w:val="en-US" w:eastAsia="zh-CN"/>
              </w:rPr>
              <w:t>，其中架空段26.2km，单回路架设，电缆段长度0.3km，采用电缆沟槽方式敷设，电缆采用1600截面单芯铜芯电缆</w:t>
            </w:r>
            <w:r>
              <w:rPr>
                <w:rFonts w:hint="default" w:ascii="Times New Roman" w:hAnsi="Times New Roman" w:eastAsia="宋体" w:cs="Times New Roman"/>
                <w:color w:val="0000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sz w:val="24"/>
                <w:szCs w:val="24"/>
                <w:highlight w:val="none"/>
              </w:rPr>
            </w:pPr>
            <w:r>
              <w:rPr>
                <w:rFonts w:hint="default" w:ascii="Times New Roman" w:hAnsi="Times New Roman" w:eastAsia="宋体" w:cs="Times New Roman"/>
                <w:b/>
                <w:bCs/>
                <w:color w:val="000000"/>
                <w:sz w:val="24"/>
                <w:szCs w:val="24"/>
                <w:highlight w:val="none"/>
                <w:lang w:val="en-US" w:eastAsia="zh-CN"/>
              </w:rPr>
              <w:t>2</w:t>
            </w:r>
            <w:r>
              <w:rPr>
                <w:rFonts w:hint="eastAsia" w:ascii="Times New Roman" w:hAnsi="Times New Roman" w:eastAsia="宋体" w:cs="Times New Roman"/>
                <w:b/>
                <w:bCs/>
                <w:color w:val="000000"/>
                <w:sz w:val="24"/>
                <w:szCs w:val="24"/>
                <w:highlight w:val="none"/>
                <w:lang w:val="en-US" w:eastAsia="zh-CN"/>
              </w:rPr>
              <w:t>、相关法律、法规和技术规范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（1）《中华人民共和国环境保护法》（修订），</w:t>
            </w:r>
            <w:r>
              <w:rPr>
                <w:rFonts w:hint="default" w:ascii="Times New Roman" w:hAnsi="Times New Roman" w:eastAsia="宋体" w:cs="Times New Roman"/>
                <w:color w:val="000000"/>
                <w:sz w:val="24"/>
                <w:szCs w:val="24"/>
                <w:highlight w:val="none"/>
                <w:lang w:val="en-US" w:eastAsia="zh-CN"/>
              </w:rPr>
              <w:t>2015</w:t>
            </w:r>
            <w:r>
              <w:rPr>
                <w:rFonts w:hint="eastAsia" w:ascii="Times New Roman" w:hAnsi="Times New Roman" w:eastAsia="宋体" w:cs="Times New Roman"/>
                <w:color w:val="000000"/>
                <w:sz w:val="24"/>
                <w:szCs w:val="24"/>
                <w:highlight w:val="none"/>
                <w:lang w:val="en-US" w:eastAsia="zh-CN"/>
              </w:rPr>
              <w:t>年</w:t>
            </w:r>
            <w:r>
              <w:rPr>
                <w:rFonts w:hint="default" w:ascii="Times New Roman" w:hAnsi="Times New Roman" w:eastAsia="宋体" w:cs="Times New Roman"/>
                <w:color w:val="000000"/>
                <w:sz w:val="24"/>
                <w:szCs w:val="24"/>
                <w:highlight w:val="none"/>
                <w:lang w:val="en-US" w:eastAsia="zh-CN"/>
              </w:rPr>
              <w:t>1</w:t>
            </w:r>
            <w:r>
              <w:rPr>
                <w:rFonts w:hint="eastAsia" w:ascii="Times New Roman" w:hAnsi="Times New Roman" w:eastAsia="宋体" w:cs="Times New Roman"/>
                <w:color w:val="000000"/>
                <w:sz w:val="24"/>
                <w:szCs w:val="24"/>
                <w:highlight w:val="none"/>
                <w:lang w:val="en-US" w:eastAsia="zh-CN"/>
              </w:rPr>
              <w:t>月</w:t>
            </w:r>
            <w:r>
              <w:rPr>
                <w:rFonts w:hint="default" w:ascii="Times New Roman" w:hAnsi="Times New Roman" w:eastAsia="宋体" w:cs="Times New Roman"/>
                <w:color w:val="000000"/>
                <w:sz w:val="24"/>
                <w:szCs w:val="24"/>
                <w:highlight w:val="none"/>
                <w:lang w:val="en-US" w:eastAsia="zh-CN"/>
              </w:rPr>
              <w:t>1</w:t>
            </w:r>
            <w:r>
              <w:rPr>
                <w:rFonts w:hint="eastAsia" w:ascii="Times New Roman" w:hAnsi="Times New Roman" w:eastAsia="宋体" w:cs="Times New Roman"/>
                <w:color w:val="000000"/>
                <w:sz w:val="24"/>
                <w:szCs w:val="24"/>
                <w:highlight w:val="none"/>
                <w:lang w:val="en-US" w:eastAsia="zh-CN"/>
              </w:rPr>
              <w:t>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（2）《中华人民共和国环境影响评价法》（修正），</w:t>
            </w:r>
            <w:r>
              <w:rPr>
                <w:rFonts w:hint="default" w:ascii="Times New Roman" w:hAnsi="Times New Roman" w:eastAsia="宋体" w:cs="Times New Roman"/>
                <w:color w:val="000000"/>
                <w:sz w:val="24"/>
                <w:szCs w:val="24"/>
                <w:highlight w:val="none"/>
                <w:lang w:val="en-US" w:eastAsia="zh-CN"/>
              </w:rPr>
              <w:t>2018</w:t>
            </w:r>
            <w:r>
              <w:rPr>
                <w:rFonts w:hint="eastAsia" w:ascii="Times New Roman" w:hAnsi="Times New Roman" w:eastAsia="宋体" w:cs="Times New Roman"/>
                <w:color w:val="000000"/>
                <w:sz w:val="24"/>
                <w:szCs w:val="24"/>
                <w:highlight w:val="none"/>
                <w:lang w:val="en-US" w:eastAsia="zh-CN"/>
              </w:rPr>
              <w:t>年</w:t>
            </w:r>
            <w:r>
              <w:rPr>
                <w:rFonts w:hint="default" w:ascii="Times New Roman" w:hAnsi="Times New Roman" w:eastAsia="宋体" w:cs="Times New Roman"/>
                <w:color w:val="000000"/>
                <w:sz w:val="24"/>
                <w:szCs w:val="24"/>
                <w:highlight w:val="none"/>
                <w:lang w:val="en-US" w:eastAsia="zh-CN"/>
              </w:rPr>
              <w:t>12</w:t>
            </w:r>
            <w:r>
              <w:rPr>
                <w:rFonts w:hint="eastAsia" w:ascii="Times New Roman" w:hAnsi="Times New Roman" w:eastAsia="宋体" w:cs="Times New Roman"/>
                <w:color w:val="000000"/>
                <w:sz w:val="24"/>
                <w:szCs w:val="24"/>
                <w:highlight w:val="none"/>
                <w:lang w:val="en-US" w:eastAsia="zh-CN"/>
              </w:rPr>
              <w:t>月</w:t>
            </w:r>
            <w:r>
              <w:rPr>
                <w:rFonts w:hint="default" w:ascii="Times New Roman" w:hAnsi="Times New Roman" w:eastAsia="宋体" w:cs="Times New Roman"/>
                <w:color w:val="000000"/>
                <w:sz w:val="24"/>
                <w:szCs w:val="24"/>
                <w:highlight w:val="none"/>
                <w:lang w:val="en-US" w:eastAsia="zh-CN"/>
              </w:rPr>
              <w:t>29</w:t>
            </w:r>
            <w:r>
              <w:rPr>
                <w:rFonts w:hint="eastAsia" w:ascii="Times New Roman" w:hAnsi="Times New Roman" w:eastAsia="宋体" w:cs="Times New Roman"/>
                <w:color w:val="000000"/>
                <w:sz w:val="24"/>
                <w:szCs w:val="24"/>
                <w:highlight w:val="none"/>
                <w:lang w:val="en-US" w:eastAsia="zh-CN"/>
              </w:rPr>
              <w:t>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（3）《环境影响评价技术导则 输变电工程》（</w:t>
            </w:r>
            <w:r>
              <w:rPr>
                <w:rFonts w:hint="default" w:ascii="Times New Roman" w:hAnsi="Times New Roman" w:eastAsia="宋体" w:cs="Times New Roman"/>
                <w:color w:val="000000"/>
                <w:sz w:val="24"/>
                <w:szCs w:val="24"/>
                <w:highlight w:val="none"/>
                <w:lang w:val="en-US" w:eastAsia="zh-CN"/>
              </w:rPr>
              <w:t>HJ24-2020</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（4）《电磁环境控制限值》（</w:t>
            </w:r>
            <w:r>
              <w:rPr>
                <w:rFonts w:hint="default" w:ascii="Times New Roman" w:hAnsi="Times New Roman" w:eastAsia="宋体" w:cs="Times New Roman"/>
                <w:color w:val="000000"/>
                <w:sz w:val="24"/>
                <w:szCs w:val="24"/>
                <w:highlight w:val="none"/>
                <w:lang w:val="en-US" w:eastAsia="zh-CN"/>
              </w:rPr>
              <w:t>GB8702-2014</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000000"/>
                <w:sz w:val="24"/>
                <w:szCs w:val="24"/>
              </w:rPr>
            </w:pPr>
            <w:r>
              <w:rPr>
                <w:rFonts w:hint="eastAsia" w:ascii="Times New Roman" w:hAnsi="Times New Roman" w:eastAsia="宋体" w:cs="Times New Roman"/>
                <w:color w:val="000000"/>
                <w:sz w:val="24"/>
                <w:szCs w:val="24"/>
                <w:highlight w:val="none"/>
                <w:lang w:val="en-US" w:eastAsia="zh-CN"/>
              </w:rPr>
              <w:t>（5）《交流输变电工程电磁环境监测方法（试行）》（</w:t>
            </w:r>
            <w:r>
              <w:rPr>
                <w:rFonts w:hint="default" w:ascii="Times New Roman" w:hAnsi="Times New Roman" w:eastAsia="宋体" w:cs="Times New Roman"/>
                <w:color w:val="000000"/>
                <w:sz w:val="24"/>
                <w:szCs w:val="24"/>
                <w:highlight w:val="none"/>
                <w:lang w:val="en-US" w:eastAsia="zh-CN"/>
              </w:rPr>
              <w:t>HJ 681-2013</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color w:val="000000"/>
                <w:sz w:val="24"/>
                <w:szCs w:val="24"/>
              </w:rPr>
            </w:pPr>
            <w:r>
              <w:rPr>
                <w:rFonts w:hint="eastAsia" w:ascii="Times New Roman" w:hAnsi="Times New Roman" w:eastAsia="宋体" w:cs="Times New Roman"/>
                <w:color w:val="000000"/>
                <w:sz w:val="24"/>
                <w:szCs w:val="24"/>
                <w:highlight w:val="none"/>
                <w:lang w:val="en-US" w:eastAsia="zh-CN"/>
              </w:rPr>
              <w:t>（6）《输变电建设项目环境保护技术要求》（</w:t>
            </w:r>
            <w:r>
              <w:rPr>
                <w:rFonts w:hint="default" w:ascii="Times New Roman" w:hAnsi="Times New Roman" w:eastAsia="宋体" w:cs="Times New Roman"/>
                <w:color w:val="000000"/>
                <w:sz w:val="24"/>
                <w:szCs w:val="24"/>
                <w:highlight w:val="none"/>
                <w:lang w:val="en-US" w:eastAsia="zh-CN"/>
              </w:rPr>
              <w:t>HJ1113-2020</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3、评价因子及评价标准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3.1 评价因子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本</w:t>
            </w:r>
            <w:r>
              <w:rPr>
                <w:rFonts w:hint="eastAsia" w:cs="Times New Roman"/>
                <w:color w:val="000000"/>
                <w:sz w:val="24"/>
                <w:szCs w:val="24"/>
                <w:highlight w:val="none"/>
                <w:lang w:val="en-US" w:eastAsia="zh-CN"/>
              </w:rPr>
              <w:t>项目</w:t>
            </w:r>
            <w:r>
              <w:rPr>
                <w:rFonts w:hint="eastAsia" w:ascii="Times New Roman" w:hAnsi="Times New Roman" w:eastAsia="宋体" w:cs="Times New Roman"/>
                <w:color w:val="000000"/>
                <w:sz w:val="24"/>
                <w:szCs w:val="24"/>
                <w:highlight w:val="none"/>
                <w:lang w:val="en-US" w:eastAsia="zh-CN"/>
              </w:rPr>
              <w:t>电磁环境主要的环境影响评价因子见表3-1所示。</w:t>
            </w:r>
          </w:p>
          <w:p>
            <w:pPr>
              <w:pStyle w:val="44"/>
              <w:keepNext w:val="0"/>
              <w:keepLines w:val="0"/>
              <w:pageBreakBefore w:val="0"/>
              <w:widowControl w:val="0"/>
              <w:kinsoku/>
              <w:wordWrap/>
              <w:overflowPunct/>
              <w:topLinePunct w:val="0"/>
              <w:autoSpaceDE/>
              <w:autoSpaceDN/>
              <w:bidi w:val="0"/>
              <w:adjustRightInd/>
              <w:snapToGrid/>
              <w:spacing w:line="240" w:lineRule="auto"/>
              <w:ind w:left="0" w:leftChars="0" w:firstLine="420"/>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表</w:t>
            </w:r>
            <w:r>
              <w:rPr>
                <w:rFonts w:hint="eastAsia" w:ascii="Times New Roman" w:hAnsi="Times New Roman" w:eastAsia="宋体" w:cs="Times New Roman"/>
                <w:b/>
                <w:bCs/>
                <w:color w:val="000000"/>
                <w:highlight w:val="none"/>
                <w:lang w:val="en-US" w:eastAsia="zh-CN"/>
              </w:rPr>
              <w:t>3</w:t>
            </w:r>
            <w:r>
              <w:rPr>
                <w:rFonts w:hint="default" w:ascii="Times New Roman" w:hAnsi="Times New Roman" w:eastAsia="宋体" w:cs="Times New Roman"/>
                <w:b/>
                <w:bCs/>
                <w:color w:val="000000"/>
                <w:highlight w:val="none"/>
              </w:rPr>
              <w:t>-1</w:t>
            </w:r>
            <w:r>
              <w:rPr>
                <w:rFonts w:hint="eastAsia" w:ascii="Times New Roman" w:hAnsi="Times New Roman" w:eastAsia="宋体" w:cs="Times New Roman"/>
                <w:b/>
                <w:bCs/>
                <w:color w:val="000000"/>
                <w:highlight w:val="none"/>
                <w:lang w:val="en-US" w:eastAsia="zh-CN"/>
              </w:rPr>
              <w:t xml:space="preserve">  </w:t>
            </w:r>
            <w:r>
              <w:rPr>
                <w:rFonts w:hint="default" w:ascii="Times New Roman" w:hAnsi="Times New Roman" w:eastAsia="宋体" w:cs="Times New Roman"/>
                <w:b/>
                <w:bCs/>
                <w:color w:val="000000"/>
                <w:highlight w:val="none"/>
              </w:rPr>
              <w:t>本工程电磁环境的主要环境影响评价因子汇总表</w:t>
            </w:r>
          </w:p>
          <w:tbl>
            <w:tblPr>
              <w:tblStyle w:val="2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7"/>
              <w:gridCol w:w="1135"/>
              <w:gridCol w:w="1458"/>
              <w:gridCol w:w="1575"/>
              <w:gridCol w:w="1473"/>
              <w:gridCol w:w="13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48"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评价阶段</w:t>
                  </w:r>
                </w:p>
              </w:tc>
              <w:tc>
                <w:tcPr>
                  <w:tcW w:w="702"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评价项目</w:t>
                  </w:r>
                </w:p>
              </w:tc>
              <w:tc>
                <w:tcPr>
                  <w:tcW w:w="902"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现状评价因子</w:t>
                  </w:r>
                </w:p>
              </w:tc>
              <w:tc>
                <w:tcPr>
                  <w:tcW w:w="974" w:type="pct"/>
                  <w:tcBorders>
                    <w:tl2br w:val="nil"/>
                    <w:tr2bl w:val="nil"/>
                  </w:tcBorders>
                  <w:noWrap w:val="0"/>
                  <w:vAlign w:val="center"/>
                </w:tcPr>
                <w:p>
                  <w:pPr>
                    <w:pStyle w:val="53"/>
                    <w:rPr>
                      <w:rFonts w:hint="eastAsia" w:ascii="Times New Roman" w:hAnsi="Times New Roman" w:eastAsia="宋体" w:cs="Times New Roman"/>
                      <w:color w:val="000000"/>
                      <w:sz w:val="21"/>
                      <w:szCs w:val="21"/>
                      <w:highlight w:val="none"/>
                      <w:lang w:eastAsia="zh-CN"/>
                    </w:rPr>
                  </w:pPr>
                  <w:r>
                    <w:rPr>
                      <w:rFonts w:hint="eastAsia" w:ascii="Times New Roman" w:hAnsi="Times New Roman" w:eastAsia="宋体" w:cs="Times New Roman"/>
                      <w:color w:val="000000"/>
                      <w:sz w:val="21"/>
                      <w:szCs w:val="21"/>
                      <w:highlight w:val="none"/>
                      <w:lang w:val="en-US" w:eastAsia="zh-CN"/>
                    </w:rPr>
                    <w:t>单位</w:t>
                  </w:r>
                </w:p>
              </w:tc>
              <w:tc>
                <w:tcPr>
                  <w:tcW w:w="911"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预测评价因子</w:t>
                  </w:r>
                </w:p>
              </w:tc>
              <w:tc>
                <w:tcPr>
                  <w:tcW w:w="860" w:type="pct"/>
                  <w:tcBorders>
                    <w:tl2br w:val="nil"/>
                    <w:tr2bl w:val="nil"/>
                  </w:tcBorders>
                  <w:noWrap w:val="0"/>
                  <w:vAlign w:val="center"/>
                </w:tcPr>
                <w:p>
                  <w:pPr>
                    <w:pStyle w:val="53"/>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48" w:type="pct"/>
                  <w:vMerge w:val="restart"/>
                  <w:tcBorders>
                    <w:tl2br w:val="nil"/>
                    <w:tr2bl w:val="nil"/>
                  </w:tcBorders>
                  <w:noWrap w:val="0"/>
                  <w:vAlign w:val="center"/>
                </w:tcPr>
                <w:p>
                  <w:pPr>
                    <w:pStyle w:val="53"/>
                    <w:rPr>
                      <w:rFonts w:hint="eastAsia" w:ascii="Times New Roman" w:hAnsi="Times New Roman" w:eastAsia="宋体" w:cs="Times New Roman"/>
                      <w:color w:val="000000"/>
                      <w:sz w:val="21"/>
                      <w:szCs w:val="21"/>
                      <w:highlight w:val="none"/>
                      <w:lang w:eastAsia="zh-CN"/>
                    </w:rPr>
                  </w:pPr>
                  <w:r>
                    <w:rPr>
                      <w:rFonts w:hint="eastAsia" w:ascii="Times New Roman" w:hAnsi="Times New Roman" w:eastAsia="宋体" w:cs="Times New Roman"/>
                      <w:color w:val="000000"/>
                      <w:sz w:val="21"/>
                      <w:szCs w:val="21"/>
                      <w:highlight w:val="none"/>
                      <w:lang w:val="en-US" w:eastAsia="zh-CN"/>
                    </w:rPr>
                    <w:t>运行期</w:t>
                  </w:r>
                </w:p>
              </w:tc>
              <w:tc>
                <w:tcPr>
                  <w:tcW w:w="702" w:type="pct"/>
                  <w:vMerge w:val="restart"/>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b w:val="0"/>
                      <w:bCs/>
                      <w:color w:val="000000"/>
                      <w:sz w:val="21"/>
                      <w:szCs w:val="21"/>
                      <w:highlight w:val="none"/>
                      <w:lang w:val="en-US" w:eastAsia="zh-CN"/>
                    </w:rPr>
                    <w:t>电磁环境</w:t>
                  </w:r>
                </w:p>
              </w:tc>
              <w:tc>
                <w:tcPr>
                  <w:tcW w:w="902" w:type="pct"/>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b w:val="0"/>
                      <w:bCs/>
                      <w:color w:val="000000"/>
                      <w:sz w:val="21"/>
                      <w:szCs w:val="21"/>
                      <w:highlight w:val="none"/>
                      <w:lang w:val="en-US" w:eastAsia="zh-CN"/>
                    </w:rPr>
                    <w:t>工频电场</w:t>
                  </w:r>
                </w:p>
              </w:tc>
              <w:tc>
                <w:tcPr>
                  <w:tcW w:w="974" w:type="pct"/>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r>
                    <w:rPr>
                      <w:rFonts w:hint="default" w:ascii="Times New Roman" w:hAnsi="Times New Roman" w:eastAsia="宋体" w:cs="Times New Roman"/>
                      <w:color w:val="000000"/>
                      <w:sz w:val="21"/>
                      <w:szCs w:val="21"/>
                      <w:highlight w:val="none"/>
                    </w:rPr>
                    <w:t>V</w:t>
                  </w:r>
                  <w:r>
                    <w:rPr>
                      <w:rFonts w:hint="eastAsia"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m</w:t>
                  </w:r>
                  <w:r>
                    <w:rPr>
                      <w:rFonts w:hint="eastAsia" w:ascii="Times New Roman" w:hAnsi="Times New Roman" w:eastAsia="宋体" w:cs="Times New Roman"/>
                      <w:color w:val="000000"/>
                      <w:sz w:val="21"/>
                      <w:szCs w:val="21"/>
                      <w:highlight w:val="none"/>
                      <w:lang w:val="en-US" w:eastAsia="zh-CN"/>
                    </w:rPr>
                    <w:t>或</w:t>
                  </w:r>
                  <w:r>
                    <w:rPr>
                      <w:rFonts w:hint="default" w:ascii="Times New Roman" w:hAnsi="Times New Roman" w:eastAsia="宋体" w:cs="Times New Roman"/>
                      <w:color w:val="000000"/>
                      <w:sz w:val="21"/>
                      <w:szCs w:val="21"/>
                      <w:highlight w:val="none"/>
                    </w:rPr>
                    <w:t>kV</w:t>
                  </w:r>
                  <w:r>
                    <w:rPr>
                      <w:rFonts w:hint="eastAsia"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m</w:t>
                  </w:r>
                </w:p>
              </w:tc>
              <w:tc>
                <w:tcPr>
                  <w:tcW w:w="911" w:type="pct"/>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r>
                    <w:rPr>
                      <w:rFonts w:hint="eastAsia" w:ascii="Times New Roman" w:hAnsi="Times New Roman" w:eastAsia="宋体" w:cs="Times New Roman"/>
                      <w:b w:val="0"/>
                      <w:bCs/>
                      <w:color w:val="000000"/>
                      <w:sz w:val="21"/>
                      <w:szCs w:val="21"/>
                      <w:highlight w:val="none"/>
                      <w:lang w:val="en-US" w:eastAsia="zh-CN"/>
                    </w:rPr>
                    <w:t>工频电场</w:t>
                  </w:r>
                </w:p>
              </w:tc>
              <w:tc>
                <w:tcPr>
                  <w:tcW w:w="860" w:type="pct"/>
                  <w:tcBorders>
                    <w:tl2br w:val="nil"/>
                    <w:tr2bl w:val="nil"/>
                  </w:tcBorders>
                  <w:noWrap w:val="0"/>
                  <w:vAlign w:val="center"/>
                </w:tcPr>
                <w:p>
                  <w:pPr>
                    <w:pStyle w:val="53"/>
                    <w:rPr>
                      <w:rFonts w:hint="eastAsia" w:ascii="Times New Roman" w:hAnsi="Times New Roman" w:eastAsia="宋体" w:cs="Times New Roman"/>
                      <w:b w:val="0"/>
                      <w:bCs/>
                      <w:color w:val="000000"/>
                      <w:sz w:val="21"/>
                      <w:szCs w:val="21"/>
                      <w:highlight w:val="none"/>
                      <w:lang w:val="en-US" w:eastAsia="zh-CN"/>
                    </w:rPr>
                  </w:pPr>
                  <w:r>
                    <w:rPr>
                      <w:rFonts w:hint="default" w:ascii="Times New Roman" w:hAnsi="Times New Roman" w:eastAsia="宋体" w:cs="Times New Roman"/>
                      <w:color w:val="000000"/>
                      <w:sz w:val="21"/>
                      <w:szCs w:val="21"/>
                      <w:highlight w:val="none"/>
                    </w:rPr>
                    <w:t>V</w:t>
                  </w:r>
                  <w:r>
                    <w:rPr>
                      <w:rFonts w:hint="eastAsia"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m</w:t>
                  </w:r>
                  <w:r>
                    <w:rPr>
                      <w:rFonts w:hint="eastAsia" w:ascii="Times New Roman" w:hAnsi="Times New Roman" w:eastAsia="宋体" w:cs="Times New Roman"/>
                      <w:color w:val="000000"/>
                      <w:sz w:val="21"/>
                      <w:szCs w:val="21"/>
                      <w:highlight w:val="none"/>
                      <w:lang w:val="en-US" w:eastAsia="zh-CN"/>
                    </w:rPr>
                    <w:t>或</w:t>
                  </w:r>
                  <w:r>
                    <w:rPr>
                      <w:rFonts w:hint="default" w:ascii="Times New Roman" w:hAnsi="Times New Roman" w:eastAsia="宋体" w:cs="Times New Roman"/>
                      <w:color w:val="000000"/>
                      <w:sz w:val="21"/>
                      <w:szCs w:val="21"/>
                      <w:highlight w:val="none"/>
                    </w:rPr>
                    <w:t>kV</w:t>
                  </w:r>
                  <w:r>
                    <w:rPr>
                      <w:rFonts w:hint="eastAsia"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8" w:type="pct"/>
                  <w:vMerge w:val="continue"/>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p>
              </w:tc>
              <w:tc>
                <w:tcPr>
                  <w:tcW w:w="702" w:type="pct"/>
                  <w:vMerge w:val="continue"/>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lang w:val="en-US" w:eastAsia="zh-CN"/>
                    </w:rPr>
                  </w:pPr>
                </w:p>
              </w:tc>
              <w:tc>
                <w:tcPr>
                  <w:tcW w:w="902" w:type="pct"/>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b w:val="0"/>
                      <w:bCs/>
                      <w:color w:val="000000"/>
                      <w:sz w:val="21"/>
                      <w:szCs w:val="21"/>
                      <w:highlight w:val="none"/>
                      <w:lang w:val="en-US" w:eastAsia="zh-CN"/>
                    </w:rPr>
                    <w:t>工频磁场</w:t>
                  </w:r>
                </w:p>
              </w:tc>
              <w:tc>
                <w:tcPr>
                  <w:tcW w:w="974" w:type="pct"/>
                  <w:tcBorders>
                    <w:tl2br w:val="nil"/>
                    <w:tr2bl w:val="nil"/>
                  </w:tcBorders>
                  <w:noWrap w:val="0"/>
                  <w:vAlign w:val="center"/>
                </w:tcPr>
                <w:p>
                  <w:pPr>
                    <w:pStyle w:val="53"/>
                    <w:jc w:val="center"/>
                    <w:rPr>
                      <w:rFonts w:hint="default" w:ascii="Times New Roman" w:hAnsi="Times New Roman" w:eastAsia="宋体" w:cs="Times New Roman"/>
                      <w:b w:val="0"/>
                      <w:bCs/>
                      <w:color w:val="000000"/>
                      <w:sz w:val="21"/>
                      <w:szCs w:val="21"/>
                      <w:highlight w:val="none"/>
                    </w:rPr>
                  </w:pPr>
                  <w:r>
                    <w:rPr>
                      <w:rFonts w:hint="eastAsia" w:ascii="Times New Roman" w:hAnsi="Times New Roman" w:eastAsia="宋体" w:cs="Times New Roman"/>
                      <w:color w:val="000000"/>
                      <w:sz w:val="21"/>
                      <w:szCs w:val="21"/>
                      <w:highlight w:val="none"/>
                    </w:rPr>
                    <w:t>µT</w:t>
                  </w:r>
                </w:p>
              </w:tc>
              <w:tc>
                <w:tcPr>
                  <w:tcW w:w="911" w:type="pct"/>
                  <w:tcBorders>
                    <w:tl2br w:val="nil"/>
                    <w:tr2bl w:val="nil"/>
                  </w:tcBorders>
                  <w:noWrap w:val="0"/>
                  <w:vAlign w:val="center"/>
                </w:tcPr>
                <w:p>
                  <w:pPr>
                    <w:pStyle w:val="53"/>
                    <w:rPr>
                      <w:rFonts w:hint="eastAsia"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b w:val="0"/>
                      <w:bCs/>
                      <w:color w:val="000000"/>
                      <w:sz w:val="21"/>
                      <w:szCs w:val="21"/>
                      <w:highlight w:val="none"/>
                      <w:lang w:val="en-US" w:eastAsia="zh-CN"/>
                    </w:rPr>
                    <w:t>工频磁场</w:t>
                  </w:r>
                </w:p>
              </w:tc>
              <w:tc>
                <w:tcPr>
                  <w:tcW w:w="860" w:type="pct"/>
                  <w:tcBorders>
                    <w:tl2br w:val="nil"/>
                    <w:tr2bl w:val="nil"/>
                  </w:tcBorders>
                  <w:noWrap w:val="0"/>
                  <w:vAlign w:val="center"/>
                </w:tcPr>
                <w:p>
                  <w:pPr>
                    <w:pStyle w:val="53"/>
                    <w:rPr>
                      <w:rFonts w:hint="eastAsia"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color w:val="000000"/>
                      <w:sz w:val="21"/>
                      <w:szCs w:val="21"/>
                      <w:highlight w:val="none"/>
                    </w:rPr>
                    <w:t>µT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3.2评价标准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根据《电磁环境控制限值》（GB8702-2014）中的规定：为控制电场、磁场、电磁场场量参数的方均根值，应满足表</w:t>
            </w:r>
            <w:r>
              <w:rPr>
                <w:rFonts w:hint="default" w:ascii="Times New Roman" w:hAnsi="Times New Roman" w:eastAsia="宋体" w:cs="Times New Roman"/>
                <w:color w:val="000000"/>
                <w:sz w:val="24"/>
                <w:szCs w:val="24"/>
                <w:highlight w:val="none"/>
                <w:lang w:val="en-US" w:eastAsia="zh-CN"/>
              </w:rPr>
              <w:t>3-2</w:t>
            </w:r>
            <w:r>
              <w:rPr>
                <w:rFonts w:hint="eastAsia" w:ascii="Times New Roman" w:hAnsi="Times New Roman" w:eastAsia="宋体" w:cs="Times New Roman"/>
                <w:color w:val="000000"/>
                <w:sz w:val="24"/>
                <w:szCs w:val="24"/>
                <w:highlight w:val="none"/>
                <w:lang w:val="en-US" w:eastAsia="zh-CN"/>
              </w:rPr>
              <w:t>要求。</w:t>
            </w:r>
          </w:p>
          <w:p>
            <w:pPr>
              <w:pStyle w:val="44"/>
              <w:keepNext w:val="0"/>
              <w:keepLines w:val="0"/>
              <w:pageBreakBefore w:val="0"/>
              <w:widowControl w:val="0"/>
              <w:kinsoku/>
              <w:wordWrap/>
              <w:overflowPunct/>
              <w:topLinePunct w:val="0"/>
              <w:autoSpaceDE/>
              <w:autoSpaceDN/>
              <w:bidi w:val="0"/>
              <w:adjustRightInd/>
              <w:snapToGrid/>
              <w:spacing w:line="240" w:lineRule="auto"/>
              <w:ind w:left="0" w:leftChars="0" w:firstLine="42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eastAsia="宋体" w:cs="Times New Roman"/>
                <w:b/>
                <w:bCs/>
                <w:color w:val="000000"/>
                <w:highlight w:val="none"/>
                <w:lang w:val="en-US" w:eastAsia="zh-CN"/>
              </w:rPr>
              <w:t>表</w:t>
            </w:r>
            <w:r>
              <w:rPr>
                <w:rFonts w:hint="eastAsia" w:ascii="Times New Roman" w:hAnsi="Times New Roman" w:eastAsia="宋体" w:cs="Times New Roman"/>
                <w:b/>
                <w:bCs/>
                <w:color w:val="000000"/>
                <w:highlight w:val="none"/>
                <w:lang w:val="en-US" w:eastAsia="zh-CN"/>
              </w:rPr>
              <w:t>3</w:t>
            </w:r>
            <w:r>
              <w:rPr>
                <w:rFonts w:hint="default" w:ascii="Times New Roman" w:hAnsi="Times New Roman" w:eastAsia="宋体" w:cs="Times New Roman"/>
                <w:b/>
                <w:bCs/>
                <w:color w:val="000000"/>
                <w:highlight w:val="none"/>
                <w:lang w:val="en-US" w:eastAsia="zh-CN"/>
              </w:rPr>
              <w:t>-2</w:t>
            </w:r>
            <w:r>
              <w:rPr>
                <w:rFonts w:hint="eastAsia" w:ascii="Times New Roman" w:hAnsi="Times New Roman" w:eastAsia="宋体" w:cs="Times New Roman"/>
                <w:b/>
                <w:bCs/>
                <w:color w:val="000000"/>
                <w:highlight w:val="none"/>
                <w:lang w:val="en-US" w:eastAsia="zh-CN"/>
              </w:rPr>
              <w:t xml:space="preserve">  </w:t>
            </w:r>
            <w:r>
              <w:rPr>
                <w:rFonts w:hint="default" w:ascii="Times New Roman" w:hAnsi="Times New Roman" w:eastAsia="宋体" w:cs="Times New Roman"/>
                <w:b/>
                <w:bCs/>
                <w:color w:val="000000"/>
                <w:highlight w:val="none"/>
                <w:lang w:val="en-US" w:eastAsia="zh-CN"/>
              </w:rPr>
              <w:t>公众曝露控制限值（节选）</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23"/>
              <w:gridCol w:w="1285"/>
              <w:gridCol w:w="1416"/>
              <w:gridCol w:w="1432"/>
              <w:gridCol w:w="21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8"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频率范围</w:t>
                  </w:r>
                </w:p>
              </w:tc>
              <w:tc>
                <w:tcPr>
                  <w:tcW w:w="795"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电场强度E（V/m）</w:t>
                  </w:r>
                </w:p>
              </w:tc>
              <w:tc>
                <w:tcPr>
                  <w:tcW w:w="876"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磁场强度H（A/m）</w:t>
                  </w:r>
                </w:p>
              </w:tc>
              <w:tc>
                <w:tcPr>
                  <w:tcW w:w="886" w:type="pct"/>
                  <w:tcBorders>
                    <w:tl2br w:val="nil"/>
                    <w:tr2bl w:val="nil"/>
                  </w:tcBorders>
                  <w:noWrap w:val="0"/>
                  <w:vAlign w:val="center"/>
                </w:tcPr>
                <w:p>
                  <w:pPr>
                    <w:pStyle w:val="53"/>
                    <w:ind w:firstLine="0" w:firstLineChars="0"/>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rPr>
                    <w:t>磁感应强度B（µT）</w:t>
                  </w:r>
                </w:p>
              </w:tc>
              <w:tc>
                <w:tcPr>
                  <w:tcW w:w="1312" w:type="pct"/>
                  <w:tcBorders>
                    <w:tl2br w:val="nil"/>
                    <w:tr2bl w:val="nil"/>
                  </w:tcBorders>
                  <w:noWrap w:val="0"/>
                  <w:vAlign w:val="center"/>
                </w:tcPr>
                <w:p>
                  <w:pPr>
                    <w:pStyle w:val="53"/>
                    <w:rPr>
                      <w:rFonts w:hint="eastAsia"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等效平面波功率密度</w:t>
                  </w:r>
                </w:p>
                <w:p>
                  <w:pPr>
                    <w:pStyle w:val="53"/>
                    <w:rPr>
                      <w:rFonts w:hint="eastAsia"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Seq</w:t>
                  </w:r>
                  <w:r>
                    <w:rPr>
                      <w:rFonts w:hint="eastAsia" w:ascii="Times New Roman" w:hAnsi="Times New Roman" w:eastAsia="宋体" w:cs="Times New Roman"/>
                      <w:color w:val="000000"/>
                      <w:sz w:val="21"/>
                      <w:szCs w:val="21"/>
                      <w:highlight w:val="none"/>
                      <w:lang w:eastAsia="zh-CN"/>
                    </w:rPr>
                    <w:t>（</w:t>
                  </w:r>
                  <w:r>
                    <w:rPr>
                      <w:rFonts w:hint="eastAsia" w:ascii="Times New Roman" w:hAnsi="Times New Roman" w:eastAsia="宋体" w:cs="Times New Roman"/>
                      <w:color w:val="000000"/>
                      <w:sz w:val="21"/>
                      <w:szCs w:val="21"/>
                      <w:highlight w:val="none"/>
                    </w:rPr>
                    <w:t>W/m</w:t>
                  </w:r>
                  <w:r>
                    <w:rPr>
                      <w:rFonts w:hint="eastAsia" w:ascii="Times New Roman" w:hAnsi="Times New Roman" w:eastAsia="宋体" w:cs="Times New Roman"/>
                      <w:color w:val="000000"/>
                      <w:sz w:val="21"/>
                      <w:szCs w:val="21"/>
                      <w:highlight w:val="none"/>
                      <w:vertAlign w:val="superscript"/>
                    </w:rPr>
                    <w:t>2</w:t>
                  </w:r>
                  <w:r>
                    <w:rPr>
                      <w:rFonts w:hint="eastAsia" w:ascii="Times New Roman" w:hAnsi="Times New Roman" w:eastAsia="宋体" w:cs="Times New Roman"/>
                      <w:color w:val="000000"/>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8"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0</w:t>
                  </w:r>
                  <w:r>
                    <w:rPr>
                      <w:rFonts w:hint="default" w:ascii="Times New Roman" w:hAnsi="Times New Roman" w:eastAsia="宋体" w:cs="Times New Roman"/>
                      <w:color w:val="000000"/>
                      <w:sz w:val="21"/>
                      <w:szCs w:val="21"/>
                      <w:highlight w:val="none"/>
                    </w:rPr>
                    <w:t>.025</w:t>
                  </w:r>
                  <w:r>
                    <w:rPr>
                      <w:rFonts w:hint="eastAsia" w:ascii="Times New Roman" w:hAnsi="Times New Roman" w:eastAsia="宋体" w:cs="Times New Roman"/>
                      <w:color w:val="000000"/>
                      <w:sz w:val="21"/>
                      <w:szCs w:val="21"/>
                      <w:highlight w:val="none"/>
                    </w:rPr>
                    <w:t>kHz</w:t>
                  </w:r>
                  <w:r>
                    <w:rPr>
                      <w:rFonts w:hint="default" w:ascii="Times New Roman" w:hAnsi="Times New Roman" w:eastAsia="宋体" w:cs="Times New Roman"/>
                      <w:color w:val="000000"/>
                      <w:sz w:val="21"/>
                      <w:szCs w:val="21"/>
                      <w:highlight w:val="none"/>
                    </w:rPr>
                    <w:t>-1.2</w:t>
                  </w:r>
                  <w:r>
                    <w:rPr>
                      <w:rFonts w:hint="eastAsia" w:ascii="Times New Roman" w:hAnsi="Times New Roman" w:eastAsia="宋体" w:cs="Times New Roman"/>
                      <w:color w:val="000000"/>
                      <w:sz w:val="21"/>
                      <w:szCs w:val="21"/>
                      <w:highlight w:val="none"/>
                    </w:rPr>
                    <w:t>kHz</w:t>
                  </w:r>
                </w:p>
              </w:tc>
              <w:tc>
                <w:tcPr>
                  <w:tcW w:w="795"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2</w:t>
                  </w:r>
                  <w:r>
                    <w:rPr>
                      <w:rFonts w:hint="default" w:ascii="Times New Roman" w:hAnsi="Times New Roman" w:eastAsia="宋体" w:cs="Times New Roman"/>
                      <w:color w:val="000000"/>
                      <w:sz w:val="21"/>
                      <w:szCs w:val="21"/>
                      <w:highlight w:val="none"/>
                    </w:rPr>
                    <w:t>00</w:t>
                  </w:r>
                  <w:r>
                    <w:rPr>
                      <w:rFonts w:hint="eastAsia"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f</w:t>
                  </w:r>
                </w:p>
              </w:tc>
              <w:tc>
                <w:tcPr>
                  <w:tcW w:w="876" w:type="pc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lang w:val="en-US" w:eastAsia="zh-CN"/>
                    </w:rPr>
                    <w:t>4</w:t>
                  </w:r>
                  <w:r>
                    <w:rPr>
                      <w:rFonts w:hint="default" w:ascii="Times New Roman" w:hAnsi="Times New Roman" w:eastAsia="宋体" w:cs="Times New Roman"/>
                      <w:color w:val="000000"/>
                      <w:sz w:val="21"/>
                      <w:szCs w:val="21"/>
                      <w:highlight w:val="none"/>
                    </w:rPr>
                    <w:t>/f</w:t>
                  </w:r>
                </w:p>
              </w:tc>
              <w:tc>
                <w:tcPr>
                  <w:tcW w:w="886" w:type="pct"/>
                  <w:tcBorders>
                    <w:tl2br w:val="nil"/>
                    <w:tr2bl w:val="nil"/>
                  </w:tcBorders>
                  <w:noWrap w:val="0"/>
                  <w:vAlign w:val="center"/>
                </w:tcPr>
                <w:p>
                  <w:pPr>
                    <w:pStyle w:val="53"/>
                    <w:ind w:firstLine="0" w:firstLineChars="0"/>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rPr>
                    <w:t>5</w:t>
                  </w:r>
                  <w:r>
                    <w:rPr>
                      <w:rFonts w:hint="default" w:ascii="Times New Roman" w:hAnsi="Times New Roman" w:eastAsia="宋体" w:cs="Times New Roman"/>
                      <w:color w:val="000000"/>
                      <w:sz w:val="21"/>
                      <w:szCs w:val="21"/>
                      <w:highlight w:val="none"/>
                    </w:rPr>
                    <w:t>/f</w:t>
                  </w:r>
                </w:p>
              </w:tc>
              <w:tc>
                <w:tcPr>
                  <w:tcW w:w="1312" w:type="pct"/>
                  <w:tcBorders>
                    <w:tl2br w:val="nil"/>
                    <w:tr2bl w:val="nil"/>
                  </w:tcBorders>
                  <w:noWrap w:val="0"/>
                  <w:vAlign w:val="center"/>
                </w:tcPr>
                <w:p>
                  <w:pPr>
                    <w:pStyle w:val="53"/>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l2br w:val="nil"/>
                    <w:tr2bl w:val="nil"/>
                  </w:tcBorders>
                  <w:noWrap w:val="0"/>
                  <w:vAlign w:val="top"/>
                </w:tcPr>
                <w:p>
                  <w:pPr>
                    <w:pStyle w:val="53"/>
                    <w:jc w:val="both"/>
                    <w:rPr>
                      <w:rFonts w:hint="eastAsia"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注1：频率f的单位为所在行中第一栏的单位。</w:t>
                  </w:r>
                </w:p>
                <w:p>
                  <w:pPr>
                    <w:pStyle w:val="53"/>
                    <w:jc w:val="both"/>
                    <w:rPr>
                      <w:rFonts w:hint="eastAsia"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注2：0.1MHz～300GHz频率，场量参数是任意连续6分钟内的方均根值。</w:t>
                  </w:r>
                </w:p>
                <w:p>
                  <w:pPr>
                    <w:pStyle w:val="53"/>
                    <w:jc w:val="both"/>
                    <w:rPr>
                      <w:rFonts w:hint="eastAsia"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注3：100kHz以下频率，需同时限制电场强度和磁感应强度；100kHz以上频率，在远场区，可以只限制电场强度或磁场强度，或等效平面波功率密度，在近场区，需同时限制电场强度和磁场强度。</w:t>
                  </w:r>
                </w:p>
                <w:p>
                  <w:pPr>
                    <w:pStyle w:val="53"/>
                    <w:jc w:val="both"/>
                    <w:rPr>
                      <w:rFonts w:hint="eastAsia"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注4：架空输电线路线下的耕地、园地、牧草地、畜禽饲养地、养殖水面、道路等场所，其频率50Hz的电磁强度控制限值为10kV/m，且应给出警示和防护指示标志。</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输变电工程的频率为</w:t>
            </w:r>
            <w:r>
              <w:rPr>
                <w:rFonts w:hint="default" w:ascii="Times New Roman" w:hAnsi="Times New Roman" w:eastAsia="宋体" w:cs="Times New Roman"/>
                <w:color w:val="auto"/>
                <w:sz w:val="24"/>
                <w:szCs w:val="24"/>
                <w:highlight w:val="none"/>
                <w:lang w:val="en-US" w:eastAsia="zh-CN"/>
              </w:rPr>
              <w:t>50Hz</w:t>
            </w:r>
            <w:r>
              <w:rPr>
                <w:rFonts w:hint="eastAsia" w:ascii="Times New Roman" w:hAnsi="Times New Roman" w:eastAsia="宋体" w:cs="Times New Roman"/>
                <w:color w:val="auto"/>
                <w:sz w:val="24"/>
                <w:szCs w:val="24"/>
                <w:highlight w:val="none"/>
                <w:lang w:val="en-US" w:eastAsia="zh-CN"/>
              </w:rPr>
              <w:t>，由表</w:t>
            </w:r>
            <w:r>
              <w:rPr>
                <w:rFonts w:hint="default" w:ascii="Times New Roman" w:hAnsi="Times New Roman" w:eastAsia="宋体" w:cs="Times New Roman"/>
                <w:color w:val="auto"/>
                <w:sz w:val="24"/>
                <w:szCs w:val="24"/>
                <w:highlight w:val="none"/>
                <w:lang w:val="en-US" w:eastAsia="zh-CN"/>
              </w:rPr>
              <w:t>3-2</w:t>
            </w:r>
            <w:r>
              <w:rPr>
                <w:rFonts w:hint="eastAsia" w:ascii="Times New Roman" w:hAnsi="Times New Roman" w:eastAsia="宋体" w:cs="Times New Roman"/>
                <w:color w:val="auto"/>
                <w:sz w:val="24"/>
                <w:szCs w:val="24"/>
                <w:highlight w:val="none"/>
                <w:lang w:val="en-US" w:eastAsia="zh-CN"/>
              </w:rPr>
              <w:t>可知，本</w:t>
            </w:r>
            <w:r>
              <w:rPr>
                <w:rFonts w:hint="eastAsia" w:cs="Times New Roman"/>
                <w:color w:val="auto"/>
                <w:sz w:val="24"/>
                <w:szCs w:val="24"/>
                <w:highlight w:val="none"/>
                <w:lang w:val="en-US" w:eastAsia="zh-CN"/>
              </w:rPr>
              <w:t>项目</w:t>
            </w:r>
            <w:r>
              <w:rPr>
                <w:rFonts w:hint="eastAsia" w:ascii="Times New Roman" w:hAnsi="Times New Roman" w:eastAsia="宋体" w:cs="Times New Roman"/>
                <w:color w:val="auto"/>
                <w:sz w:val="24"/>
                <w:szCs w:val="24"/>
                <w:highlight w:val="none"/>
                <w:lang w:val="en-US" w:eastAsia="zh-CN"/>
              </w:rPr>
              <w:t>电场强度的评价标准为</w:t>
            </w:r>
            <w:r>
              <w:rPr>
                <w:rFonts w:hint="default" w:ascii="Times New Roman" w:hAnsi="Times New Roman" w:eastAsia="宋体" w:cs="Times New Roman"/>
                <w:color w:val="auto"/>
                <w:sz w:val="24"/>
                <w:szCs w:val="24"/>
                <w:highlight w:val="none"/>
                <w:lang w:val="en-US" w:eastAsia="zh-CN"/>
              </w:rPr>
              <w:t>4kV/m</w:t>
            </w:r>
            <w:r>
              <w:rPr>
                <w:rFonts w:hint="eastAsia" w:ascii="Times New Roman" w:hAnsi="Times New Roman" w:eastAsia="宋体" w:cs="Times New Roman"/>
                <w:color w:val="auto"/>
                <w:sz w:val="24"/>
                <w:szCs w:val="24"/>
                <w:highlight w:val="none"/>
                <w:lang w:val="en-US" w:eastAsia="zh-CN"/>
              </w:rPr>
              <w:t>，磁感应强度的评价标准为</w:t>
            </w:r>
            <w:r>
              <w:rPr>
                <w:rFonts w:hint="default" w:ascii="Times New Roman" w:hAnsi="Times New Roman" w:eastAsia="宋体" w:cs="Times New Roman"/>
                <w:color w:val="auto"/>
                <w:sz w:val="24"/>
                <w:szCs w:val="24"/>
                <w:highlight w:val="none"/>
                <w:lang w:val="en-US" w:eastAsia="zh-CN"/>
              </w:rPr>
              <w:t>100μT</w:t>
            </w:r>
            <w:r>
              <w:rPr>
                <w:rFonts w:hint="eastAsia"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4</w:t>
            </w:r>
            <w:r>
              <w:rPr>
                <w:rFonts w:hint="default" w:ascii="Times New Roman" w:hAnsi="Times New Roman" w:eastAsia="宋体" w:cs="Times New Roman"/>
                <w:b/>
                <w:bCs/>
                <w:color w:val="000000"/>
                <w:sz w:val="24"/>
                <w:szCs w:val="24"/>
                <w:highlight w:val="none"/>
                <w:lang w:val="en-US" w:eastAsia="zh-CN"/>
              </w:rPr>
              <w:t>、评价等级和评价范围</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4</w:t>
            </w:r>
            <w:r>
              <w:rPr>
                <w:rFonts w:hint="default" w:ascii="Times New Roman" w:hAnsi="Times New Roman" w:eastAsia="宋体" w:cs="Times New Roman"/>
                <w:b/>
                <w:bCs/>
                <w:color w:val="000000"/>
                <w:sz w:val="24"/>
                <w:szCs w:val="24"/>
                <w:highlight w:val="none"/>
                <w:lang w:val="en-US" w:eastAsia="zh-CN"/>
              </w:rPr>
              <w:t>.1评价工作等级</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根据《环境影响评价技术导则 输变电》（HJ24-20</w:t>
            </w:r>
            <w:r>
              <w:rPr>
                <w:rFonts w:hint="eastAsia" w:ascii="Times New Roman" w:hAnsi="Times New Roman" w:eastAsia="宋体" w:cs="Times New Roman"/>
                <w:color w:val="000000"/>
                <w:sz w:val="24"/>
                <w:szCs w:val="24"/>
                <w:highlight w:val="none"/>
                <w:lang w:val="en-US" w:eastAsia="zh-CN"/>
              </w:rPr>
              <w:t>20</w:t>
            </w:r>
            <w:r>
              <w:rPr>
                <w:rFonts w:hint="default" w:ascii="Times New Roman" w:hAnsi="Times New Roman" w:eastAsia="宋体" w:cs="Times New Roman"/>
                <w:color w:val="000000"/>
                <w:sz w:val="24"/>
                <w:szCs w:val="24"/>
                <w:highlight w:val="none"/>
                <w:lang w:val="en-US" w:eastAsia="zh-CN"/>
              </w:rPr>
              <w:t>），输变电工程电磁环境影响评价工作等级划分见下表：</w:t>
            </w:r>
          </w:p>
          <w:p>
            <w:pPr>
              <w:pStyle w:val="44"/>
              <w:keepNext w:val="0"/>
              <w:keepLines w:val="0"/>
              <w:pageBreakBefore w:val="0"/>
              <w:widowControl w:val="0"/>
              <w:kinsoku/>
              <w:wordWrap/>
              <w:overflowPunct/>
              <w:topLinePunct w:val="0"/>
              <w:autoSpaceDE/>
              <w:autoSpaceDN/>
              <w:bidi w:val="0"/>
              <w:adjustRightInd/>
              <w:snapToGrid/>
              <w:spacing w:line="240" w:lineRule="auto"/>
              <w:ind w:left="0" w:leftChars="0" w:firstLine="420"/>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表</w:t>
            </w:r>
            <w:r>
              <w:rPr>
                <w:rFonts w:hint="eastAsia" w:ascii="Times New Roman" w:hAnsi="Times New Roman" w:eastAsia="宋体" w:cs="Times New Roman"/>
                <w:b/>
                <w:bCs/>
                <w:color w:val="000000"/>
                <w:highlight w:val="none"/>
                <w:lang w:val="en-US" w:eastAsia="zh-CN"/>
              </w:rPr>
              <w:t>4</w:t>
            </w:r>
            <w:r>
              <w:rPr>
                <w:rFonts w:hint="default" w:ascii="Times New Roman" w:hAnsi="Times New Roman" w:eastAsia="宋体" w:cs="Times New Roman"/>
                <w:b/>
                <w:bCs/>
                <w:color w:val="000000"/>
                <w:highlight w:val="none"/>
              </w:rPr>
              <w:t>-1</w:t>
            </w:r>
            <w:r>
              <w:rPr>
                <w:rFonts w:hint="eastAsia" w:ascii="Times New Roman" w:hAnsi="Times New Roman" w:eastAsia="宋体" w:cs="Times New Roman"/>
                <w:b/>
                <w:bCs/>
                <w:color w:val="000000"/>
                <w:highlight w:val="none"/>
                <w:lang w:val="en-US" w:eastAsia="zh-CN"/>
              </w:rPr>
              <w:t xml:space="preserve">  </w:t>
            </w:r>
            <w:r>
              <w:rPr>
                <w:rFonts w:hint="default" w:ascii="Times New Roman" w:hAnsi="Times New Roman" w:eastAsia="宋体" w:cs="Times New Roman"/>
                <w:b/>
                <w:bCs/>
                <w:color w:val="000000"/>
                <w:highlight w:val="none"/>
              </w:rPr>
              <w:t>输变电工程电磁环境影响评价工作等级</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9"/>
              <w:gridCol w:w="1317"/>
              <w:gridCol w:w="1181"/>
              <w:gridCol w:w="3225"/>
              <w:gridCol w:w="16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分类</w:t>
                  </w:r>
                </w:p>
              </w:tc>
              <w:tc>
                <w:tcPr>
                  <w:tcW w:w="1317" w:type="dxa"/>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电压等级</w:t>
                  </w:r>
                </w:p>
              </w:tc>
              <w:tc>
                <w:tcPr>
                  <w:tcW w:w="1181" w:type="dxa"/>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工程</w:t>
                  </w:r>
                </w:p>
              </w:tc>
              <w:tc>
                <w:tcPr>
                  <w:tcW w:w="3225" w:type="dxa"/>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条件</w:t>
                  </w:r>
                </w:p>
              </w:tc>
              <w:tc>
                <w:tcPr>
                  <w:tcW w:w="1612" w:type="dxa"/>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评价工作等级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Merge w:val="restart"/>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交流</w:t>
                  </w:r>
                </w:p>
              </w:tc>
              <w:tc>
                <w:tcPr>
                  <w:tcW w:w="1317" w:type="dxa"/>
                  <w:vMerge w:val="restart"/>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r>
                    <w:rPr>
                      <w:rFonts w:hint="eastAsia" w:ascii="Times New Roman" w:hAnsi="Times New Roman" w:eastAsia="宋体" w:cs="Times New Roman"/>
                      <w:b w:val="0"/>
                      <w:bCs/>
                      <w:color w:val="000000"/>
                      <w:sz w:val="21"/>
                      <w:szCs w:val="21"/>
                      <w:highlight w:val="none"/>
                      <w:lang w:val="en-US" w:eastAsia="zh-CN"/>
                    </w:rPr>
                    <w:t>220</w:t>
                  </w:r>
                  <w:r>
                    <w:rPr>
                      <w:rFonts w:hint="default" w:ascii="Times New Roman" w:hAnsi="Times New Roman" w:eastAsia="宋体" w:cs="Times New Roman"/>
                      <w:b w:val="0"/>
                      <w:bCs/>
                      <w:color w:val="000000"/>
                      <w:sz w:val="21"/>
                      <w:szCs w:val="21"/>
                      <w:highlight w:val="none"/>
                    </w:rPr>
                    <w:t>kV</w:t>
                  </w:r>
                </w:p>
              </w:tc>
              <w:tc>
                <w:tcPr>
                  <w:tcW w:w="1181" w:type="dxa"/>
                  <w:vMerge w:val="restart"/>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r>
                    <w:rPr>
                      <w:rFonts w:hint="default" w:ascii="Times New Roman" w:hAnsi="Times New Roman" w:eastAsia="宋体" w:cs="Times New Roman"/>
                      <w:b w:val="0"/>
                      <w:bCs/>
                      <w:color w:val="000000"/>
                      <w:sz w:val="21"/>
                      <w:szCs w:val="21"/>
                      <w:highlight w:val="none"/>
                    </w:rPr>
                    <w:t>变电站</w:t>
                  </w:r>
                </w:p>
              </w:tc>
              <w:tc>
                <w:tcPr>
                  <w:tcW w:w="3225" w:type="dxa"/>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r>
                    <w:rPr>
                      <w:rFonts w:hint="default" w:ascii="Times New Roman" w:hAnsi="Times New Roman" w:eastAsia="宋体" w:cs="Times New Roman"/>
                      <w:b w:val="0"/>
                      <w:bCs/>
                      <w:color w:val="000000"/>
                      <w:sz w:val="21"/>
                      <w:szCs w:val="21"/>
                      <w:highlight w:val="none"/>
                    </w:rPr>
                    <w:t>户内式，地下式</w:t>
                  </w:r>
                </w:p>
              </w:tc>
              <w:tc>
                <w:tcPr>
                  <w:tcW w:w="1612" w:type="dxa"/>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r>
                    <w:rPr>
                      <w:rFonts w:hint="eastAsia" w:ascii="Times New Roman" w:hAnsi="Times New Roman" w:eastAsia="宋体" w:cs="Times New Roman"/>
                      <w:b w:val="0"/>
                      <w:bCs/>
                      <w:color w:val="000000"/>
                      <w:sz w:val="21"/>
                      <w:szCs w:val="21"/>
                      <w:highlight w:val="none"/>
                      <w:lang w:val="en-US" w:eastAsia="zh-CN"/>
                    </w:rPr>
                    <w:t>三</w:t>
                  </w:r>
                  <w:r>
                    <w:rPr>
                      <w:rFonts w:hint="default" w:ascii="Times New Roman" w:hAnsi="Times New Roman" w:eastAsia="宋体" w:cs="Times New Roman"/>
                      <w:b w:val="0"/>
                      <w:bCs/>
                      <w:color w:val="000000"/>
                      <w:sz w:val="21"/>
                      <w:szCs w:val="21"/>
                      <w:highlight w:val="none"/>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Merge w:val="continue"/>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p>
              </w:tc>
              <w:tc>
                <w:tcPr>
                  <w:tcW w:w="1317" w:type="dxa"/>
                  <w:vMerge w:val="continue"/>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p>
              </w:tc>
              <w:tc>
                <w:tcPr>
                  <w:tcW w:w="1181" w:type="dxa"/>
                  <w:vMerge w:val="continue"/>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p>
              </w:tc>
              <w:tc>
                <w:tcPr>
                  <w:tcW w:w="3225" w:type="dxa"/>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r>
                    <w:rPr>
                      <w:rFonts w:hint="default" w:ascii="Times New Roman" w:hAnsi="Times New Roman" w:eastAsia="宋体" w:cs="Times New Roman"/>
                      <w:b w:val="0"/>
                      <w:bCs/>
                      <w:color w:val="000000"/>
                      <w:sz w:val="21"/>
                      <w:szCs w:val="21"/>
                      <w:highlight w:val="none"/>
                    </w:rPr>
                    <w:t>户外式</w:t>
                  </w:r>
                </w:p>
              </w:tc>
              <w:tc>
                <w:tcPr>
                  <w:tcW w:w="1612" w:type="dxa"/>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rPr>
                  </w:pPr>
                  <w:r>
                    <w:rPr>
                      <w:rFonts w:hint="eastAsia" w:ascii="Times New Roman" w:hAnsi="Times New Roman" w:eastAsia="宋体" w:cs="Times New Roman"/>
                      <w:b w:val="0"/>
                      <w:bCs/>
                      <w:color w:val="000000"/>
                      <w:sz w:val="21"/>
                      <w:szCs w:val="21"/>
                      <w:highlight w:val="none"/>
                      <w:lang w:val="en-US"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869" w:type="dxa"/>
                  <w:vMerge w:val="continue"/>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p>
              </w:tc>
              <w:tc>
                <w:tcPr>
                  <w:tcW w:w="1317" w:type="dxa"/>
                  <w:vMerge w:val="restart"/>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b w:val="0"/>
                      <w:bCs/>
                      <w:color w:val="000000"/>
                      <w:sz w:val="21"/>
                      <w:szCs w:val="21"/>
                      <w:highlight w:val="none"/>
                      <w:lang w:val="en-US" w:eastAsia="zh-CN"/>
                    </w:rPr>
                    <w:t>220~330kV</w:t>
                  </w:r>
                </w:p>
              </w:tc>
              <w:tc>
                <w:tcPr>
                  <w:tcW w:w="1181" w:type="dxa"/>
                  <w:vMerge w:val="restart"/>
                  <w:tcBorders>
                    <w:tl2br w:val="nil"/>
                    <w:tr2bl w:val="nil"/>
                  </w:tcBorders>
                  <w:noWrap w:val="0"/>
                  <w:vAlign w:val="center"/>
                </w:tcPr>
                <w:p>
                  <w:pPr>
                    <w:pStyle w:val="53"/>
                    <w:rPr>
                      <w:rFonts w:hint="default"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b w:val="0"/>
                      <w:bCs/>
                      <w:color w:val="000000"/>
                      <w:sz w:val="21"/>
                      <w:szCs w:val="21"/>
                      <w:highlight w:val="none"/>
                      <w:lang w:val="en-US" w:eastAsia="zh-CN"/>
                    </w:rPr>
                    <w:t>输电线路</w:t>
                  </w:r>
                </w:p>
              </w:tc>
              <w:tc>
                <w:tcPr>
                  <w:tcW w:w="3225" w:type="dxa"/>
                  <w:tcBorders>
                    <w:tl2br w:val="nil"/>
                    <w:tr2bl w:val="nil"/>
                  </w:tcBorders>
                  <w:noWrap w:val="0"/>
                  <w:vAlign w:val="center"/>
                </w:tcPr>
                <w:p>
                  <w:pPr>
                    <w:pStyle w:val="53"/>
                    <w:jc w:val="left"/>
                    <w:rPr>
                      <w:rFonts w:hint="default" w:ascii="Times New Roman" w:hAnsi="Times New Roman" w:eastAsia="宋体" w:cs="Times New Roman"/>
                      <w:b w:val="0"/>
                      <w:bCs/>
                      <w:color w:val="000000"/>
                      <w:sz w:val="21"/>
                      <w:szCs w:val="21"/>
                      <w:highlight w:val="none"/>
                    </w:rPr>
                  </w:pPr>
                  <w:r>
                    <w:rPr>
                      <w:rFonts w:hint="eastAsia" w:ascii="Times New Roman" w:hAnsi="Times New Roman" w:eastAsia="宋体" w:cs="Times New Roman"/>
                      <w:b w:val="0"/>
                      <w:bCs/>
                      <w:color w:val="000000"/>
                      <w:sz w:val="21"/>
                      <w:szCs w:val="21"/>
                      <w:highlight w:val="none"/>
                      <w:lang w:val="en-US" w:eastAsia="zh-CN"/>
                    </w:rPr>
                    <w:t>1.</w:t>
                  </w:r>
                  <w:r>
                    <w:rPr>
                      <w:rFonts w:hint="eastAsia" w:ascii="Times New Roman" w:hAnsi="Times New Roman" w:eastAsia="宋体" w:cs="Times New Roman"/>
                      <w:b w:val="0"/>
                      <w:bCs/>
                      <w:color w:val="000000"/>
                      <w:sz w:val="21"/>
                      <w:szCs w:val="21"/>
                      <w:highlight w:val="none"/>
                    </w:rPr>
                    <w:t>地下电缆</w:t>
                  </w:r>
                </w:p>
                <w:p>
                  <w:pPr>
                    <w:pStyle w:val="53"/>
                    <w:jc w:val="left"/>
                    <w:rPr>
                      <w:rFonts w:hint="default" w:ascii="Times New Roman" w:hAnsi="Times New Roman" w:eastAsia="宋体" w:cs="Times New Roman"/>
                      <w:b w:val="0"/>
                      <w:bCs/>
                      <w:color w:val="000000"/>
                      <w:sz w:val="21"/>
                      <w:szCs w:val="21"/>
                      <w:highlight w:val="none"/>
                    </w:rPr>
                  </w:pPr>
                  <w:r>
                    <w:rPr>
                      <w:rFonts w:hint="eastAsia" w:ascii="Times New Roman" w:hAnsi="Times New Roman" w:eastAsia="宋体" w:cs="Times New Roman"/>
                      <w:b w:val="0"/>
                      <w:bCs/>
                      <w:color w:val="000000"/>
                      <w:sz w:val="21"/>
                      <w:szCs w:val="21"/>
                      <w:highlight w:val="none"/>
                      <w:lang w:val="en-US" w:eastAsia="zh-CN"/>
                    </w:rPr>
                    <w:t>2.</w:t>
                  </w:r>
                  <w:r>
                    <w:rPr>
                      <w:rFonts w:hint="eastAsia" w:ascii="Times New Roman" w:hAnsi="Times New Roman" w:eastAsia="宋体" w:cs="Times New Roman"/>
                      <w:b w:val="0"/>
                      <w:bCs/>
                      <w:color w:val="000000"/>
                      <w:sz w:val="21"/>
                      <w:szCs w:val="21"/>
                      <w:highlight w:val="none"/>
                    </w:rPr>
                    <w:t>边导线地面投影外两侧各</w:t>
                  </w:r>
                  <w:r>
                    <w:rPr>
                      <w:rFonts w:hint="eastAsia" w:ascii="Times New Roman" w:hAnsi="Times New Roman" w:eastAsia="宋体" w:cs="Times New Roman"/>
                      <w:b w:val="0"/>
                      <w:bCs/>
                      <w:color w:val="000000"/>
                      <w:sz w:val="21"/>
                      <w:szCs w:val="21"/>
                      <w:highlight w:val="none"/>
                      <w:lang w:val="en-US" w:eastAsia="zh-CN"/>
                    </w:rPr>
                    <w:t>15</w:t>
                  </w:r>
                  <w:r>
                    <w:rPr>
                      <w:rFonts w:hint="eastAsia" w:ascii="Times New Roman" w:hAnsi="Times New Roman" w:eastAsia="宋体" w:cs="Times New Roman"/>
                      <w:b w:val="0"/>
                      <w:bCs/>
                      <w:color w:val="000000"/>
                      <w:sz w:val="21"/>
                      <w:szCs w:val="21"/>
                      <w:highlight w:val="none"/>
                    </w:rPr>
                    <w:t>m范围内无电磁环境敏感目标的架空线</w:t>
                  </w:r>
                </w:p>
              </w:tc>
              <w:tc>
                <w:tcPr>
                  <w:tcW w:w="1612" w:type="dxa"/>
                  <w:tcBorders>
                    <w:tl2br w:val="nil"/>
                    <w:tr2bl w:val="nil"/>
                  </w:tcBorders>
                  <w:noWrap w:val="0"/>
                  <w:vAlign w:val="center"/>
                </w:tcPr>
                <w:p>
                  <w:pPr>
                    <w:pStyle w:val="53"/>
                    <w:rPr>
                      <w:rFonts w:hint="eastAsia"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b w:val="0"/>
                      <w:bCs/>
                      <w:color w:val="000000"/>
                      <w:sz w:val="21"/>
                      <w:szCs w:val="21"/>
                      <w:highlight w:val="none"/>
                      <w:lang w:val="en-US" w:eastAsia="zh-CN"/>
                    </w:rPr>
                    <w:t>三</w:t>
                  </w:r>
                  <w:r>
                    <w:rPr>
                      <w:rFonts w:hint="eastAsia" w:ascii="Times New Roman" w:hAnsi="Times New Roman" w:eastAsia="宋体" w:cs="Times New Roman"/>
                      <w:b w:val="0"/>
                      <w:bCs/>
                      <w:color w:val="000000"/>
                      <w:sz w:val="21"/>
                      <w:szCs w:val="21"/>
                      <w:highlight w:val="none"/>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Merge w:val="continue"/>
                  <w:tcBorders>
                    <w:tl2br w:val="nil"/>
                    <w:tr2bl w:val="nil"/>
                  </w:tcBorders>
                  <w:noWrap w:val="0"/>
                  <w:vAlign w:val="center"/>
                </w:tcPr>
                <w:p>
                  <w:pPr>
                    <w:pStyle w:val="53"/>
                    <w:rPr>
                      <w:rFonts w:hint="default" w:ascii="Times New Roman" w:hAnsi="Times New Roman" w:eastAsia="宋体" w:cs="Times New Roman"/>
                      <w:color w:val="000000"/>
                      <w:sz w:val="21"/>
                      <w:szCs w:val="21"/>
                      <w:highlight w:val="none"/>
                    </w:rPr>
                  </w:pPr>
                </w:p>
              </w:tc>
              <w:tc>
                <w:tcPr>
                  <w:tcW w:w="1317" w:type="dxa"/>
                  <w:vMerge w:val="continue"/>
                  <w:tcBorders>
                    <w:tl2br w:val="nil"/>
                    <w:tr2bl w:val="nil"/>
                  </w:tcBorders>
                  <w:noWrap w:val="0"/>
                  <w:vAlign w:val="center"/>
                </w:tcPr>
                <w:p>
                  <w:pPr>
                    <w:pStyle w:val="53"/>
                    <w:rPr>
                      <w:rFonts w:hint="eastAsia" w:ascii="Times New Roman" w:hAnsi="Times New Roman" w:eastAsia="宋体" w:cs="Times New Roman"/>
                      <w:b w:val="0"/>
                      <w:bCs/>
                      <w:color w:val="000000"/>
                      <w:sz w:val="21"/>
                      <w:szCs w:val="21"/>
                      <w:highlight w:val="none"/>
                      <w:lang w:val="en-US" w:eastAsia="zh-CN"/>
                    </w:rPr>
                  </w:pPr>
                </w:p>
              </w:tc>
              <w:tc>
                <w:tcPr>
                  <w:tcW w:w="1181" w:type="dxa"/>
                  <w:vMerge w:val="continue"/>
                  <w:tcBorders>
                    <w:tl2br w:val="nil"/>
                    <w:tr2bl w:val="nil"/>
                  </w:tcBorders>
                  <w:noWrap w:val="0"/>
                  <w:vAlign w:val="center"/>
                </w:tcPr>
                <w:p>
                  <w:pPr>
                    <w:pStyle w:val="53"/>
                    <w:rPr>
                      <w:rFonts w:hint="eastAsia" w:ascii="Times New Roman" w:hAnsi="Times New Roman" w:eastAsia="宋体" w:cs="Times New Roman"/>
                      <w:b w:val="0"/>
                      <w:bCs/>
                      <w:color w:val="000000"/>
                      <w:sz w:val="21"/>
                      <w:szCs w:val="21"/>
                      <w:highlight w:val="none"/>
                      <w:lang w:val="en-US" w:eastAsia="zh-CN"/>
                    </w:rPr>
                  </w:pPr>
                </w:p>
              </w:tc>
              <w:tc>
                <w:tcPr>
                  <w:tcW w:w="3225" w:type="dxa"/>
                  <w:tcBorders>
                    <w:tl2br w:val="nil"/>
                    <w:tr2bl w:val="nil"/>
                  </w:tcBorders>
                  <w:noWrap w:val="0"/>
                  <w:vAlign w:val="center"/>
                </w:tcPr>
                <w:p>
                  <w:pPr>
                    <w:pStyle w:val="53"/>
                    <w:jc w:val="left"/>
                    <w:rPr>
                      <w:rFonts w:hint="default" w:ascii="Times New Roman" w:hAnsi="Times New Roman" w:eastAsia="宋体" w:cs="Times New Roman"/>
                      <w:b w:val="0"/>
                      <w:bCs/>
                      <w:color w:val="000000"/>
                      <w:sz w:val="21"/>
                      <w:szCs w:val="21"/>
                      <w:highlight w:val="none"/>
                    </w:rPr>
                  </w:pPr>
                  <w:r>
                    <w:rPr>
                      <w:rFonts w:hint="eastAsia" w:ascii="Times New Roman" w:hAnsi="Times New Roman" w:eastAsia="宋体" w:cs="Times New Roman"/>
                      <w:b w:val="0"/>
                      <w:bCs/>
                      <w:color w:val="000000"/>
                      <w:sz w:val="21"/>
                      <w:szCs w:val="21"/>
                      <w:highlight w:val="none"/>
                    </w:rPr>
                    <w:t>边导线地面投影外两侧各</w:t>
                  </w:r>
                  <w:r>
                    <w:rPr>
                      <w:rFonts w:hint="eastAsia" w:ascii="Times New Roman" w:hAnsi="Times New Roman" w:eastAsia="宋体" w:cs="Times New Roman"/>
                      <w:b w:val="0"/>
                      <w:bCs/>
                      <w:color w:val="000000"/>
                      <w:sz w:val="21"/>
                      <w:szCs w:val="21"/>
                      <w:highlight w:val="none"/>
                      <w:lang w:val="en-US" w:eastAsia="zh-CN"/>
                    </w:rPr>
                    <w:t>15</w:t>
                  </w:r>
                  <w:r>
                    <w:rPr>
                      <w:rFonts w:hint="eastAsia" w:ascii="Times New Roman" w:hAnsi="Times New Roman" w:eastAsia="宋体" w:cs="Times New Roman"/>
                      <w:b w:val="0"/>
                      <w:bCs/>
                      <w:color w:val="000000"/>
                      <w:sz w:val="21"/>
                      <w:szCs w:val="21"/>
                      <w:highlight w:val="none"/>
                    </w:rPr>
                    <w:t>m范围内有电磁环境敏感目标的架空线</w:t>
                  </w:r>
                </w:p>
              </w:tc>
              <w:tc>
                <w:tcPr>
                  <w:tcW w:w="1612" w:type="dxa"/>
                  <w:tcBorders>
                    <w:tl2br w:val="nil"/>
                    <w:tr2bl w:val="nil"/>
                  </w:tcBorders>
                  <w:noWrap w:val="0"/>
                  <w:vAlign w:val="center"/>
                </w:tcPr>
                <w:p>
                  <w:pPr>
                    <w:pStyle w:val="53"/>
                    <w:rPr>
                      <w:rFonts w:hint="eastAsia"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b w:val="0"/>
                      <w:bCs/>
                      <w:color w:val="000000"/>
                      <w:sz w:val="21"/>
                      <w:szCs w:val="21"/>
                      <w:highlight w:val="none"/>
                    </w:rPr>
                    <w:t>二级</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本项目变电站为户外式，评价等级为</w:t>
            </w:r>
            <w:r>
              <w:rPr>
                <w:rFonts w:hint="eastAsia" w:ascii="Times New Roman" w:hAnsi="Times New Roman" w:eastAsia="宋体" w:cs="Times New Roman"/>
                <w:color w:val="000000"/>
                <w:sz w:val="24"/>
                <w:szCs w:val="24"/>
                <w:highlight w:val="none"/>
                <w:lang w:val="en-US" w:eastAsia="zh-CN"/>
              </w:rPr>
              <w:t>二</w:t>
            </w:r>
            <w:r>
              <w:rPr>
                <w:rFonts w:hint="default" w:ascii="Times New Roman" w:hAnsi="Times New Roman" w:eastAsia="宋体" w:cs="Times New Roman"/>
                <w:color w:val="000000"/>
                <w:sz w:val="24"/>
                <w:szCs w:val="24"/>
                <w:highlight w:val="none"/>
                <w:lang w:val="en-US" w:eastAsia="zh-CN"/>
              </w:rPr>
              <w:t>级；输电线路</w:t>
            </w:r>
            <w:r>
              <w:rPr>
                <w:rFonts w:hint="eastAsia" w:ascii="Times New Roman" w:hAnsi="Times New Roman" w:eastAsia="宋体" w:cs="Times New Roman"/>
                <w:color w:val="000000"/>
                <w:sz w:val="24"/>
                <w:szCs w:val="24"/>
                <w:highlight w:val="none"/>
                <w:lang w:val="en-US" w:eastAsia="zh-CN"/>
              </w:rPr>
              <w:t>为220kV</w:t>
            </w:r>
            <w:r>
              <w:rPr>
                <w:rFonts w:hint="default" w:ascii="Times New Roman" w:hAnsi="Times New Roman" w:eastAsia="宋体" w:cs="Times New Roman"/>
                <w:color w:val="000000"/>
                <w:sz w:val="24"/>
                <w:szCs w:val="24"/>
                <w:highlight w:val="none"/>
                <w:lang w:val="en-US" w:eastAsia="zh-CN"/>
              </w:rPr>
              <w:t>边导线地面投影外两侧各1</w:t>
            </w:r>
            <w:r>
              <w:rPr>
                <w:rFonts w:hint="eastAsia" w:ascii="Times New Roman" w:hAnsi="Times New Roman" w:eastAsia="宋体" w:cs="Times New Roman"/>
                <w:color w:val="000000"/>
                <w:sz w:val="24"/>
                <w:szCs w:val="24"/>
                <w:highlight w:val="none"/>
                <w:lang w:val="en-US" w:eastAsia="zh-CN"/>
              </w:rPr>
              <w:t>5</w:t>
            </w:r>
            <w:r>
              <w:rPr>
                <w:rFonts w:hint="default" w:ascii="Times New Roman" w:hAnsi="Times New Roman" w:eastAsia="宋体" w:cs="Times New Roman"/>
                <w:color w:val="000000"/>
                <w:sz w:val="24"/>
                <w:szCs w:val="24"/>
                <w:highlight w:val="none"/>
                <w:lang w:val="en-US" w:eastAsia="zh-CN"/>
              </w:rPr>
              <w:t>m范围内无电磁环境敏感目标</w:t>
            </w:r>
            <w:r>
              <w:rPr>
                <w:rFonts w:hint="eastAsia" w:ascii="Times New Roman" w:hAnsi="Times New Roman" w:eastAsia="宋体" w:cs="Times New Roman"/>
                <w:color w:val="000000"/>
                <w:sz w:val="24"/>
                <w:szCs w:val="24"/>
                <w:highlight w:val="none"/>
                <w:lang w:val="en-US" w:eastAsia="zh-CN"/>
              </w:rPr>
              <w:t>的架空线路</w:t>
            </w:r>
            <w:r>
              <w:rPr>
                <w:rFonts w:hint="eastAsia" w:cs="Times New Roman"/>
                <w:color w:val="000000"/>
                <w:sz w:val="24"/>
                <w:szCs w:val="24"/>
                <w:highlight w:val="none"/>
                <w:lang w:val="en-US" w:eastAsia="zh-CN"/>
              </w:rPr>
              <w:t>和地下电缆</w:t>
            </w:r>
            <w:r>
              <w:rPr>
                <w:rFonts w:hint="default" w:ascii="Times New Roman" w:hAnsi="Times New Roman" w:eastAsia="宋体" w:cs="Times New Roman"/>
                <w:color w:val="000000"/>
                <w:sz w:val="24"/>
                <w:szCs w:val="24"/>
                <w:highlight w:val="none"/>
                <w:lang w:val="en-US" w:eastAsia="zh-CN"/>
              </w:rPr>
              <w:t>，评价等级为三级</w:t>
            </w:r>
            <w:r>
              <w:rPr>
                <w:rFonts w:hint="eastAsia"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综合分析，本项目</w:t>
            </w:r>
            <w:r>
              <w:rPr>
                <w:rFonts w:hint="default" w:ascii="Times New Roman" w:hAnsi="Times New Roman" w:eastAsia="宋体" w:cs="Times New Roman"/>
                <w:color w:val="auto"/>
                <w:sz w:val="24"/>
                <w:szCs w:val="24"/>
                <w:highlight w:val="none"/>
                <w:lang w:val="en-US" w:eastAsia="zh-CN"/>
              </w:rPr>
              <w:t>电磁环境影响评价工作等级</w:t>
            </w:r>
            <w:r>
              <w:rPr>
                <w:rFonts w:hint="eastAsia" w:ascii="Times New Roman" w:hAnsi="Times New Roman" w:eastAsia="宋体" w:cs="Times New Roman"/>
                <w:color w:val="auto"/>
                <w:sz w:val="24"/>
                <w:szCs w:val="24"/>
                <w:highlight w:val="none"/>
                <w:lang w:val="en-US" w:eastAsia="zh-CN"/>
              </w:rPr>
              <w:t>为二级</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4</w:t>
            </w:r>
            <w:r>
              <w:rPr>
                <w:rFonts w:hint="default" w:ascii="Times New Roman" w:hAnsi="Times New Roman" w:eastAsia="宋体" w:cs="Times New Roman"/>
                <w:b/>
                <w:bCs/>
                <w:color w:val="000000"/>
                <w:sz w:val="24"/>
                <w:szCs w:val="24"/>
                <w:highlight w:val="none"/>
                <w:lang w:val="en-US" w:eastAsia="zh-CN"/>
              </w:rPr>
              <w:t>.2评价范围</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根据《环境影响评价技术导则 输变电》（HJ24-20</w:t>
            </w:r>
            <w:r>
              <w:rPr>
                <w:rFonts w:hint="eastAsia" w:ascii="Times New Roman" w:hAnsi="Times New Roman" w:eastAsia="宋体" w:cs="Times New Roman"/>
                <w:color w:val="000000"/>
                <w:sz w:val="24"/>
                <w:szCs w:val="24"/>
                <w:highlight w:val="none"/>
                <w:lang w:val="en-US" w:eastAsia="zh-CN"/>
              </w:rPr>
              <w:t>20</w:t>
            </w:r>
            <w:r>
              <w:rPr>
                <w:rFonts w:hint="default" w:ascii="Times New Roman" w:hAnsi="Times New Roman" w:eastAsia="宋体"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电磁环境评价范围见下表。</w:t>
            </w:r>
          </w:p>
          <w:p>
            <w:pPr>
              <w:pStyle w:val="44"/>
              <w:keepNext w:val="0"/>
              <w:keepLines w:val="0"/>
              <w:pageBreakBefore w:val="0"/>
              <w:widowControl w:val="0"/>
              <w:kinsoku/>
              <w:wordWrap/>
              <w:overflowPunct/>
              <w:topLinePunct w:val="0"/>
              <w:autoSpaceDE/>
              <w:autoSpaceDN/>
              <w:bidi w:val="0"/>
              <w:adjustRightInd/>
              <w:snapToGrid/>
              <w:spacing w:line="240" w:lineRule="auto"/>
              <w:ind w:left="0" w:leftChars="0" w:firstLine="420"/>
              <w:textAlignment w:val="auto"/>
              <w:rPr>
                <w:rFonts w:hint="default" w:ascii="Times New Roman" w:hAnsi="Times New Roman" w:eastAsia="宋体"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lang w:val="en-US" w:eastAsia="zh-CN"/>
              </w:rPr>
              <w:t>表</w:t>
            </w:r>
            <w:r>
              <w:rPr>
                <w:rFonts w:hint="eastAsia" w:ascii="Times New Roman" w:hAnsi="Times New Roman" w:eastAsia="宋体" w:cs="Times New Roman"/>
                <w:b/>
                <w:bCs/>
                <w:color w:val="000000"/>
                <w:sz w:val="21"/>
                <w:szCs w:val="21"/>
                <w:highlight w:val="none"/>
                <w:lang w:val="en-US" w:eastAsia="zh-CN"/>
              </w:rPr>
              <w:t>4</w:t>
            </w:r>
            <w:r>
              <w:rPr>
                <w:rFonts w:hint="default" w:ascii="Times New Roman" w:hAnsi="Times New Roman" w:eastAsia="宋体" w:cs="Times New Roman"/>
                <w:b/>
                <w:bCs/>
                <w:color w:val="000000"/>
                <w:sz w:val="21"/>
                <w:szCs w:val="21"/>
                <w:highlight w:val="none"/>
                <w:lang w:val="en-US" w:eastAsia="zh-CN"/>
              </w:rPr>
              <w:t>-2</w:t>
            </w:r>
            <w:r>
              <w:rPr>
                <w:rFonts w:hint="eastAsia" w:ascii="Times New Roman" w:hAnsi="Times New Roman" w:eastAsia="宋体" w:cs="Times New Roman"/>
                <w:b/>
                <w:bCs/>
                <w:color w:val="000000"/>
                <w:sz w:val="21"/>
                <w:szCs w:val="21"/>
                <w:highlight w:val="none"/>
                <w:lang w:val="en-US" w:eastAsia="zh-CN"/>
              </w:rPr>
              <w:t xml:space="preserve">  </w:t>
            </w:r>
            <w:r>
              <w:rPr>
                <w:rFonts w:hint="default" w:ascii="Times New Roman" w:hAnsi="Times New Roman" w:eastAsia="宋体" w:cs="Times New Roman"/>
                <w:b/>
                <w:bCs/>
                <w:color w:val="000000"/>
                <w:sz w:val="21"/>
                <w:szCs w:val="21"/>
                <w:highlight w:val="none"/>
                <w:lang w:val="en-US" w:eastAsia="zh-CN"/>
              </w:rPr>
              <w:t>输变电工程电磁环境影响评价范围</w:t>
            </w:r>
          </w:p>
          <w:tbl>
            <w:tblPr>
              <w:tblStyle w:val="20"/>
              <w:tblW w:w="830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5"/>
              <w:gridCol w:w="1704"/>
              <w:gridCol w:w="1711"/>
              <w:gridCol w:w="2975"/>
              <w:gridCol w:w="15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05" w:type="dxa"/>
                  <w:vMerge w:val="restart"/>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分类</w:t>
                  </w:r>
                </w:p>
              </w:tc>
              <w:tc>
                <w:tcPr>
                  <w:tcW w:w="1704" w:type="dxa"/>
                  <w:vMerge w:val="restart"/>
                  <w:noWrap w:val="0"/>
                  <w:vAlign w:val="center"/>
                </w:tcPr>
                <w:p>
                  <w:pPr>
                    <w:pStyle w:val="53"/>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电压等级</w:t>
                  </w:r>
                </w:p>
              </w:tc>
              <w:tc>
                <w:tcPr>
                  <w:tcW w:w="6197" w:type="dxa"/>
                  <w:gridSpan w:val="3"/>
                  <w:noWrap w:val="0"/>
                  <w:vAlign w:val="center"/>
                </w:tcPr>
                <w:p>
                  <w:pPr>
                    <w:pStyle w:val="53"/>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05" w:type="dxa"/>
                  <w:vMerge w:val="continue"/>
                  <w:noWrap w:val="0"/>
                  <w:vAlign w:val="center"/>
                </w:tcPr>
                <w:p>
                  <w:pPr>
                    <w:pStyle w:val="53"/>
                    <w:rPr>
                      <w:rFonts w:hint="default" w:ascii="Times New Roman" w:hAnsi="Times New Roman" w:eastAsia="宋体" w:cs="Times New Roman"/>
                      <w:color w:val="000000"/>
                      <w:sz w:val="21"/>
                      <w:szCs w:val="21"/>
                      <w:highlight w:val="none"/>
                    </w:rPr>
                  </w:pPr>
                </w:p>
              </w:tc>
              <w:tc>
                <w:tcPr>
                  <w:tcW w:w="1704" w:type="dxa"/>
                  <w:vMerge w:val="continue"/>
                  <w:noWrap w:val="0"/>
                  <w:vAlign w:val="center"/>
                </w:tcPr>
                <w:p>
                  <w:pPr>
                    <w:pStyle w:val="53"/>
                    <w:rPr>
                      <w:rFonts w:hint="default" w:ascii="Times New Roman" w:hAnsi="Times New Roman" w:eastAsia="宋体" w:cs="Times New Roman"/>
                      <w:b w:val="0"/>
                      <w:bCs w:val="0"/>
                      <w:color w:val="000000"/>
                      <w:sz w:val="21"/>
                      <w:szCs w:val="21"/>
                      <w:highlight w:val="none"/>
                    </w:rPr>
                  </w:pPr>
                </w:p>
              </w:tc>
              <w:tc>
                <w:tcPr>
                  <w:tcW w:w="1711" w:type="dxa"/>
                  <w:vMerge w:val="restart"/>
                  <w:noWrap w:val="0"/>
                  <w:vAlign w:val="center"/>
                </w:tcPr>
                <w:p>
                  <w:pPr>
                    <w:pStyle w:val="53"/>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变电站、换流站、开关站、串补站</w:t>
                  </w:r>
                </w:p>
              </w:tc>
              <w:tc>
                <w:tcPr>
                  <w:tcW w:w="4486" w:type="dxa"/>
                  <w:gridSpan w:val="2"/>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线路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5" w:type="dxa"/>
                  <w:vMerge w:val="continue"/>
                  <w:noWrap w:val="0"/>
                  <w:vAlign w:val="center"/>
                </w:tcPr>
                <w:p>
                  <w:pPr>
                    <w:pStyle w:val="53"/>
                    <w:rPr>
                      <w:rFonts w:hint="default" w:ascii="Times New Roman" w:hAnsi="Times New Roman" w:eastAsia="宋体" w:cs="Times New Roman"/>
                      <w:color w:val="000000"/>
                      <w:sz w:val="21"/>
                      <w:szCs w:val="21"/>
                      <w:highlight w:val="none"/>
                    </w:rPr>
                  </w:pPr>
                </w:p>
              </w:tc>
              <w:tc>
                <w:tcPr>
                  <w:tcW w:w="1704" w:type="dxa"/>
                  <w:vMerge w:val="continue"/>
                  <w:noWrap w:val="0"/>
                  <w:vAlign w:val="center"/>
                </w:tcPr>
                <w:p>
                  <w:pPr>
                    <w:pStyle w:val="53"/>
                    <w:rPr>
                      <w:rFonts w:hint="default" w:ascii="Times New Roman" w:hAnsi="Times New Roman" w:eastAsia="宋体" w:cs="Times New Roman"/>
                      <w:color w:val="000000"/>
                      <w:sz w:val="21"/>
                      <w:szCs w:val="21"/>
                      <w:highlight w:val="none"/>
                    </w:rPr>
                  </w:pPr>
                </w:p>
              </w:tc>
              <w:tc>
                <w:tcPr>
                  <w:tcW w:w="1711" w:type="dxa"/>
                  <w:vMerge w:val="continue"/>
                  <w:noWrap w:val="0"/>
                  <w:vAlign w:val="center"/>
                </w:tcPr>
                <w:p>
                  <w:pPr>
                    <w:pStyle w:val="53"/>
                    <w:rPr>
                      <w:rFonts w:hint="default" w:ascii="Times New Roman" w:hAnsi="Times New Roman" w:eastAsia="宋体" w:cs="Times New Roman"/>
                      <w:b/>
                      <w:bCs/>
                      <w:color w:val="000000"/>
                      <w:sz w:val="21"/>
                      <w:szCs w:val="21"/>
                      <w:highlight w:val="none"/>
                    </w:rPr>
                  </w:pPr>
                </w:p>
              </w:tc>
              <w:tc>
                <w:tcPr>
                  <w:tcW w:w="2975" w:type="dxa"/>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架空线路</w:t>
                  </w:r>
                </w:p>
              </w:tc>
              <w:tc>
                <w:tcPr>
                  <w:tcW w:w="1511" w:type="dxa"/>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地下电缆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05" w:type="dxa"/>
                  <w:vMerge w:val="restart"/>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交流</w:t>
                  </w:r>
                </w:p>
              </w:tc>
              <w:tc>
                <w:tcPr>
                  <w:tcW w:w="1704"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1</w:t>
                  </w:r>
                  <w:r>
                    <w:rPr>
                      <w:rFonts w:hint="default" w:ascii="Times New Roman" w:hAnsi="Times New Roman" w:eastAsia="宋体" w:cs="Times New Roman"/>
                      <w:color w:val="000000"/>
                      <w:sz w:val="21"/>
                      <w:szCs w:val="21"/>
                      <w:highlight w:val="none"/>
                    </w:rPr>
                    <w:t>10</w:t>
                  </w:r>
                  <w:r>
                    <w:rPr>
                      <w:rFonts w:hint="eastAsia" w:ascii="Times New Roman" w:hAnsi="Times New Roman" w:eastAsia="宋体" w:cs="Times New Roman"/>
                      <w:color w:val="000000"/>
                      <w:sz w:val="21"/>
                      <w:szCs w:val="21"/>
                      <w:highlight w:val="none"/>
                    </w:rPr>
                    <w:t>kV</w:t>
                  </w:r>
                </w:p>
              </w:tc>
              <w:tc>
                <w:tcPr>
                  <w:tcW w:w="1711"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站界外3</w:t>
                  </w:r>
                  <w:r>
                    <w:rPr>
                      <w:rFonts w:hint="default" w:ascii="Times New Roman" w:hAnsi="Times New Roman" w:eastAsia="宋体" w:cs="Times New Roman"/>
                      <w:color w:val="000000"/>
                      <w:sz w:val="21"/>
                      <w:szCs w:val="21"/>
                      <w:highlight w:val="none"/>
                    </w:rPr>
                    <w:t>0</w:t>
                  </w:r>
                  <w:r>
                    <w:rPr>
                      <w:rFonts w:hint="eastAsia" w:ascii="Times New Roman" w:hAnsi="Times New Roman" w:eastAsia="宋体" w:cs="Times New Roman"/>
                      <w:color w:val="000000"/>
                      <w:sz w:val="21"/>
                      <w:szCs w:val="21"/>
                      <w:highlight w:val="none"/>
                    </w:rPr>
                    <w:t>m</w:t>
                  </w:r>
                </w:p>
              </w:tc>
              <w:tc>
                <w:tcPr>
                  <w:tcW w:w="2975"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边导线地面投影外两侧各3</w:t>
                  </w:r>
                  <w:r>
                    <w:rPr>
                      <w:rFonts w:hint="default" w:ascii="Times New Roman" w:hAnsi="Times New Roman" w:eastAsia="宋体" w:cs="Times New Roman"/>
                      <w:color w:val="000000"/>
                      <w:sz w:val="21"/>
                      <w:szCs w:val="21"/>
                      <w:highlight w:val="none"/>
                    </w:rPr>
                    <w:t>0</w:t>
                  </w:r>
                  <w:r>
                    <w:rPr>
                      <w:rFonts w:hint="eastAsia" w:ascii="Times New Roman" w:hAnsi="Times New Roman" w:eastAsia="宋体" w:cs="Times New Roman"/>
                      <w:color w:val="000000"/>
                      <w:sz w:val="21"/>
                      <w:szCs w:val="21"/>
                      <w:highlight w:val="none"/>
                    </w:rPr>
                    <w:t>m</w:t>
                  </w:r>
                </w:p>
              </w:tc>
              <w:tc>
                <w:tcPr>
                  <w:tcW w:w="1511" w:type="dxa"/>
                  <w:vMerge w:val="restart"/>
                  <w:noWrap w:val="0"/>
                  <w:vAlign w:val="center"/>
                </w:tcPr>
                <w:p>
                  <w:pPr>
                    <w:pStyle w:val="53"/>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电缆管廊两侧边缘各外延5m（水平距离）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05" w:type="dxa"/>
                  <w:vMerge w:val="continue"/>
                  <w:noWrap w:val="0"/>
                  <w:vAlign w:val="center"/>
                </w:tcPr>
                <w:p>
                  <w:pPr>
                    <w:pStyle w:val="53"/>
                    <w:rPr>
                      <w:rFonts w:hint="default" w:ascii="Times New Roman" w:hAnsi="Times New Roman" w:eastAsia="宋体" w:cs="Times New Roman"/>
                      <w:color w:val="000000"/>
                      <w:sz w:val="21"/>
                      <w:szCs w:val="21"/>
                      <w:highlight w:val="none"/>
                    </w:rPr>
                  </w:pPr>
                </w:p>
              </w:tc>
              <w:tc>
                <w:tcPr>
                  <w:tcW w:w="1704"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2</w:t>
                  </w:r>
                  <w:r>
                    <w:rPr>
                      <w:rFonts w:hint="default" w:ascii="Times New Roman" w:hAnsi="Times New Roman" w:eastAsia="宋体" w:cs="Times New Roman"/>
                      <w:color w:val="000000"/>
                      <w:sz w:val="21"/>
                      <w:szCs w:val="21"/>
                      <w:highlight w:val="none"/>
                    </w:rPr>
                    <w:t>20-330</w:t>
                  </w:r>
                  <w:r>
                    <w:rPr>
                      <w:rFonts w:hint="eastAsia" w:ascii="Times New Roman" w:hAnsi="Times New Roman" w:eastAsia="宋体" w:cs="Times New Roman"/>
                      <w:color w:val="000000"/>
                      <w:sz w:val="21"/>
                      <w:szCs w:val="21"/>
                      <w:highlight w:val="none"/>
                    </w:rPr>
                    <w:t>kV</w:t>
                  </w:r>
                </w:p>
              </w:tc>
              <w:tc>
                <w:tcPr>
                  <w:tcW w:w="1711"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站界外4</w:t>
                  </w:r>
                  <w:r>
                    <w:rPr>
                      <w:rFonts w:hint="default" w:ascii="Times New Roman" w:hAnsi="Times New Roman" w:eastAsia="宋体" w:cs="Times New Roman"/>
                      <w:color w:val="000000"/>
                      <w:sz w:val="21"/>
                      <w:szCs w:val="21"/>
                      <w:highlight w:val="none"/>
                    </w:rPr>
                    <w:t>0</w:t>
                  </w:r>
                  <w:r>
                    <w:rPr>
                      <w:rFonts w:hint="eastAsia" w:ascii="Times New Roman" w:hAnsi="Times New Roman" w:eastAsia="宋体" w:cs="Times New Roman"/>
                      <w:color w:val="000000"/>
                      <w:sz w:val="21"/>
                      <w:szCs w:val="21"/>
                      <w:highlight w:val="none"/>
                    </w:rPr>
                    <w:t>m</w:t>
                  </w:r>
                </w:p>
              </w:tc>
              <w:tc>
                <w:tcPr>
                  <w:tcW w:w="2975"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边导线地面投影外两侧各4</w:t>
                  </w:r>
                  <w:r>
                    <w:rPr>
                      <w:rFonts w:hint="default" w:ascii="Times New Roman" w:hAnsi="Times New Roman" w:eastAsia="宋体" w:cs="Times New Roman"/>
                      <w:color w:val="000000"/>
                      <w:sz w:val="21"/>
                      <w:szCs w:val="21"/>
                      <w:highlight w:val="none"/>
                    </w:rPr>
                    <w:t>0</w:t>
                  </w:r>
                  <w:r>
                    <w:rPr>
                      <w:rFonts w:hint="eastAsia" w:ascii="Times New Roman" w:hAnsi="Times New Roman" w:eastAsia="宋体" w:cs="Times New Roman"/>
                      <w:color w:val="000000"/>
                      <w:sz w:val="21"/>
                      <w:szCs w:val="21"/>
                      <w:highlight w:val="none"/>
                    </w:rPr>
                    <w:t>m</w:t>
                  </w:r>
                </w:p>
              </w:tc>
              <w:tc>
                <w:tcPr>
                  <w:tcW w:w="1511" w:type="dxa"/>
                  <w:vMerge w:val="continue"/>
                  <w:noWrap w:val="0"/>
                  <w:vAlign w:val="center"/>
                </w:tcPr>
                <w:p>
                  <w:pPr>
                    <w:pStyle w:val="53"/>
                    <w:rPr>
                      <w:rFonts w:hint="default" w:ascii="Times New Roman" w:hAnsi="Times New Roman" w:eastAsia="宋体" w:cs="Times New Roman"/>
                      <w:color w:val="00000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05" w:type="dxa"/>
                  <w:vMerge w:val="continue"/>
                  <w:noWrap w:val="0"/>
                  <w:vAlign w:val="center"/>
                </w:tcPr>
                <w:p>
                  <w:pPr>
                    <w:pStyle w:val="53"/>
                    <w:rPr>
                      <w:rFonts w:hint="default" w:ascii="Times New Roman" w:hAnsi="Times New Roman" w:eastAsia="宋体" w:cs="Times New Roman"/>
                      <w:color w:val="000000"/>
                      <w:sz w:val="21"/>
                      <w:szCs w:val="21"/>
                      <w:highlight w:val="none"/>
                    </w:rPr>
                  </w:pPr>
                </w:p>
              </w:tc>
              <w:tc>
                <w:tcPr>
                  <w:tcW w:w="1704"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5</w:t>
                  </w:r>
                  <w:r>
                    <w:rPr>
                      <w:rFonts w:hint="default" w:ascii="Times New Roman" w:hAnsi="Times New Roman" w:eastAsia="宋体" w:cs="Times New Roman"/>
                      <w:color w:val="000000"/>
                      <w:sz w:val="21"/>
                      <w:szCs w:val="21"/>
                      <w:highlight w:val="none"/>
                    </w:rPr>
                    <w:t>00</w:t>
                  </w:r>
                  <w:r>
                    <w:rPr>
                      <w:rFonts w:hint="eastAsia" w:ascii="Times New Roman" w:hAnsi="Times New Roman" w:eastAsia="宋体" w:cs="Times New Roman"/>
                      <w:color w:val="000000"/>
                      <w:sz w:val="21"/>
                      <w:szCs w:val="21"/>
                      <w:highlight w:val="none"/>
                    </w:rPr>
                    <w:t>kV及以上</w:t>
                  </w:r>
                </w:p>
              </w:tc>
              <w:tc>
                <w:tcPr>
                  <w:tcW w:w="1711"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站界外5</w:t>
                  </w:r>
                  <w:r>
                    <w:rPr>
                      <w:rFonts w:hint="default" w:ascii="Times New Roman" w:hAnsi="Times New Roman" w:eastAsia="宋体" w:cs="Times New Roman"/>
                      <w:color w:val="000000"/>
                      <w:sz w:val="21"/>
                      <w:szCs w:val="21"/>
                      <w:highlight w:val="none"/>
                    </w:rPr>
                    <w:t>0</w:t>
                  </w:r>
                  <w:r>
                    <w:rPr>
                      <w:rFonts w:hint="eastAsia" w:ascii="Times New Roman" w:hAnsi="Times New Roman" w:eastAsia="宋体" w:cs="Times New Roman"/>
                      <w:color w:val="000000"/>
                      <w:sz w:val="21"/>
                      <w:szCs w:val="21"/>
                      <w:highlight w:val="none"/>
                    </w:rPr>
                    <w:t>m</w:t>
                  </w:r>
                </w:p>
              </w:tc>
              <w:tc>
                <w:tcPr>
                  <w:tcW w:w="2975"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边导线地面投影外两侧各</w:t>
                  </w:r>
                  <w:r>
                    <w:rPr>
                      <w:rFonts w:hint="default" w:ascii="Times New Roman" w:hAnsi="Times New Roman" w:eastAsia="宋体" w:cs="Times New Roman"/>
                      <w:color w:val="000000"/>
                      <w:sz w:val="21"/>
                      <w:szCs w:val="21"/>
                      <w:highlight w:val="none"/>
                    </w:rPr>
                    <w:t>50</w:t>
                  </w:r>
                  <w:r>
                    <w:rPr>
                      <w:rFonts w:hint="eastAsia" w:ascii="Times New Roman" w:hAnsi="Times New Roman" w:eastAsia="宋体" w:cs="Times New Roman"/>
                      <w:color w:val="000000"/>
                      <w:sz w:val="21"/>
                      <w:szCs w:val="21"/>
                      <w:highlight w:val="none"/>
                    </w:rPr>
                    <w:t>m</w:t>
                  </w:r>
                </w:p>
              </w:tc>
              <w:tc>
                <w:tcPr>
                  <w:tcW w:w="1511" w:type="dxa"/>
                  <w:vMerge w:val="continue"/>
                  <w:noWrap w:val="0"/>
                  <w:vAlign w:val="center"/>
                </w:tcPr>
                <w:p>
                  <w:pPr>
                    <w:pStyle w:val="53"/>
                    <w:rPr>
                      <w:rFonts w:hint="default" w:ascii="Times New Roman" w:hAnsi="Times New Roman" w:eastAsia="宋体" w:cs="Times New Roman"/>
                      <w:color w:val="00000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05"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直流</w:t>
                  </w:r>
                </w:p>
              </w:tc>
              <w:tc>
                <w:tcPr>
                  <w:tcW w:w="1704"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±1</w:t>
                  </w:r>
                  <w:r>
                    <w:rPr>
                      <w:rFonts w:hint="default" w:ascii="Times New Roman" w:hAnsi="Times New Roman" w:eastAsia="宋体" w:cs="Times New Roman"/>
                      <w:color w:val="000000"/>
                      <w:sz w:val="21"/>
                      <w:szCs w:val="21"/>
                      <w:highlight w:val="none"/>
                    </w:rPr>
                    <w:t>00</w:t>
                  </w:r>
                  <w:r>
                    <w:rPr>
                      <w:rFonts w:hint="eastAsia" w:ascii="Times New Roman" w:hAnsi="Times New Roman" w:eastAsia="宋体" w:cs="Times New Roman"/>
                      <w:color w:val="000000"/>
                      <w:sz w:val="21"/>
                      <w:szCs w:val="21"/>
                      <w:highlight w:val="none"/>
                    </w:rPr>
                    <w:t>kV及以上</w:t>
                  </w:r>
                </w:p>
              </w:tc>
              <w:tc>
                <w:tcPr>
                  <w:tcW w:w="1711"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站界外5</w:t>
                  </w:r>
                  <w:r>
                    <w:rPr>
                      <w:rFonts w:hint="default" w:ascii="Times New Roman" w:hAnsi="Times New Roman" w:eastAsia="宋体" w:cs="Times New Roman"/>
                      <w:color w:val="000000"/>
                      <w:sz w:val="21"/>
                      <w:szCs w:val="21"/>
                      <w:highlight w:val="none"/>
                    </w:rPr>
                    <w:t>0</w:t>
                  </w:r>
                  <w:r>
                    <w:rPr>
                      <w:rFonts w:hint="eastAsia" w:ascii="Times New Roman" w:hAnsi="Times New Roman" w:eastAsia="宋体" w:cs="Times New Roman"/>
                      <w:color w:val="000000"/>
                      <w:sz w:val="21"/>
                      <w:szCs w:val="21"/>
                      <w:highlight w:val="none"/>
                    </w:rPr>
                    <w:t>m</w:t>
                  </w:r>
                </w:p>
              </w:tc>
              <w:tc>
                <w:tcPr>
                  <w:tcW w:w="2975" w:type="dxa"/>
                  <w:noWrap w:val="0"/>
                  <w:vAlign w:val="center"/>
                </w:tcPr>
                <w:p>
                  <w:pPr>
                    <w:pStyle w:val="53"/>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边导线地面投影外两侧各</w:t>
                  </w:r>
                  <w:r>
                    <w:rPr>
                      <w:rFonts w:hint="default" w:ascii="Times New Roman" w:hAnsi="Times New Roman" w:eastAsia="宋体" w:cs="Times New Roman"/>
                      <w:color w:val="000000"/>
                      <w:sz w:val="21"/>
                      <w:szCs w:val="21"/>
                      <w:highlight w:val="none"/>
                    </w:rPr>
                    <w:t>50</w:t>
                  </w:r>
                  <w:r>
                    <w:rPr>
                      <w:rFonts w:hint="eastAsia" w:ascii="Times New Roman" w:hAnsi="Times New Roman" w:eastAsia="宋体" w:cs="Times New Roman"/>
                      <w:color w:val="000000"/>
                      <w:sz w:val="21"/>
                      <w:szCs w:val="21"/>
                      <w:highlight w:val="none"/>
                    </w:rPr>
                    <w:t>m</w:t>
                  </w:r>
                </w:p>
              </w:tc>
              <w:tc>
                <w:tcPr>
                  <w:tcW w:w="1511" w:type="dxa"/>
                  <w:vMerge w:val="continue"/>
                  <w:noWrap w:val="0"/>
                  <w:vAlign w:val="center"/>
                </w:tcPr>
                <w:p>
                  <w:pPr>
                    <w:pStyle w:val="53"/>
                    <w:rPr>
                      <w:rFonts w:hint="default" w:ascii="Times New Roman" w:hAnsi="Times New Roman" w:eastAsia="宋体" w:cs="Times New Roman"/>
                      <w:color w:val="000000"/>
                      <w:sz w:val="21"/>
                      <w:szCs w:val="21"/>
                      <w:highlight w:val="none"/>
                    </w:rPr>
                  </w:pP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w:t>
            </w:r>
            <w:r>
              <w:rPr>
                <w:rFonts w:hint="eastAsia" w:ascii="Times New Roman" w:hAnsi="Times New Roman" w:eastAsia="宋体" w:cs="Times New Roman"/>
                <w:color w:val="000000"/>
                <w:sz w:val="24"/>
                <w:szCs w:val="24"/>
                <w:highlight w:val="none"/>
                <w:lang w:val="en-US" w:eastAsia="zh-CN"/>
              </w:rPr>
              <w:t>变电站</w:t>
            </w:r>
            <w:r>
              <w:rPr>
                <w:rFonts w:hint="default" w:ascii="Times New Roman" w:hAnsi="Times New Roman" w:eastAsia="宋体" w:cs="Times New Roman"/>
                <w:color w:val="000000"/>
                <w:sz w:val="24"/>
                <w:szCs w:val="24"/>
                <w:highlight w:val="none"/>
                <w:lang w:val="en-US" w:eastAsia="zh-CN"/>
              </w:rPr>
              <w:t>电压等级为</w:t>
            </w:r>
            <w:r>
              <w:rPr>
                <w:rFonts w:hint="eastAsia" w:ascii="Times New Roman" w:hAnsi="Times New Roman" w:eastAsia="宋体" w:cs="Times New Roman"/>
                <w:color w:val="000000"/>
                <w:sz w:val="24"/>
                <w:szCs w:val="24"/>
                <w:highlight w:val="none"/>
                <w:lang w:val="en-US" w:eastAsia="zh-CN"/>
              </w:rPr>
              <w:t>220</w:t>
            </w:r>
            <w:r>
              <w:rPr>
                <w:rFonts w:hint="default" w:ascii="Times New Roman" w:hAnsi="Times New Roman" w:eastAsia="宋体" w:cs="Times New Roman"/>
                <w:color w:val="000000"/>
                <w:sz w:val="24"/>
                <w:szCs w:val="24"/>
                <w:highlight w:val="none"/>
                <w:lang w:val="en-US" w:eastAsia="zh-CN"/>
              </w:rPr>
              <w:t>kV，电磁环境影响评价范围为升压站站界外</w:t>
            </w:r>
            <w:r>
              <w:rPr>
                <w:rFonts w:hint="eastAsia"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val="en-US" w:eastAsia="zh-CN"/>
              </w:rPr>
              <w:t>0m范围</w:t>
            </w:r>
            <w:r>
              <w:rPr>
                <w:rFonts w:hint="eastAsia" w:ascii="Times New Roman" w:hAnsi="Times New Roman" w:eastAsia="宋体" w:cs="Times New Roman"/>
                <w:color w:val="000000"/>
                <w:sz w:val="24"/>
                <w:szCs w:val="24"/>
                <w:highlight w:val="none"/>
                <w:lang w:val="en-US" w:eastAsia="zh-CN"/>
              </w:rPr>
              <w:t>；新建架空输电线路电磁环境影响评价范围为边导线地面投影外两侧各40m</w:t>
            </w:r>
            <w:r>
              <w:rPr>
                <w:rFonts w:hint="eastAsia" w:cs="Times New Roman"/>
                <w:color w:val="000000"/>
                <w:sz w:val="24"/>
                <w:szCs w:val="24"/>
                <w:highlight w:val="none"/>
                <w:lang w:val="en-US" w:eastAsia="zh-CN"/>
              </w:rPr>
              <w:t>；</w:t>
            </w:r>
            <w:r>
              <w:rPr>
                <w:rFonts w:hint="eastAsia" w:cs="Times New Roman"/>
                <w:color w:val="auto"/>
                <w:sz w:val="24"/>
                <w:szCs w:val="24"/>
                <w:highlight w:val="none"/>
                <w:lang w:val="en-US" w:eastAsia="zh-CN"/>
              </w:rPr>
              <w:t>地下电缆</w:t>
            </w:r>
            <w:r>
              <w:rPr>
                <w:rFonts w:hint="eastAsia" w:ascii="Times New Roman" w:hAnsi="Times New Roman" w:eastAsia="宋体" w:cs="Times New Roman"/>
                <w:color w:val="auto"/>
                <w:sz w:val="24"/>
                <w:szCs w:val="24"/>
                <w:highlight w:val="none"/>
                <w:lang w:val="en-US" w:eastAsia="zh-CN"/>
              </w:rPr>
              <w:t>电磁环境影响评价范围为</w:t>
            </w:r>
            <w:r>
              <w:rPr>
                <w:rFonts w:hint="eastAsia" w:cs="Times New Roman"/>
                <w:color w:val="auto"/>
                <w:sz w:val="24"/>
                <w:szCs w:val="24"/>
                <w:highlight w:val="none"/>
                <w:lang w:val="en-US" w:eastAsia="zh-CN"/>
              </w:rPr>
              <w:t>电缆管廊两侧边缘各外延5m（水平距离）</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经过现场踏勘和调查，本项目评价范围内无风景名胜区、文物保护区、自然保护区、水源保护地等环境敏感点；无文物古迹和国家重点保护单位，无已探明的矿床和珍贵的野生动、植物资源；无居民区、学校、医院和工厂等环境敏感保护目标。</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w:t>
            </w:r>
            <w:r>
              <w:rPr>
                <w:rFonts w:hint="eastAsia" w:ascii="Times New Roman" w:hAnsi="Times New Roman" w:eastAsia="宋体" w:cs="Times New Roman"/>
                <w:b/>
                <w:bCs/>
                <w:color w:val="000000"/>
                <w:sz w:val="24"/>
                <w:szCs w:val="24"/>
                <w:highlight w:val="none"/>
                <w:lang w:val="en-US" w:eastAsia="zh-CN"/>
              </w:rPr>
              <w:t>、环境保护目标</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根据现场踏勘，本工程评价范围内无电磁环境保护目标。</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6</w:t>
            </w:r>
            <w:r>
              <w:rPr>
                <w:rFonts w:hint="default" w:ascii="Times New Roman" w:hAnsi="Times New Roman" w:eastAsia="宋体" w:cs="Times New Roman"/>
                <w:b/>
                <w:bCs/>
                <w:color w:val="000000"/>
                <w:sz w:val="24"/>
                <w:szCs w:val="24"/>
                <w:highlight w:val="none"/>
                <w:lang w:val="en-US" w:eastAsia="zh-CN"/>
              </w:rPr>
              <w:t>、电磁环境现状调查与评价</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为了解本项目新建输电线路的电磁环境质量状况，本次委托黑龙江源宁环境检测有限公司对拟建输电线路沿线电磁环境现状进行实测，监测时间为20</w:t>
            </w:r>
            <w:r>
              <w:rPr>
                <w:rFonts w:hint="eastAsia" w:cs="Times New Roman"/>
                <w:color w:val="000000"/>
                <w:sz w:val="24"/>
                <w:szCs w:val="24"/>
                <w:highlight w:val="none"/>
                <w:lang w:val="en-US" w:eastAsia="zh-CN"/>
              </w:rPr>
              <w:t>25</w:t>
            </w:r>
            <w:r>
              <w:rPr>
                <w:rFonts w:hint="eastAsia" w:ascii="Times New Roman" w:hAnsi="Times New Roman" w:eastAsia="宋体" w:cs="Times New Roman"/>
                <w:color w:val="000000"/>
                <w:sz w:val="24"/>
                <w:szCs w:val="24"/>
                <w:highlight w:val="none"/>
                <w:lang w:val="en-US" w:eastAsia="zh-CN"/>
              </w:rPr>
              <w:t>年1</w:t>
            </w:r>
            <w:r>
              <w:rPr>
                <w:rFonts w:hint="eastAsia" w:cs="Times New Roman"/>
                <w:color w:val="000000"/>
                <w:sz w:val="24"/>
                <w:szCs w:val="24"/>
                <w:highlight w:val="none"/>
                <w:lang w:val="en-US" w:eastAsia="zh-CN"/>
              </w:rPr>
              <w:t>1</w:t>
            </w:r>
            <w:r>
              <w:rPr>
                <w:rFonts w:hint="eastAsia" w:ascii="Times New Roman" w:hAnsi="Times New Roman" w:eastAsia="宋体" w:cs="Times New Roman"/>
                <w:color w:val="000000"/>
                <w:sz w:val="24"/>
                <w:szCs w:val="24"/>
                <w:highlight w:val="none"/>
                <w:lang w:val="en-US" w:eastAsia="zh-CN"/>
              </w:rPr>
              <w:t>月1</w:t>
            </w:r>
            <w:r>
              <w:rPr>
                <w:rFonts w:hint="eastAsia" w:cs="Times New Roman"/>
                <w:color w:val="000000"/>
                <w:sz w:val="24"/>
                <w:szCs w:val="24"/>
                <w:highlight w:val="none"/>
                <w:lang w:val="en-US" w:eastAsia="zh-CN"/>
              </w:rPr>
              <w:t>2</w:t>
            </w:r>
            <w:r>
              <w:rPr>
                <w:rFonts w:hint="eastAsia" w:ascii="Times New Roman" w:hAnsi="Times New Roman" w:eastAsia="宋体" w:cs="Times New Roman"/>
                <w:color w:val="000000"/>
                <w:sz w:val="24"/>
                <w:szCs w:val="24"/>
                <w:highlight w:val="none"/>
                <w:lang w:val="en-US" w:eastAsia="zh-CN"/>
              </w:rPr>
              <w:t>日，监测方法执行《环境影响评价技术导则 输变电》（HJ24-2020）、《交流输变电工程电磁环境监测方法（试行）》（HJ681-2013）的有关规定。</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6.1现状评价方法</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通过对监测结果的统计、分析和对比，定量评价工程所处区域的电磁环境现状。根据《环境影影响评价技术导则 输变电》（HJ24-2020），“6.3电磁环境现状评价。线路沿线无电磁环境敏感目标时，线路电磁环境现状监测的点位数量要求见下表。”“变电站扩建应以围墙四周均匀布点监测为主，并在间隔改扩建工程出线端适当增加监测点位。”</w:t>
            </w:r>
          </w:p>
          <w:p>
            <w:pPr>
              <w:pStyle w:val="5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2" w:firstLineChars="200"/>
              <w:jc w:val="center"/>
              <w:textAlignment w:val="auto"/>
              <w:outlineLvl w:val="9"/>
              <w:rPr>
                <w:rFonts w:hint="default" w:ascii="Times New Roman" w:hAnsi="Times New Roman" w:eastAsia="宋体" w:cs="Times New Roman"/>
                <w:b/>
                <w:bCs/>
                <w:color w:val="000000"/>
                <w:kern w:val="2"/>
                <w:sz w:val="21"/>
                <w:szCs w:val="21"/>
                <w:highlight w:val="none"/>
                <w:lang w:val="en-US" w:eastAsia="zh-CN" w:bidi="ar-SA"/>
              </w:rPr>
            </w:pPr>
            <w:r>
              <w:rPr>
                <w:rFonts w:hint="default" w:ascii="Times New Roman" w:hAnsi="Times New Roman" w:eastAsia="宋体" w:cs="Times New Roman"/>
                <w:b/>
                <w:bCs/>
                <w:color w:val="000000"/>
                <w:kern w:val="2"/>
                <w:sz w:val="21"/>
                <w:szCs w:val="21"/>
                <w:highlight w:val="none"/>
                <w:lang w:val="en-US" w:eastAsia="zh-CN" w:bidi="ar-SA"/>
              </w:rPr>
              <w:t>表</w:t>
            </w:r>
            <w:r>
              <w:rPr>
                <w:rFonts w:hint="eastAsia" w:ascii="Times New Roman" w:hAnsi="Times New Roman" w:eastAsia="宋体" w:cs="Times New Roman"/>
                <w:b/>
                <w:bCs/>
                <w:color w:val="000000"/>
                <w:kern w:val="2"/>
                <w:sz w:val="21"/>
                <w:szCs w:val="21"/>
                <w:highlight w:val="none"/>
                <w:lang w:val="en-US" w:eastAsia="zh-CN" w:bidi="ar-SA"/>
              </w:rPr>
              <w:t>6</w:t>
            </w:r>
            <w:r>
              <w:rPr>
                <w:rFonts w:hint="default" w:ascii="Times New Roman" w:hAnsi="Times New Roman" w:eastAsia="宋体" w:cs="Times New Roman"/>
                <w:b/>
                <w:bCs/>
                <w:color w:val="000000"/>
                <w:kern w:val="2"/>
                <w:sz w:val="21"/>
                <w:szCs w:val="21"/>
                <w:highlight w:val="none"/>
                <w:lang w:val="en-US" w:eastAsia="zh-CN" w:bidi="ar-SA"/>
              </w:rPr>
              <w:t>-</w:t>
            </w:r>
            <w:r>
              <w:rPr>
                <w:rFonts w:hint="eastAsia" w:ascii="Times New Roman" w:hAnsi="Times New Roman" w:eastAsia="宋体" w:cs="Times New Roman"/>
                <w:b/>
                <w:bCs/>
                <w:color w:val="000000"/>
                <w:kern w:val="2"/>
                <w:sz w:val="21"/>
                <w:szCs w:val="21"/>
                <w:highlight w:val="none"/>
                <w:lang w:val="en-US" w:eastAsia="zh-CN" w:bidi="ar-SA"/>
              </w:rPr>
              <w:t>1</w:t>
            </w:r>
            <w:r>
              <w:rPr>
                <w:rFonts w:hint="default" w:ascii="Times New Roman" w:hAnsi="Times New Roman" w:eastAsia="宋体" w:cs="Times New Roman"/>
                <w:b/>
                <w:bCs/>
                <w:color w:val="000000"/>
                <w:kern w:val="2"/>
                <w:sz w:val="21"/>
                <w:szCs w:val="21"/>
                <w:highlight w:val="none"/>
                <w:lang w:val="en-US" w:eastAsia="zh-CN" w:bidi="ar-SA"/>
              </w:rPr>
              <w:t xml:space="preserve">  工频电磁场强度监测结果</w:t>
            </w:r>
          </w:p>
          <w:tbl>
            <w:tblPr>
              <w:tblStyle w:val="20"/>
              <w:tblW w:w="82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70"/>
              <w:gridCol w:w="2035"/>
              <w:gridCol w:w="2080"/>
              <w:gridCol w:w="21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247"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线路路径长度（L）范围</w:t>
                  </w:r>
                </w:p>
              </w:tc>
              <w:tc>
                <w:tcPr>
                  <w:tcW w:w="122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L&lt;100km</w:t>
                  </w:r>
                </w:p>
              </w:tc>
              <w:tc>
                <w:tcPr>
                  <w:tcW w:w="125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100km&lt;L&lt;500km</w:t>
                  </w:r>
                </w:p>
              </w:tc>
              <w:tc>
                <w:tcPr>
                  <w:tcW w:w="127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L&gt;500km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247"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最少测点数量</w:t>
                  </w:r>
                </w:p>
              </w:tc>
              <w:tc>
                <w:tcPr>
                  <w:tcW w:w="122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2个</w:t>
                  </w:r>
                </w:p>
              </w:tc>
              <w:tc>
                <w:tcPr>
                  <w:tcW w:w="125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4个</w:t>
                  </w:r>
                </w:p>
              </w:tc>
              <w:tc>
                <w:tcPr>
                  <w:tcW w:w="127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6个</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本项目电路长度</w:t>
            </w:r>
            <w:r>
              <w:rPr>
                <w:rFonts w:hint="eastAsia" w:cs="Times New Roman"/>
                <w:color w:val="000000"/>
                <w:sz w:val="24"/>
                <w:szCs w:val="24"/>
                <w:highlight w:val="none"/>
                <w:lang w:val="en-US" w:eastAsia="zh-CN"/>
              </w:rPr>
              <w:t>26.5</w:t>
            </w:r>
            <w:r>
              <w:rPr>
                <w:rFonts w:hint="eastAsia" w:ascii="Times New Roman" w:hAnsi="Times New Roman" w:eastAsia="宋体" w:cs="Times New Roman"/>
                <w:color w:val="000000"/>
                <w:sz w:val="24"/>
                <w:szCs w:val="24"/>
                <w:highlight w:val="none"/>
                <w:lang w:val="en-US" w:eastAsia="zh-CN"/>
              </w:rPr>
              <w:t>km，选取线路近</w:t>
            </w:r>
            <w:r>
              <w:rPr>
                <w:rFonts w:hint="eastAsia" w:cs="Times New Roman"/>
                <w:color w:val="000000"/>
                <w:sz w:val="24"/>
                <w:szCs w:val="24"/>
                <w:highlight w:val="none"/>
                <w:lang w:val="en-US" w:eastAsia="zh-CN"/>
              </w:rPr>
              <w:t>永久</w:t>
            </w:r>
            <w:r>
              <w:rPr>
                <w:rFonts w:hint="eastAsia" w:ascii="Times New Roman" w:hAnsi="Times New Roman" w:eastAsia="宋体" w:cs="Times New Roman"/>
                <w:color w:val="000000"/>
                <w:sz w:val="24"/>
                <w:szCs w:val="24"/>
                <w:highlight w:val="none"/>
                <w:lang w:val="en-US" w:eastAsia="zh-CN"/>
              </w:rPr>
              <w:t>村进行监测，中点处距离</w:t>
            </w:r>
            <w:r>
              <w:rPr>
                <w:rFonts w:hint="eastAsia" w:cs="Times New Roman"/>
                <w:color w:val="000000"/>
                <w:sz w:val="24"/>
                <w:szCs w:val="24"/>
                <w:highlight w:val="none"/>
                <w:lang w:val="en-US" w:eastAsia="zh-CN"/>
              </w:rPr>
              <w:t>永久村7.8k</w:t>
            </w:r>
            <w:r>
              <w:rPr>
                <w:rFonts w:hint="eastAsia" w:ascii="Times New Roman" w:hAnsi="Times New Roman" w:eastAsia="宋体" w:cs="Times New Roman"/>
                <w:color w:val="000000"/>
                <w:sz w:val="24"/>
                <w:szCs w:val="24"/>
                <w:highlight w:val="none"/>
                <w:lang w:val="en-US" w:eastAsia="zh-CN"/>
              </w:rPr>
              <w:t>m</w:t>
            </w:r>
            <w:r>
              <w:rPr>
                <w:rFonts w:hint="eastAsia"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线下无其他电磁辐射源存在，不会对监测结果构成影响，并监测线路终点处</w:t>
            </w:r>
            <w:r>
              <w:rPr>
                <w:rFonts w:hint="eastAsia" w:cs="Times New Roman"/>
                <w:color w:val="000000"/>
                <w:sz w:val="24"/>
                <w:szCs w:val="24"/>
                <w:highlight w:val="none"/>
                <w:lang w:val="en-US" w:eastAsia="zh-CN"/>
              </w:rPr>
              <w:t>太保</w:t>
            </w:r>
            <w:r>
              <w:rPr>
                <w:rFonts w:hint="eastAsia" w:ascii="Times New Roman" w:hAnsi="Times New Roman" w:eastAsia="宋体" w:cs="Times New Roman"/>
                <w:color w:val="000000"/>
                <w:sz w:val="24"/>
                <w:szCs w:val="24"/>
                <w:highlight w:val="none"/>
                <w:lang w:val="en-US" w:eastAsia="zh-CN"/>
              </w:rPr>
              <w:t>变电站厂界四周电磁环境现状，并在间隔改扩建工程出线端增加一个监测点位。</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6.2现状监测条件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（1）监测项目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各监测点位处的工频电场强度、工频磁感应强度。</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监测仪器</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电磁辐射分析仪NBM-550</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EHP-50F</w:t>
            </w:r>
            <w:r>
              <w:rPr>
                <w:rFonts w:hint="eastAsia" w:cs="Times New Roman"/>
                <w:color w:val="auto"/>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lang w:val="en-US" w:eastAsia="zh-CN"/>
              </w:rPr>
              <w:t>）检测方法</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按照</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交流输交电工程电磁环境监测方法</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试行</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（HJ681-2013）进行。</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val="en-US" w:eastAsia="zh-CN"/>
              </w:rPr>
              <w:t>）监测结果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本次现状监测结果见下表：</w:t>
            </w:r>
          </w:p>
          <w:p>
            <w:pPr>
              <w:pStyle w:val="5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2" w:firstLineChars="200"/>
              <w:jc w:val="center"/>
              <w:textAlignment w:val="auto"/>
              <w:outlineLvl w:val="9"/>
              <w:rPr>
                <w:rFonts w:hint="default" w:ascii="Times New Roman" w:hAnsi="Times New Roman" w:eastAsia="宋体" w:cs="Times New Roman"/>
                <w:b/>
                <w:bCs/>
                <w:color w:val="000000"/>
                <w:kern w:val="2"/>
                <w:sz w:val="21"/>
                <w:szCs w:val="21"/>
                <w:highlight w:val="none"/>
                <w:lang w:val="en-US" w:eastAsia="zh-CN" w:bidi="ar-SA"/>
              </w:rPr>
            </w:pPr>
            <w:r>
              <w:rPr>
                <w:rFonts w:hint="default" w:ascii="Times New Roman" w:hAnsi="Times New Roman" w:eastAsia="宋体" w:cs="Times New Roman"/>
                <w:b/>
                <w:bCs/>
                <w:color w:val="000000"/>
                <w:kern w:val="2"/>
                <w:sz w:val="21"/>
                <w:szCs w:val="21"/>
                <w:highlight w:val="none"/>
                <w:lang w:val="en-US" w:eastAsia="zh-CN" w:bidi="ar-SA"/>
              </w:rPr>
              <w:t>表</w:t>
            </w:r>
            <w:r>
              <w:rPr>
                <w:rFonts w:hint="eastAsia" w:ascii="Times New Roman" w:hAnsi="Times New Roman" w:eastAsia="宋体" w:cs="Times New Roman"/>
                <w:b/>
                <w:bCs/>
                <w:color w:val="000000"/>
                <w:kern w:val="2"/>
                <w:sz w:val="21"/>
                <w:szCs w:val="21"/>
                <w:highlight w:val="none"/>
                <w:lang w:val="en-US" w:eastAsia="zh-CN" w:bidi="ar-SA"/>
              </w:rPr>
              <w:t>6-2</w:t>
            </w:r>
            <w:r>
              <w:rPr>
                <w:rFonts w:hint="default" w:ascii="Times New Roman" w:hAnsi="Times New Roman" w:eastAsia="宋体" w:cs="Times New Roman"/>
                <w:b/>
                <w:bCs/>
                <w:color w:val="000000"/>
                <w:kern w:val="2"/>
                <w:sz w:val="21"/>
                <w:szCs w:val="21"/>
                <w:highlight w:val="none"/>
                <w:lang w:val="en-US" w:eastAsia="zh-CN" w:bidi="ar-SA"/>
              </w:rPr>
              <w:t xml:space="preserve">  工频电磁场强度监测结果</w:t>
            </w:r>
          </w:p>
          <w:tbl>
            <w:tblPr>
              <w:tblStyle w:val="20"/>
              <w:tblW w:w="799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24"/>
              <w:gridCol w:w="3690"/>
              <w:gridCol w:w="1667"/>
              <w:gridCol w:w="161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26" w:hRule="atLeast"/>
                <w:jc w:val="center"/>
              </w:trPr>
              <w:tc>
                <w:tcPr>
                  <w:tcW w:w="10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序号</w:t>
                  </w:r>
                </w:p>
              </w:tc>
              <w:tc>
                <w:tcPr>
                  <w:tcW w:w="369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监测位置</w:t>
                  </w:r>
                </w:p>
              </w:tc>
              <w:tc>
                <w:tcPr>
                  <w:tcW w:w="166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工频电场强度</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V/m</w:t>
                  </w:r>
                </w:p>
              </w:tc>
              <w:tc>
                <w:tcPr>
                  <w:tcW w:w="161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磁感应强度</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μ</w:t>
                  </w:r>
                  <w:r>
                    <w:rPr>
                      <w:rFonts w:hint="eastAsia" w:ascii="Times New Roman" w:hAnsi="Times New Roman" w:eastAsia="宋体" w:cs="Times New Roman"/>
                      <w:color w:val="000000"/>
                      <w:sz w:val="21"/>
                      <w:szCs w:val="21"/>
                      <w:highlight w:val="none"/>
                      <w:lang w:val="en-US" w:eastAsia="zh-CN"/>
                    </w:rPr>
                    <w:t>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6" w:hRule="exact"/>
                <w:jc w:val="center"/>
              </w:trPr>
              <w:tc>
                <w:tcPr>
                  <w:tcW w:w="10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w:t>
                  </w:r>
                </w:p>
              </w:tc>
              <w:tc>
                <w:tcPr>
                  <w:tcW w:w="369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220kV变电站东侧厂界外5m</w:t>
                  </w:r>
                </w:p>
              </w:tc>
              <w:tc>
                <w:tcPr>
                  <w:tcW w:w="1667"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12.17</w:t>
                  </w:r>
                </w:p>
              </w:tc>
              <w:tc>
                <w:tcPr>
                  <w:tcW w:w="1616"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0.0631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6" w:hRule="exact"/>
                <w:jc w:val="center"/>
              </w:trPr>
              <w:tc>
                <w:tcPr>
                  <w:tcW w:w="10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w:t>
                  </w:r>
                </w:p>
              </w:tc>
              <w:tc>
                <w:tcPr>
                  <w:tcW w:w="369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220kV变电站南侧厂界外5m</w:t>
                  </w:r>
                </w:p>
              </w:tc>
              <w:tc>
                <w:tcPr>
                  <w:tcW w:w="1667"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310.5</w:t>
                  </w:r>
                </w:p>
              </w:tc>
              <w:tc>
                <w:tcPr>
                  <w:tcW w:w="1616"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0.1751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6" w:hRule="exact"/>
                <w:jc w:val="center"/>
              </w:trPr>
              <w:tc>
                <w:tcPr>
                  <w:tcW w:w="10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w:t>
                  </w:r>
                </w:p>
              </w:tc>
              <w:tc>
                <w:tcPr>
                  <w:tcW w:w="369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220kV变电站西侧厂界外5m</w:t>
                  </w:r>
                </w:p>
              </w:tc>
              <w:tc>
                <w:tcPr>
                  <w:tcW w:w="1667"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56.70</w:t>
                  </w:r>
                </w:p>
              </w:tc>
              <w:tc>
                <w:tcPr>
                  <w:tcW w:w="1616"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0.0180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6" w:hRule="exact"/>
                <w:jc w:val="center"/>
              </w:trPr>
              <w:tc>
                <w:tcPr>
                  <w:tcW w:w="10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w:t>
                  </w:r>
                </w:p>
              </w:tc>
              <w:tc>
                <w:tcPr>
                  <w:tcW w:w="369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220kV变电站北侧厂界外5m</w:t>
                  </w:r>
                </w:p>
              </w:tc>
              <w:tc>
                <w:tcPr>
                  <w:tcW w:w="1667"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1.470</w:t>
                  </w:r>
                </w:p>
              </w:tc>
              <w:tc>
                <w:tcPr>
                  <w:tcW w:w="1616"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0.0219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6" w:hRule="exact"/>
                <w:jc w:val="center"/>
              </w:trPr>
              <w:tc>
                <w:tcPr>
                  <w:tcW w:w="10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w:t>
                  </w:r>
                </w:p>
              </w:tc>
              <w:tc>
                <w:tcPr>
                  <w:tcW w:w="369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220kV变电站扩建间隔处</w:t>
                  </w:r>
                </w:p>
              </w:tc>
              <w:tc>
                <w:tcPr>
                  <w:tcW w:w="1667"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highlight w:val="none"/>
                      <w:lang w:val="en-US" w:eastAsia="zh-CN"/>
                    </w:rPr>
                    <w:t>8.283</w:t>
                  </w:r>
                </w:p>
              </w:tc>
              <w:tc>
                <w:tcPr>
                  <w:tcW w:w="1616"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0.0564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6" w:hRule="exact"/>
                <w:jc w:val="center"/>
              </w:trPr>
              <w:tc>
                <w:tcPr>
                  <w:tcW w:w="10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6#</w:t>
                  </w:r>
                </w:p>
              </w:tc>
              <w:tc>
                <w:tcPr>
                  <w:tcW w:w="369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线路中点线下</w:t>
                  </w:r>
                </w:p>
              </w:tc>
              <w:tc>
                <w:tcPr>
                  <w:tcW w:w="1667"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highlight w:val="none"/>
                      <w:lang w:val="en-US" w:eastAsia="zh-CN"/>
                    </w:rPr>
                    <w:t>0.284</w:t>
                  </w:r>
                </w:p>
              </w:tc>
              <w:tc>
                <w:tcPr>
                  <w:tcW w:w="1616"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0.0137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9" w:hRule="exact"/>
                <w:jc w:val="center"/>
              </w:trPr>
              <w:tc>
                <w:tcPr>
                  <w:tcW w:w="10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w:t>
                  </w:r>
                </w:p>
              </w:tc>
              <w:tc>
                <w:tcPr>
                  <w:tcW w:w="369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永久村</w:t>
                  </w:r>
                  <w:r>
                    <w:rPr>
                      <w:rFonts w:hint="eastAsia" w:ascii="Times New Roman" w:hAnsi="Times New Roman" w:eastAsia="宋体" w:cs="Times New Roman"/>
                      <w:color w:val="000000"/>
                      <w:sz w:val="21"/>
                      <w:szCs w:val="21"/>
                      <w:highlight w:val="none"/>
                      <w:lang w:val="en-US" w:eastAsia="zh-CN"/>
                    </w:rPr>
                    <w:t>220KV线下</w:t>
                  </w:r>
                </w:p>
              </w:tc>
              <w:tc>
                <w:tcPr>
                  <w:tcW w:w="1667"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highlight w:val="none"/>
                      <w:lang w:val="en-US" w:eastAsia="zh-CN"/>
                    </w:rPr>
                    <w:t>0.913</w:t>
                  </w:r>
                </w:p>
              </w:tc>
              <w:tc>
                <w:tcPr>
                  <w:tcW w:w="1616" w:type="dxa"/>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eastAsia="宋体"/>
                      <w:color w:val="auto"/>
                      <w:szCs w:val="21"/>
                      <w:lang w:val="en-US" w:eastAsia="zh-CN"/>
                    </w:rPr>
                    <w:t>0.0138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10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监测条件</w:t>
                  </w:r>
                </w:p>
              </w:tc>
              <w:tc>
                <w:tcPr>
                  <w:tcW w:w="6973"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eastAsia" w:ascii="Times New Roman" w:hAnsi="Times New Roman" w:eastAsia="宋体" w:cs="Times New Roman"/>
                      <w:color w:val="000000"/>
                      <w:sz w:val="21"/>
                      <w:szCs w:val="21"/>
                      <w:highlight w:val="none"/>
                      <w:lang w:val="en-US" w:eastAsia="zh-CN"/>
                    </w:rPr>
                  </w:pPr>
                  <w:r>
                    <w:rPr>
                      <w:color w:val="auto"/>
                      <w:szCs w:val="21"/>
                    </w:rPr>
                    <w:t>昼间温度：</w:t>
                  </w:r>
                  <w:r>
                    <w:rPr>
                      <w:rFonts w:hint="eastAsia"/>
                      <w:color w:val="auto"/>
                      <w:szCs w:val="21"/>
                      <w:lang w:val="en-US" w:eastAsia="zh-CN"/>
                    </w:rPr>
                    <w:t>8</w:t>
                  </w:r>
                  <w:r>
                    <w:rPr>
                      <w:color w:val="auto"/>
                      <w:szCs w:val="21"/>
                    </w:rPr>
                    <w:t>°C；湿度：</w:t>
                  </w:r>
                  <w:r>
                    <w:rPr>
                      <w:rFonts w:hint="eastAsia"/>
                      <w:color w:val="auto"/>
                      <w:szCs w:val="21"/>
                      <w:lang w:val="en-US" w:eastAsia="zh-CN"/>
                    </w:rPr>
                    <w:t>36</w:t>
                  </w:r>
                  <w:r>
                    <w:rPr>
                      <w:color w:val="auto"/>
                      <w:szCs w:val="21"/>
                    </w:rPr>
                    <w:t>%RH；风速：</w:t>
                  </w:r>
                  <w:r>
                    <w:rPr>
                      <w:rFonts w:hint="eastAsia"/>
                      <w:color w:val="auto"/>
                      <w:szCs w:val="21"/>
                      <w:lang w:val="en-US" w:eastAsia="zh-CN"/>
                    </w:rPr>
                    <w:t>3.7</w:t>
                  </w:r>
                  <w:r>
                    <w:rPr>
                      <w:color w:val="auto"/>
                      <w:szCs w:val="21"/>
                    </w:rPr>
                    <w:t>m/s</w:t>
                  </w:r>
                  <w:r>
                    <w:rPr>
                      <w:rFonts w:hint="eastAsia" w:ascii="Times New Roman" w:hAnsi="Times New Roman" w:eastAsia="宋体" w:cs="Times New Roman"/>
                      <w:color w:val="000000"/>
                      <w:sz w:val="21"/>
                      <w:szCs w:val="21"/>
                      <w:highlight w:val="none"/>
                      <w:lang w:val="en-US" w:eastAsia="zh-CN"/>
                    </w:rPr>
                    <w:t>。</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000000"/>
              </w:rPr>
            </w:pPr>
            <w:r>
              <w:drawing>
                <wp:inline distT="0" distB="0" distL="114300" distR="114300">
                  <wp:extent cx="5154295" cy="3393440"/>
                  <wp:effectExtent l="0" t="0" r="8255" b="1651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0"/>
                          <a:stretch>
                            <a:fillRect/>
                          </a:stretch>
                        </pic:blipFill>
                        <pic:spPr>
                          <a:xfrm>
                            <a:off x="0" y="0"/>
                            <a:ext cx="5154295" cy="33934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000000"/>
                <w:szCs w:val="21"/>
                <w:highlight w:val="yellow"/>
              </w:rPr>
            </w:pPr>
            <w:r>
              <w:drawing>
                <wp:inline distT="0" distB="0" distL="114300" distR="114300">
                  <wp:extent cx="5149850" cy="3815715"/>
                  <wp:effectExtent l="0" t="0" r="12700" b="1333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1"/>
                          <a:stretch>
                            <a:fillRect/>
                          </a:stretch>
                        </pic:blipFill>
                        <pic:spPr>
                          <a:xfrm>
                            <a:off x="0" y="0"/>
                            <a:ext cx="5149850" cy="3815715"/>
                          </a:xfrm>
                          <a:prstGeom prst="rect">
                            <a:avLst/>
                          </a:prstGeom>
                          <a:noFill/>
                          <a:ln>
                            <a:noFill/>
                          </a:ln>
                        </pic:spPr>
                      </pic:pic>
                    </a:graphicData>
                  </a:graphic>
                </wp:inline>
              </w:drawing>
            </w:r>
          </w:p>
          <w:p>
            <w:pPr>
              <w:ind w:firstLine="420"/>
              <w:jc w:val="center"/>
              <w:rPr>
                <w:rFonts w:hint="default" w:ascii="Times New Roman" w:hAnsi="Times New Roman" w:eastAsia="宋体" w:cs="Times New Roman"/>
                <w:b/>
                <w:color w:val="000000"/>
                <w:sz w:val="24"/>
                <w:szCs w:val="24"/>
                <w:highlight w:val="none"/>
              </w:rPr>
            </w:pPr>
            <w:r>
              <w:rPr>
                <w:rFonts w:hint="default" w:ascii="Times New Roman" w:hAnsi="Times New Roman" w:eastAsia="宋体" w:cs="Times New Roman"/>
                <w:b/>
                <w:color w:val="000000"/>
                <w:sz w:val="24"/>
                <w:szCs w:val="24"/>
                <w:highlight w:val="none"/>
              </w:rPr>
              <w:t>图</w:t>
            </w:r>
            <w:r>
              <w:rPr>
                <w:rFonts w:hint="eastAsia" w:ascii="Times New Roman" w:hAnsi="Times New Roman" w:eastAsia="宋体" w:cs="Times New Roman"/>
                <w:b/>
                <w:color w:val="000000"/>
                <w:sz w:val="24"/>
                <w:szCs w:val="24"/>
                <w:highlight w:val="none"/>
                <w:lang w:val="en-US" w:eastAsia="zh-CN"/>
              </w:rPr>
              <w:t>6</w:t>
            </w:r>
            <w:r>
              <w:rPr>
                <w:rFonts w:hint="default" w:ascii="Times New Roman" w:hAnsi="Times New Roman" w:eastAsia="宋体" w:cs="Times New Roman"/>
                <w:b/>
                <w:color w:val="000000"/>
                <w:sz w:val="24"/>
                <w:szCs w:val="24"/>
                <w:highlight w:val="none"/>
              </w:rPr>
              <w:t>-1</w:t>
            </w:r>
            <w:r>
              <w:rPr>
                <w:rFonts w:hint="default" w:ascii="Times New Roman" w:hAnsi="Times New Roman" w:eastAsia="宋体" w:cs="Times New Roman"/>
                <w:b/>
                <w:color w:val="000000"/>
                <w:sz w:val="24"/>
                <w:szCs w:val="24"/>
                <w:highlight w:val="none"/>
                <w:lang w:val="en-US" w:eastAsia="zh-CN"/>
              </w:rPr>
              <w:t xml:space="preserve"> </w:t>
            </w:r>
            <w:r>
              <w:rPr>
                <w:rFonts w:hint="eastAsia" w:ascii="Times New Roman" w:hAnsi="Times New Roman" w:eastAsia="宋体" w:cs="Times New Roman"/>
                <w:b/>
                <w:color w:val="000000"/>
                <w:sz w:val="24"/>
                <w:szCs w:val="24"/>
                <w:highlight w:val="none"/>
                <w:lang w:val="en-US" w:eastAsia="zh-CN"/>
              </w:rPr>
              <w:t xml:space="preserve"> </w:t>
            </w:r>
            <w:r>
              <w:rPr>
                <w:rFonts w:hint="default" w:ascii="Times New Roman" w:hAnsi="Times New Roman" w:eastAsia="宋体" w:cs="Times New Roman"/>
                <w:b/>
                <w:color w:val="000000"/>
                <w:sz w:val="24"/>
                <w:szCs w:val="24"/>
                <w:highlight w:val="none"/>
                <w:lang w:val="en-US" w:eastAsia="zh-CN"/>
              </w:rPr>
              <w:t>电磁</w:t>
            </w:r>
            <w:r>
              <w:rPr>
                <w:rFonts w:hint="default" w:ascii="Times New Roman" w:hAnsi="Times New Roman" w:eastAsia="宋体" w:cs="Times New Roman"/>
                <w:b/>
                <w:color w:val="000000"/>
                <w:sz w:val="24"/>
                <w:szCs w:val="24"/>
                <w:highlight w:val="none"/>
              </w:rPr>
              <w:t>监测点位图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监测结果表明：</w:t>
            </w:r>
            <w:r>
              <w:rPr>
                <w:rFonts w:hint="eastAsia" w:ascii="Times New Roman" w:hAnsi="Times New Roman" w:eastAsia="宋体" w:cs="Times New Roman"/>
                <w:color w:val="000000"/>
                <w:sz w:val="24"/>
                <w:szCs w:val="24"/>
                <w:highlight w:val="none"/>
                <w:lang w:val="en-US" w:eastAsia="zh-CN"/>
              </w:rPr>
              <w:t>各监测点</w:t>
            </w:r>
            <w:r>
              <w:rPr>
                <w:rFonts w:hint="default" w:ascii="Times New Roman" w:hAnsi="Times New Roman" w:eastAsia="宋体" w:cs="Times New Roman"/>
                <w:color w:val="000000"/>
                <w:sz w:val="24"/>
                <w:szCs w:val="24"/>
                <w:highlight w:val="none"/>
                <w:lang w:val="en-US" w:eastAsia="zh-CN"/>
              </w:rPr>
              <w:t>电场强度为</w:t>
            </w:r>
            <w:r>
              <w:rPr>
                <w:rFonts w:hint="eastAsia" w:ascii="Times New Roman" w:hAnsi="Times New Roman" w:eastAsia="宋体" w:cs="Times New Roman"/>
                <w:color w:val="000000"/>
                <w:sz w:val="24"/>
                <w:szCs w:val="24"/>
                <w:highlight w:val="none"/>
                <w:lang w:val="en-US" w:eastAsia="zh-CN"/>
              </w:rPr>
              <w:t>0.</w:t>
            </w:r>
            <w:r>
              <w:rPr>
                <w:rFonts w:hint="eastAsia" w:cs="Times New Roman"/>
                <w:color w:val="000000"/>
                <w:sz w:val="24"/>
                <w:szCs w:val="24"/>
                <w:highlight w:val="none"/>
                <w:lang w:val="en-US" w:eastAsia="zh-CN"/>
              </w:rPr>
              <w:t>284</w:t>
            </w:r>
            <w:r>
              <w:rPr>
                <w:rFonts w:hint="default" w:ascii="Times New Roman" w:hAnsi="Times New Roman" w:eastAsia="宋体" w:cs="Times New Roman"/>
                <w:color w:val="000000"/>
                <w:sz w:val="24"/>
                <w:szCs w:val="24"/>
                <w:highlight w:val="none"/>
                <w:lang w:val="en-US" w:eastAsia="zh-CN"/>
              </w:rPr>
              <w:t>~</w:t>
            </w:r>
            <w:r>
              <w:rPr>
                <w:rFonts w:hint="eastAsia" w:cs="Times New Roman"/>
                <w:color w:val="000000"/>
                <w:sz w:val="24"/>
                <w:szCs w:val="24"/>
                <w:highlight w:val="none"/>
                <w:lang w:val="en-US" w:eastAsia="zh-CN"/>
              </w:rPr>
              <w:t>310.5</w:t>
            </w:r>
            <w:r>
              <w:rPr>
                <w:rFonts w:hint="default" w:ascii="Times New Roman" w:hAnsi="Times New Roman" w:eastAsia="宋体" w:cs="Times New Roman"/>
                <w:color w:val="000000"/>
                <w:sz w:val="24"/>
                <w:szCs w:val="24"/>
                <w:highlight w:val="none"/>
                <w:lang w:val="en-US" w:eastAsia="zh-CN"/>
              </w:rPr>
              <w:t>V/m，磁感应强度为0.0</w:t>
            </w:r>
            <w:r>
              <w:rPr>
                <w:rFonts w:hint="eastAsia" w:cs="Times New Roman"/>
                <w:color w:val="000000"/>
                <w:sz w:val="24"/>
                <w:szCs w:val="24"/>
                <w:highlight w:val="none"/>
                <w:lang w:val="en-US" w:eastAsia="zh-CN"/>
              </w:rPr>
              <w:t>137</w:t>
            </w:r>
            <w:r>
              <w:rPr>
                <w:rFonts w:hint="default" w:ascii="Times New Roman" w:hAnsi="Times New Roman" w:eastAsia="宋体" w:cs="Times New Roman"/>
                <w:color w:val="000000"/>
                <w:sz w:val="24"/>
                <w:szCs w:val="24"/>
                <w:highlight w:val="none"/>
                <w:lang w:val="en-US" w:eastAsia="zh-CN"/>
              </w:rPr>
              <w:t>~0.</w:t>
            </w:r>
            <w:r>
              <w:rPr>
                <w:rFonts w:hint="eastAsia" w:cs="Times New Roman"/>
                <w:color w:val="000000"/>
                <w:sz w:val="24"/>
                <w:szCs w:val="24"/>
                <w:highlight w:val="none"/>
                <w:lang w:val="en-US" w:eastAsia="zh-CN"/>
              </w:rPr>
              <w:t>1751</w:t>
            </w:r>
            <w:r>
              <w:rPr>
                <w:rFonts w:hint="default" w:ascii="Times New Roman" w:hAnsi="Times New Roman" w:eastAsia="宋体" w:cs="Times New Roman"/>
                <w:color w:val="000000"/>
                <w:sz w:val="24"/>
                <w:szCs w:val="24"/>
                <w:highlight w:val="none"/>
                <w:lang w:val="en-US" w:eastAsia="zh-CN"/>
              </w:rPr>
              <w:t>μT，均满足《电磁环境控制限值》（GB8702-2014）中规定的标准限值要求。</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7</w:t>
            </w:r>
            <w:r>
              <w:rPr>
                <w:rFonts w:hint="default" w:ascii="Times New Roman" w:hAnsi="Times New Roman" w:eastAsia="宋体" w:cs="Times New Roman"/>
                <w:b/>
                <w:bCs/>
                <w:color w:val="000000"/>
                <w:sz w:val="24"/>
                <w:szCs w:val="24"/>
                <w:highlight w:val="none"/>
                <w:lang w:val="en-US" w:eastAsia="zh-CN"/>
              </w:rPr>
              <w:t>、电磁环境影响</w:t>
            </w:r>
            <w:r>
              <w:rPr>
                <w:rFonts w:hint="eastAsia" w:ascii="Times New Roman" w:hAnsi="Times New Roman" w:eastAsia="宋体" w:cs="Times New Roman"/>
                <w:b/>
                <w:bCs/>
                <w:color w:val="000000"/>
                <w:sz w:val="24"/>
                <w:szCs w:val="24"/>
                <w:highlight w:val="none"/>
                <w:lang w:val="en-US" w:eastAsia="zh-CN"/>
              </w:rPr>
              <w:t>分析及</w:t>
            </w:r>
            <w:r>
              <w:rPr>
                <w:rFonts w:hint="default" w:ascii="Times New Roman" w:hAnsi="Times New Roman" w:eastAsia="宋体" w:cs="Times New Roman"/>
                <w:b/>
                <w:bCs/>
                <w:color w:val="000000"/>
                <w:sz w:val="24"/>
                <w:szCs w:val="24"/>
                <w:highlight w:val="none"/>
                <w:lang w:val="en-US" w:eastAsia="zh-CN"/>
              </w:rPr>
              <w:t>预测评价</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7.1太保220kV变电站间隔扩建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w:t>
            </w:r>
            <w:r>
              <w:rPr>
                <w:rFonts w:hint="eastAsia" w:ascii="Times New Roman" w:hAnsi="Times New Roman" w:eastAsia="宋体" w:cs="Times New Roman"/>
                <w:color w:val="000000"/>
                <w:sz w:val="24"/>
                <w:szCs w:val="24"/>
                <w:highlight w:val="none"/>
                <w:lang w:val="en-US" w:eastAsia="zh-CN"/>
              </w:rPr>
              <w:t>评价范围内</w:t>
            </w:r>
            <w:r>
              <w:rPr>
                <w:rFonts w:hint="default" w:ascii="Times New Roman" w:hAnsi="Times New Roman" w:eastAsia="宋体" w:cs="Times New Roman"/>
                <w:color w:val="000000"/>
                <w:sz w:val="24"/>
                <w:szCs w:val="24"/>
                <w:highlight w:val="none"/>
                <w:lang w:val="en-US" w:eastAsia="zh-CN"/>
              </w:rPr>
              <w:t>无工厂、学校、医院、居住点等</w:t>
            </w:r>
            <w:r>
              <w:rPr>
                <w:rFonts w:hint="eastAsia" w:ascii="Times New Roman" w:hAnsi="Times New Roman" w:eastAsia="宋体" w:cs="Times New Roman"/>
                <w:color w:val="000000"/>
                <w:sz w:val="24"/>
                <w:szCs w:val="24"/>
                <w:highlight w:val="none"/>
                <w:lang w:val="en-US" w:eastAsia="zh-CN"/>
              </w:rPr>
              <w:t>电磁</w:t>
            </w:r>
            <w:r>
              <w:rPr>
                <w:rFonts w:hint="default" w:ascii="Times New Roman" w:hAnsi="Times New Roman" w:eastAsia="宋体" w:cs="Times New Roman"/>
                <w:color w:val="000000"/>
                <w:sz w:val="24"/>
                <w:szCs w:val="24"/>
                <w:highlight w:val="none"/>
                <w:lang w:val="en-US" w:eastAsia="zh-CN"/>
              </w:rPr>
              <w:t>环境敏感目标。</w:t>
            </w:r>
            <w:r>
              <w:rPr>
                <w:rFonts w:hint="eastAsia" w:ascii="Times New Roman" w:hAnsi="Times New Roman" w:eastAsia="宋体" w:cs="Times New Roman"/>
                <w:color w:val="000000"/>
                <w:sz w:val="24"/>
                <w:szCs w:val="24"/>
                <w:highlight w:val="none"/>
                <w:lang w:val="en-US" w:eastAsia="zh-CN"/>
              </w:rPr>
              <w:t>根据《环境影响评价技术导则 输变电工程》（</w:t>
            </w:r>
            <w:r>
              <w:rPr>
                <w:rFonts w:hint="default" w:ascii="Times New Roman" w:hAnsi="Times New Roman" w:eastAsia="宋体" w:cs="Times New Roman"/>
                <w:color w:val="000000"/>
                <w:sz w:val="24"/>
                <w:szCs w:val="24"/>
                <w:highlight w:val="none"/>
                <w:lang w:val="en-US" w:eastAsia="zh-CN"/>
              </w:rPr>
              <w:t>HJ24-2020</w:t>
            </w:r>
            <w:r>
              <w:rPr>
                <w:rFonts w:hint="eastAsia" w:ascii="Times New Roman" w:hAnsi="Times New Roman" w:eastAsia="宋体" w:cs="Times New Roman"/>
                <w:color w:val="000000"/>
                <w:sz w:val="24"/>
                <w:szCs w:val="24"/>
                <w:highlight w:val="none"/>
                <w:lang w:val="en-US" w:eastAsia="zh-CN"/>
              </w:rPr>
              <w:t>），本项目太保变间隔扩建，为二级评价，电磁环境影响预测应采用类比监测的方式。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w:t>
            </w:r>
            <w:r>
              <w:rPr>
                <w:rFonts w:hint="eastAsia" w:ascii="Times New Roman" w:hAnsi="Times New Roman" w:eastAsia="宋体" w:cs="Times New Roman"/>
                <w:color w:val="000000"/>
                <w:sz w:val="24"/>
                <w:szCs w:val="24"/>
                <w:highlight w:val="none"/>
                <w:lang w:val="en-US" w:eastAsia="zh-CN"/>
              </w:rPr>
              <w:t>次</w:t>
            </w:r>
            <w:r>
              <w:rPr>
                <w:rFonts w:hint="eastAsia" w:cs="Times New Roman"/>
                <w:color w:val="000000"/>
                <w:sz w:val="24"/>
                <w:szCs w:val="24"/>
                <w:highlight w:val="none"/>
                <w:lang w:val="en-US" w:eastAsia="zh-CN"/>
              </w:rPr>
              <w:t>太保</w:t>
            </w:r>
            <w:r>
              <w:rPr>
                <w:rFonts w:hint="eastAsia" w:ascii="Times New Roman" w:hAnsi="Times New Roman" w:eastAsia="宋体" w:cs="Times New Roman"/>
                <w:color w:val="000000"/>
                <w:sz w:val="24"/>
                <w:szCs w:val="24"/>
                <w:highlight w:val="none"/>
                <w:lang w:val="en-US" w:eastAsia="zh-CN"/>
              </w:rPr>
              <w:t>变按远期</w:t>
            </w:r>
            <w:r>
              <w:rPr>
                <w:rFonts w:hint="default" w:ascii="Times New Roman" w:hAnsi="Times New Roman" w:eastAsia="宋体" w:cs="Times New Roman"/>
                <w:color w:val="000000"/>
                <w:sz w:val="24"/>
                <w:szCs w:val="24"/>
                <w:highlight w:val="none"/>
                <w:lang w:val="en-US" w:eastAsia="zh-CN"/>
              </w:rPr>
              <w:t>类比</w:t>
            </w:r>
            <w:r>
              <w:rPr>
                <w:rFonts w:hint="eastAsia" w:ascii="Times New Roman" w:hAnsi="Times New Roman" w:eastAsia="宋体" w:cs="Times New Roman"/>
                <w:color w:val="000000"/>
                <w:sz w:val="24"/>
                <w:szCs w:val="24"/>
                <w:highlight w:val="none"/>
                <w:lang w:val="en-US" w:eastAsia="zh-CN"/>
              </w:rPr>
              <w:t>电压等级相同的双辽220kV变电站</w:t>
            </w:r>
            <w:r>
              <w:rPr>
                <w:rFonts w:hint="default" w:ascii="Times New Roman" w:hAnsi="Times New Roman" w:eastAsia="宋体" w:cs="Times New Roman"/>
                <w:color w:val="000000"/>
                <w:sz w:val="24"/>
                <w:szCs w:val="24"/>
                <w:highlight w:val="none"/>
                <w:lang w:val="en-US" w:eastAsia="zh-CN"/>
              </w:rPr>
              <w:t>，在监测时段内，</w:t>
            </w:r>
            <w:r>
              <w:rPr>
                <w:rFonts w:hint="eastAsia" w:ascii="Times New Roman" w:hAnsi="Times New Roman" w:eastAsia="宋体" w:cs="Times New Roman"/>
                <w:color w:val="000000"/>
                <w:sz w:val="24"/>
                <w:szCs w:val="24"/>
                <w:highlight w:val="none"/>
                <w:lang w:val="en-US" w:eastAsia="zh-CN"/>
              </w:rPr>
              <w:t>双辽220kV变电站</w:t>
            </w:r>
            <w:r>
              <w:rPr>
                <w:rFonts w:hint="default" w:ascii="Times New Roman" w:hAnsi="Times New Roman" w:eastAsia="宋体" w:cs="Times New Roman"/>
                <w:color w:val="000000"/>
                <w:sz w:val="24"/>
                <w:szCs w:val="24"/>
                <w:highlight w:val="none"/>
                <w:lang w:val="en-US" w:eastAsia="zh-CN"/>
              </w:rPr>
              <w:t>正常运行，工况稳定，运行电压达到设计电压的要求，各类监测数据能够达标。</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太保</w:t>
            </w:r>
            <w:r>
              <w:rPr>
                <w:rFonts w:hint="eastAsia" w:ascii="Times New Roman" w:hAnsi="Times New Roman" w:eastAsia="宋体" w:cs="Times New Roman"/>
                <w:color w:val="000000"/>
                <w:sz w:val="24"/>
                <w:szCs w:val="24"/>
                <w:highlight w:val="none"/>
                <w:lang w:val="en-US" w:eastAsia="zh-CN"/>
              </w:rPr>
              <w:t>220kV变电站</w:t>
            </w:r>
            <w:r>
              <w:rPr>
                <w:rFonts w:hint="default" w:ascii="Times New Roman" w:hAnsi="Times New Roman" w:eastAsia="宋体" w:cs="Times New Roman"/>
                <w:color w:val="000000"/>
                <w:sz w:val="24"/>
                <w:szCs w:val="24"/>
                <w:highlight w:val="none"/>
                <w:lang w:val="en-US" w:eastAsia="zh-CN"/>
              </w:rPr>
              <w:t>与</w:t>
            </w:r>
            <w:r>
              <w:rPr>
                <w:rFonts w:hint="eastAsia" w:ascii="Times New Roman" w:hAnsi="Times New Roman" w:eastAsia="宋体" w:cs="Times New Roman"/>
                <w:color w:val="000000"/>
                <w:sz w:val="24"/>
                <w:szCs w:val="24"/>
                <w:highlight w:val="none"/>
                <w:lang w:val="en-US" w:eastAsia="zh-CN"/>
              </w:rPr>
              <w:t>双辽220kV变电站</w:t>
            </w:r>
            <w:r>
              <w:rPr>
                <w:rFonts w:hint="default" w:ascii="Times New Roman" w:hAnsi="Times New Roman" w:eastAsia="宋体" w:cs="Times New Roman"/>
                <w:color w:val="000000"/>
                <w:sz w:val="24"/>
                <w:szCs w:val="24"/>
                <w:highlight w:val="none"/>
                <w:lang w:val="en-US" w:eastAsia="zh-CN"/>
              </w:rPr>
              <w:t>对照</w:t>
            </w:r>
            <w:r>
              <w:rPr>
                <w:rFonts w:hint="eastAsia" w:ascii="Times New Roman" w:hAnsi="Times New Roman" w:eastAsia="宋体" w:cs="Times New Roman"/>
                <w:color w:val="000000"/>
                <w:sz w:val="24"/>
                <w:szCs w:val="24"/>
                <w:highlight w:val="none"/>
                <w:lang w:val="en-US" w:eastAsia="zh-CN"/>
              </w:rPr>
              <w:t>下表</w:t>
            </w:r>
            <w:r>
              <w:rPr>
                <w:rFonts w:hint="default" w:ascii="Times New Roman" w:hAnsi="Times New Roman" w:eastAsia="宋体" w:cs="Times New Roman"/>
                <w:color w:val="000000"/>
                <w:sz w:val="24"/>
                <w:szCs w:val="24"/>
                <w:highlight w:val="none"/>
                <w:lang w:val="en-US" w:eastAsia="zh-CN"/>
              </w:rPr>
              <w:t>。</w:t>
            </w:r>
          </w:p>
          <w:p>
            <w:pPr>
              <w:pStyle w:val="5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2" w:firstLineChars="200"/>
              <w:jc w:val="center"/>
              <w:textAlignment w:val="auto"/>
              <w:outlineLvl w:val="9"/>
              <w:rPr>
                <w:rFonts w:hint="eastAsia"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cs="Times New Roman"/>
                <w:b/>
                <w:bCs/>
                <w:color w:val="000000"/>
                <w:kern w:val="2"/>
                <w:sz w:val="21"/>
                <w:szCs w:val="21"/>
                <w:highlight w:val="none"/>
                <w:lang w:val="en-US" w:eastAsia="zh-CN" w:bidi="ar-SA"/>
              </w:rPr>
              <w:t>表7-1 变电站类比工程对照表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0"/>
              <w:gridCol w:w="2689"/>
              <w:gridCol w:w="2664"/>
              <w:gridCol w:w="1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1530"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工程名称</w:t>
                  </w:r>
                </w:p>
              </w:tc>
              <w:tc>
                <w:tcPr>
                  <w:tcW w:w="2689"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双辽220kV变电站（类比变电站）</w:t>
                  </w:r>
                </w:p>
              </w:tc>
              <w:tc>
                <w:tcPr>
                  <w:tcW w:w="2664"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太保</w:t>
                  </w:r>
                  <w:r>
                    <w:rPr>
                      <w:rFonts w:hint="eastAsia" w:ascii="Times New Roman" w:hAnsi="Times New Roman" w:eastAsia="宋体" w:cs="Times New Roman"/>
                      <w:color w:val="000000"/>
                      <w:sz w:val="21"/>
                      <w:szCs w:val="21"/>
                      <w:highlight w:val="none"/>
                      <w:lang w:val="en-US" w:eastAsia="zh-CN"/>
                    </w:rPr>
                    <w:t>220kV变电站（本项目变电站）</w:t>
                  </w:r>
                </w:p>
              </w:tc>
              <w:tc>
                <w:tcPr>
                  <w:tcW w:w="1191"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530"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电压等级</w:t>
                  </w:r>
                </w:p>
              </w:tc>
              <w:tc>
                <w:tcPr>
                  <w:tcW w:w="2689"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220</w:t>
                  </w:r>
                  <w:r>
                    <w:rPr>
                      <w:rFonts w:hint="default" w:ascii="Times New Roman" w:hAnsi="Times New Roman" w:eastAsia="宋体" w:cs="Times New Roman"/>
                      <w:color w:val="000000"/>
                      <w:sz w:val="21"/>
                      <w:szCs w:val="21"/>
                      <w:highlight w:val="none"/>
                      <w:lang w:val="en-US" w:eastAsia="zh-CN"/>
                    </w:rPr>
                    <w:t>kV</w:t>
                  </w:r>
                </w:p>
              </w:tc>
              <w:tc>
                <w:tcPr>
                  <w:tcW w:w="2664"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w:t>
                  </w:r>
                  <w:r>
                    <w:rPr>
                      <w:rFonts w:hint="default" w:ascii="Times New Roman" w:hAnsi="Times New Roman" w:eastAsia="宋体" w:cs="Times New Roman"/>
                      <w:color w:val="000000"/>
                      <w:sz w:val="21"/>
                      <w:szCs w:val="21"/>
                      <w:highlight w:val="none"/>
                      <w:lang w:val="en-US" w:eastAsia="zh-CN"/>
                    </w:rPr>
                    <w:t>0kV</w:t>
                  </w:r>
                </w:p>
              </w:tc>
              <w:tc>
                <w:tcPr>
                  <w:tcW w:w="1191"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530"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出线规模</w:t>
                  </w:r>
                </w:p>
              </w:tc>
              <w:tc>
                <w:tcPr>
                  <w:tcW w:w="2689"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220kV出线4回</w:t>
                  </w:r>
                </w:p>
              </w:tc>
              <w:tc>
                <w:tcPr>
                  <w:tcW w:w="2664"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220kV出线4回</w:t>
                  </w:r>
                </w:p>
              </w:tc>
              <w:tc>
                <w:tcPr>
                  <w:tcW w:w="1191"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530"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主变规模</w:t>
                  </w:r>
                </w:p>
              </w:tc>
              <w:tc>
                <w:tcPr>
                  <w:tcW w:w="2689"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2×180MVA</w:t>
                  </w:r>
                </w:p>
              </w:tc>
              <w:tc>
                <w:tcPr>
                  <w:tcW w:w="2664"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2×120MVA</w:t>
                  </w:r>
                </w:p>
              </w:tc>
              <w:tc>
                <w:tcPr>
                  <w:tcW w:w="1191"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大于本项目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30"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布置方式</w:t>
                  </w:r>
                </w:p>
              </w:tc>
              <w:tc>
                <w:tcPr>
                  <w:tcW w:w="2689"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户外布置</w:t>
                  </w:r>
                </w:p>
              </w:tc>
              <w:tc>
                <w:tcPr>
                  <w:tcW w:w="2664"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户外布置</w:t>
                  </w:r>
                </w:p>
              </w:tc>
              <w:tc>
                <w:tcPr>
                  <w:tcW w:w="1191"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530"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占地面积</w:t>
                  </w:r>
                  <w:r>
                    <w:rPr>
                      <w:rFonts w:hint="eastAsia" w:ascii="Times New Roman" w:hAnsi="Times New Roman" w:eastAsia="宋体" w:cs="Times New Roman"/>
                      <w:color w:val="000000"/>
                      <w:sz w:val="21"/>
                      <w:szCs w:val="21"/>
                      <w:highlight w:val="none"/>
                      <w:lang w:val="en-US" w:eastAsia="zh-CN"/>
                    </w:rPr>
                    <w:t>（</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eastAsia" w:ascii="Times New Roman" w:hAnsi="Times New Roman" w:eastAsia="宋体" w:cs="Times New Roman"/>
                      <w:color w:val="000000"/>
                      <w:sz w:val="21"/>
                      <w:szCs w:val="21"/>
                      <w:highlight w:val="none"/>
                      <w:lang w:val="en-US" w:eastAsia="zh-CN"/>
                    </w:rPr>
                    <w:t>）</w:t>
                  </w:r>
                </w:p>
              </w:tc>
              <w:tc>
                <w:tcPr>
                  <w:tcW w:w="2689"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20000</w:t>
                  </w:r>
                </w:p>
              </w:tc>
              <w:tc>
                <w:tcPr>
                  <w:tcW w:w="2664"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20000</w:t>
                  </w:r>
                </w:p>
              </w:tc>
              <w:tc>
                <w:tcPr>
                  <w:tcW w:w="1191"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530"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架线形式</w:t>
                  </w:r>
                </w:p>
              </w:tc>
              <w:tc>
                <w:tcPr>
                  <w:tcW w:w="2689"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架空</w:t>
                  </w:r>
                </w:p>
              </w:tc>
              <w:tc>
                <w:tcPr>
                  <w:tcW w:w="2664"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架空</w:t>
                  </w:r>
                </w:p>
              </w:tc>
              <w:tc>
                <w:tcPr>
                  <w:tcW w:w="1191"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1530"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电气形式</w:t>
                  </w:r>
                </w:p>
              </w:tc>
              <w:tc>
                <w:tcPr>
                  <w:tcW w:w="2689"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w:t>
                  </w:r>
                  <w:r>
                    <w:rPr>
                      <w:rFonts w:hint="default" w:ascii="Times New Roman" w:hAnsi="Times New Roman" w:eastAsia="宋体" w:cs="Times New Roman"/>
                      <w:color w:val="000000"/>
                      <w:sz w:val="21"/>
                      <w:szCs w:val="21"/>
                      <w:highlight w:val="none"/>
                      <w:lang w:val="en-US" w:eastAsia="zh-CN"/>
                    </w:rPr>
                    <w:t>0kV</w:t>
                  </w:r>
                  <w:r>
                    <w:rPr>
                      <w:rFonts w:hint="eastAsia" w:ascii="Times New Roman" w:hAnsi="Times New Roman" w:eastAsia="宋体" w:cs="Times New Roman"/>
                      <w:color w:val="000000"/>
                      <w:sz w:val="21"/>
                      <w:szCs w:val="21"/>
                      <w:highlight w:val="none"/>
                      <w:lang w:val="en-US" w:eastAsia="zh-CN"/>
                    </w:rPr>
                    <w:t>配电装置，主变户外</w:t>
                  </w:r>
                </w:p>
              </w:tc>
              <w:tc>
                <w:tcPr>
                  <w:tcW w:w="2664"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w:t>
                  </w:r>
                  <w:r>
                    <w:rPr>
                      <w:rFonts w:hint="default" w:ascii="Times New Roman" w:hAnsi="Times New Roman" w:eastAsia="宋体" w:cs="Times New Roman"/>
                      <w:color w:val="000000"/>
                      <w:sz w:val="21"/>
                      <w:szCs w:val="21"/>
                      <w:highlight w:val="none"/>
                      <w:lang w:val="en-US" w:eastAsia="zh-CN"/>
                    </w:rPr>
                    <w:t>0kV</w:t>
                  </w:r>
                  <w:r>
                    <w:rPr>
                      <w:rFonts w:hint="eastAsia" w:ascii="Times New Roman" w:hAnsi="Times New Roman" w:eastAsia="宋体" w:cs="Times New Roman"/>
                      <w:color w:val="000000"/>
                      <w:sz w:val="21"/>
                      <w:szCs w:val="21"/>
                      <w:highlight w:val="none"/>
                      <w:lang w:val="en-US" w:eastAsia="zh-CN"/>
                    </w:rPr>
                    <w:t>配电装置，主变户外</w:t>
                  </w:r>
                </w:p>
              </w:tc>
              <w:tc>
                <w:tcPr>
                  <w:tcW w:w="1191"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530"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环境条件</w:t>
                  </w:r>
                </w:p>
              </w:tc>
              <w:tc>
                <w:tcPr>
                  <w:tcW w:w="2689"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平原地区，变电站周围均为空地</w:t>
                  </w:r>
                </w:p>
              </w:tc>
              <w:tc>
                <w:tcPr>
                  <w:tcW w:w="2664"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平原地区，变电站周围均为空地</w:t>
                  </w:r>
                </w:p>
              </w:tc>
              <w:tc>
                <w:tcPr>
                  <w:tcW w:w="1191" w:type="dxa"/>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相似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1530"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距离厂界距离</w:t>
                  </w:r>
                </w:p>
              </w:tc>
              <w:tc>
                <w:tcPr>
                  <w:tcW w:w="5353" w:type="dxa"/>
                  <w:gridSpan w:val="2"/>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本项目和类比项目的平面布置情况见下图，本项目与类比项目平面布局相似，本项目主变与厂界最近距离大于类比项目</w:t>
                  </w:r>
                </w:p>
              </w:tc>
              <w:tc>
                <w:tcPr>
                  <w:tcW w:w="1191" w:type="dxa"/>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可类比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8" w:hRule="atLeast"/>
                <w:jc w:val="center"/>
              </w:trPr>
              <w:tc>
                <w:tcPr>
                  <w:tcW w:w="4219" w:type="dxa"/>
                  <w:gridSpan w:val="2"/>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18"/>
                      <w:szCs w:val="18"/>
                      <w:highlight w:val="none"/>
                      <w:lang w:val="en-US" w:eastAsia="zh-CN"/>
                    </w:rPr>
                    <w:drawing>
                      <wp:inline distT="0" distB="0" distL="114300" distR="114300">
                        <wp:extent cx="2274570" cy="2183130"/>
                        <wp:effectExtent l="0" t="0" r="11430" b="76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2"/>
                                <a:stretch>
                                  <a:fillRect/>
                                </a:stretch>
                              </pic:blipFill>
                              <pic:spPr>
                                <a:xfrm>
                                  <a:off x="0" y="0"/>
                                  <a:ext cx="2274570" cy="2183130"/>
                                </a:xfrm>
                                <a:prstGeom prst="rect">
                                  <a:avLst/>
                                </a:prstGeom>
                                <a:noFill/>
                                <a:ln>
                                  <a:noFill/>
                                </a:ln>
                              </pic:spPr>
                            </pic:pic>
                          </a:graphicData>
                        </a:graphic>
                      </wp:inline>
                    </w:drawing>
                  </w:r>
                </w:p>
              </w:tc>
              <w:tc>
                <w:tcPr>
                  <w:tcW w:w="385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ascii="Times New Roman" w:hAnsi="Times New Roman" w:eastAsia="宋体" w:cs="Times New Roman"/>
                      <w:color w:val="000000"/>
                      <w:sz w:val="21"/>
                      <w:szCs w:val="21"/>
                      <w:highlight w:val="none"/>
                      <w:lang w:val="en-US" w:eastAsia="zh-CN"/>
                    </w:rPr>
                  </w:pPr>
                  <w:r>
                    <w:drawing>
                      <wp:inline distT="0" distB="0" distL="114300" distR="114300">
                        <wp:extent cx="2409190" cy="1788795"/>
                        <wp:effectExtent l="0" t="0" r="10160" b="1905"/>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23"/>
                                <a:stretch>
                                  <a:fillRect/>
                                </a:stretch>
                              </pic:blipFill>
                              <pic:spPr>
                                <a:xfrm>
                                  <a:off x="0" y="0"/>
                                  <a:ext cx="2409190" cy="17887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4219" w:type="dxa"/>
                  <w:gridSpan w:val="2"/>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双辽220kV变电站平面布局</w:t>
                  </w:r>
                </w:p>
              </w:tc>
              <w:tc>
                <w:tcPr>
                  <w:tcW w:w="3855" w:type="dxa"/>
                  <w:gridSpan w:val="2"/>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太保220kV变电站平面布局</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由表7-1变电站类比工程对照表可知，在布置方式上均为户外布置变电站，电压等级均为220kV，电压等级相同，主变台数与本项目一致；以主变连线为轴，双辽220kV变电站主变轴向上距离厂界最近距离为30m小于本项目主变距厂界最近距离</w:t>
            </w:r>
            <w:r>
              <w:rPr>
                <w:rFonts w:hint="eastAsia" w:cs="Times New Roman"/>
                <w:color w:val="000000"/>
                <w:sz w:val="24"/>
                <w:szCs w:val="24"/>
                <w:highlight w:val="none"/>
                <w:lang w:val="en-US" w:eastAsia="zh-CN"/>
              </w:rPr>
              <w:t>33</w:t>
            </w:r>
            <w:r>
              <w:rPr>
                <w:rFonts w:hint="eastAsia" w:ascii="Times New Roman" w:hAnsi="Times New Roman" w:eastAsia="宋体" w:cs="Times New Roman"/>
                <w:color w:val="000000"/>
                <w:sz w:val="24"/>
                <w:szCs w:val="24"/>
                <w:highlight w:val="none"/>
                <w:lang w:val="en-US" w:eastAsia="zh-CN"/>
              </w:rPr>
              <w:t>m，且双辽220kV变电站出线间隔数与本项目相同，从占地面积来看，双辽220kV变电站与本项目一致，因此双辽220kV变电站厂界内产生的工频磁场的影响要大于本项目，故本变电站与双辽220kV变电站具较高的可类比性，类比双辽220kV变电站电磁监测结果能代表本期变电站扩建工程投运后的电磁环境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本次类比监测数据来源于《吉林四平双辽220kV变电站主变增容改造工程建设项目竣工环境保护验收调查报告表》中验收监测数据，监测数据由吉林省泽盛科技有限公司于2022年10月测得，目前该项目已竣工验收。验收监测时段内变电站正常运行，工况稳定。</w:t>
            </w:r>
          </w:p>
          <w:p>
            <w:pPr>
              <w:spacing w:line="240" w:lineRule="auto"/>
              <w:ind w:left="0" w:leftChars="0" w:firstLine="422" w:firstLineChars="200"/>
              <w:jc w:val="center"/>
              <w:rPr>
                <w:rFonts w:hint="default" w:ascii="Times New Roman" w:hAnsi="Times New Roman" w:eastAsia="宋体" w:cs="Times New Roman"/>
                <w:b/>
                <w:bCs/>
                <w:color w:val="000000"/>
                <w:highlight w:val="none"/>
                <w:lang w:val="en-US" w:eastAsia="zh-CN"/>
              </w:rPr>
            </w:pPr>
            <w:r>
              <w:rPr>
                <w:rFonts w:hint="eastAsia" w:ascii="Times New Roman" w:hAnsi="Times New Roman" w:eastAsia="宋体" w:cs="Times New Roman"/>
                <w:b/>
                <w:bCs/>
                <w:color w:val="000000"/>
                <w:highlight w:val="none"/>
                <w:lang w:val="zh-CN" w:eastAsia="zh-CN"/>
              </w:rPr>
              <w:t>表</w:t>
            </w:r>
            <w:r>
              <w:rPr>
                <w:rFonts w:hint="eastAsia" w:ascii="Times New Roman" w:hAnsi="Times New Roman" w:eastAsia="宋体" w:cs="Times New Roman"/>
                <w:b/>
                <w:bCs/>
                <w:color w:val="000000"/>
                <w:highlight w:val="none"/>
                <w:lang w:val="en-US" w:eastAsia="zh-CN"/>
              </w:rPr>
              <w:t>7-2双辽变电站</w:t>
            </w:r>
            <w:r>
              <w:rPr>
                <w:rFonts w:hint="eastAsia" w:ascii="Times New Roman" w:hAnsi="Times New Roman" w:eastAsia="宋体" w:cs="Times New Roman"/>
                <w:b/>
                <w:bCs/>
                <w:color w:val="000000"/>
                <w:highlight w:val="none"/>
                <w:lang w:val="zh-CN" w:eastAsia="zh-CN"/>
              </w:rPr>
              <w:t>电磁辐射仪</w:t>
            </w:r>
            <w:r>
              <w:rPr>
                <w:rFonts w:hint="eastAsia" w:ascii="Times New Roman" w:hAnsi="Times New Roman" w:eastAsia="宋体" w:cs="Times New Roman"/>
                <w:b/>
                <w:bCs/>
                <w:color w:val="000000"/>
                <w:highlight w:val="none"/>
                <w:lang w:val="en-US" w:eastAsia="zh-CN"/>
              </w:rPr>
              <w:t>技术指标</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仪器名称</w:t>
                  </w:r>
                </w:p>
              </w:tc>
              <w:tc>
                <w:tcPr>
                  <w:tcW w:w="4051"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rPr>
                    <w:t>电磁场探头</w:t>
                  </w:r>
                  <w:r>
                    <w:rPr>
                      <w:rFonts w:hint="eastAsia" w:ascii="Times New Roman" w:hAnsi="Times New Roman" w:eastAsia="宋体" w:cs="Times New Roman"/>
                      <w:color w:val="000000"/>
                      <w:sz w:val="21"/>
                      <w:szCs w:val="21"/>
                      <w:lang w:val="en-US" w:eastAsia="zh-CN"/>
                    </w:rPr>
                    <w:t>和工频场强分析仪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仪器型号</w:t>
                  </w:r>
                </w:p>
              </w:tc>
              <w:tc>
                <w:tcPr>
                  <w:tcW w:w="4051"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EHP-500&amp;NBM-550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测量范围</w:t>
                  </w:r>
                </w:p>
              </w:tc>
              <w:tc>
                <w:tcPr>
                  <w:tcW w:w="4051"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工频电场强度：0.</w:t>
                  </w:r>
                  <w:r>
                    <w:rPr>
                      <w:rFonts w:hint="eastAsia" w:ascii="Times New Roman" w:hAnsi="Times New Roman" w:eastAsia="宋体" w:cs="Times New Roman"/>
                      <w:color w:val="000000"/>
                      <w:sz w:val="21"/>
                      <w:szCs w:val="21"/>
                      <w:lang w:val="en-US" w:eastAsia="zh-CN"/>
                    </w:rPr>
                    <w:t>005</w:t>
                  </w:r>
                  <w:r>
                    <w:rPr>
                      <w:rFonts w:hint="eastAsia" w:ascii="Times New Roman" w:hAnsi="Times New Roman" w:eastAsia="宋体" w:cs="Times New Roman"/>
                      <w:color w:val="000000"/>
                      <w:sz w:val="21"/>
                      <w:szCs w:val="21"/>
                    </w:rPr>
                    <w:t>V/m～</w:t>
                  </w:r>
                  <w:r>
                    <w:rPr>
                      <w:rFonts w:hint="eastAsia" w:ascii="Times New Roman" w:hAnsi="Times New Roman" w:eastAsia="宋体" w:cs="Times New Roman"/>
                      <w:color w:val="000000"/>
                      <w:sz w:val="21"/>
                      <w:szCs w:val="21"/>
                      <w:lang w:val="en-US" w:eastAsia="zh-CN"/>
                    </w:rPr>
                    <w:t>1</w:t>
                  </w:r>
                  <w:r>
                    <w:rPr>
                      <w:rFonts w:hint="eastAsia" w:ascii="Times New Roman" w:hAnsi="Times New Roman" w:eastAsia="宋体" w:cs="Times New Roman"/>
                      <w:color w:val="000000"/>
                      <w:sz w:val="21"/>
                      <w:szCs w:val="21"/>
                    </w:rPr>
                    <w:t>00kV/m</w:t>
                  </w:r>
                </w:p>
                <w:p>
                  <w:pPr>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工频磁感应强度：0.</w:t>
                  </w:r>
                  <w:r>
                    <w:rPr>
                      <w:rFonts w:hint="eastAsia" w:ascii="Times New Roman" w:hAnsi="Times New Roman" w:eastAsia="宋体" w:cs="Times New Roman"/>
                      <w:color w:val="000000"/>
                      <w:sz w:val="21"/>
                      <w:szCs w:val="21"/>
                      <w:lang w:val="en-US" w:eastAsia="zh-CN"/>
                    </w:rPr>
                    <w:t>3</w:t>
                  </w:r>
                  <w:r>
                    <w:rPr>
                      <w:rFonts w:hint="eastAsia" w:ascii="Times New Roman" w:hAnsi="Times New Roman" w:eastAsia="宋体" w:cs="Times New Roman"/>
                      <w:color w:val="000000"/>
                      <w:sz w:val="21"/>
                      <w:szCs w:val="21"/>
                    </w:rPr>
                    <w:t>nT～10mT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检定单位</w:t>
                  </w:r>
                </w:p>
              </w:tc>
              <w:tc>
                <w:tcPr>
                  <w:tcW w:w="4051"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中国电力科学研究院</w:t>
                  </w:r>
                  <w:r>
                    <w:rPr>
                      <w:rFonts w:hint="eastAsia" w:ascii="Times New Roman" w:hAnsi="Times New Roman" w:eastAsia="宋体" w:cs="Times New Roman"/>
                      <w:color w:val="000000"/>
                      <w:sz w:val="21"/>
                      <w:szCs w:val="21"/>
                    </w:rPr>
                    <w:t>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检定日期</w:t>
                  </w:r>
                </w:p>
              </w:tc>
              <w:tc>
                <w:tcPr>
                  <w:tcW w:w="4051"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2</w:t>
                  </w:r>
                  <w:r>
                    <w:rPr>
                      <w:rFonts w:hint="default" w:ascii="Times New Roman" w:hAnsi="Times New Roman" w:eastAsia="宋体" w:cs="Times New Roman"/>
                      <w:color w:val="000000"/>
                      <w:sz w:val="21"/>
                      <w:szCs w:val="21"/>
                    </w:rPr>
                    <w:t>02</w:t>
                  </w:r>
                  <w:r>
                    <w:rPr>
                      <w:rFonts w:hint="eastAsia" w:ascii="Times New Roman" w:hAnsi="Times New Roman" w:eastAsia="宋体" w:cs="Times New Roman"/>
                      <w:color w:val="000000"/>
                      <w:sz w:val="21"/>
                      <w:szCs w:val="21"/>
                      <w:lang w:val="en-US" w:eastAsia="zh-CN"/>
                    </w:rPr>
                    <w:t>2</w:t>
                  </w:r>
                  <w:r>
                    <w:rPr>
                      <w:rFonts w:hint="eastAsia" w:ascii="Times New Roman" w:hAnsi="Times New Roman" w:eastAsia="宋体" w:cs="Times New Roman"/>
                      <w:color w:val="000000"/>
                      <w:sz w:val="21"/>
                      <w:szCs w:val="21"/>
                    </w:rPr>
                    <w:t>年</w:t>
                  </w:r>
                  <w:r>
                    <w:rPr>
                      <w:rFonts w:hint="eastAsia" w:ascii="Times New Roman" w:hAnsi="Times New Roman" w:eastAsia="宋体" w:cs="Times New Roman"/>
                      <w:color w:val="000000"/>
                      <w:sz w:val="21"/>
                      <w:szCs w:val="21"/>
                      <w:lang w:val="en-US" w:eastAsia="zh-CN"/>
                    </w:rPr>
                    <w:t>1</w:t>
                  </w:r>
                  <w:r>
                    <w:rPr>
                      <w:rFonts w:hint="eastAsia" w:ascii="Times New Roman" w:hAnsi="Times New Roman" w:eastAsia="宋体" w:cs="Times New Roman"/>
                      <w:color w:val="000000"/>
                      <w:sz w:val="21"/>
                      <w:szCs w:val="21"/>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检定有效期</w:t>
                  </w:r>
                </w:p>
              </w:tc>
              <w:tc>
                <w:tcPr>
                  <w:tcW w:w="4051" w:type="pct"/>
                  <w:tcBorders>
                    <w:tl2br w:val="nil"/>
                    <w:tr2bl w:val="nil"/>
                  </w:tcBorders>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2</w:t>
                  </w:r>
                  <w:r>
                    <w:rPr>
                      <w:rFonts w:hint="default" w:ascii="Times New Roman" w:hAnsi="Times New Roman" w:eastAsia="宋体" w:cs="Times New Roman"/>
                      <w:color w:val="000000"/>
                      <w:sz w:val="21"/>
                      <w:szCs w:val="21"/>
                    </w:rPr>
                    <w:t>02</w:t>
                  </w:r>
                  <w:r>
                    <w:rPr>
                      <w:rFonts w:hint="eastAsia" w:ascii="Times New Roman" w:hAnsi="Times New Roman" w:eastAsia="宋体" w:cs="Times New Roman"/>
                      <w:color w:val="000000"/>
                      <w:sz w:val="21"/>
                      <w:szCs w:val="21"/>
                      <w:lang w:val="en-US" w:eastAsia="zh-CN"/>
                    </w:rPr>
                    <w:t>3</w:t>
                  </w:r>
                  <w:r>
                    <w:rPr>
                      <w:rFonts w:hint="eastAsia" w:ascii="Times New Roman" w:hAnsi="Times New Roman" w:eastAsia="宋体" w:cs="Times New Roman"/>
                      <w:color w:val="000000"/>
                      <w:sz w:val="21"/>
                      <w:szCs w:val="21"/>
                    </w:rPr>
                    <w:t>年</w:t>
                  </w:r>
                  <w:r>
                    <w:rPr>
                      <w:rFonts w:hint="eastAsia" w:ascii="Times New Roman" w:hAnsi="Times New Roman" w:eastAsia="宋体" w:cs="Times New Roman"/>
                      <w:color w:val="000000"/>
                      <w:sz w:val="21"/>
                      <w:szCs w:val="21"/>
                      <w:lang w:val="en-US" w:eastAsia="zh-CN"/>
                    </w:rPr>
                    <w:t>1</w:t>
                  </w:r>
                  <w:r>
                    <w:rPr>
                      <w:rFonts w:hint="eastAsia" w:ascii="Times New Roman" w:hAnsi="Times New Roman" w:eastAsia="宋体" w:cs="Times New Roman"/>
                      <w:color w:val="000000"/>
                      <w:sz w:val="21"/>
                      <w:szCs w:val="21"/>
                    </w:rPr>
                    <w:t>月</w:t>
                  </w:r>
                </w:p>
              </w:tc>
            </w:tr>
          </w:tbl>
          <w:p>
            <w:pPr>
              <w:spacing w:line="240" w:lineRule="auto"/>
              <w:ind w:left="0" w:leftChars="0" w:firstLine="422" w:firstLineChars="200"/>
              <w:jc w:val="center"/>
              <w:rPr>
                <w:rFonts w:hint="default" w:ascii="Times New Roman" w:hAnsi="Times New Roman" w:eastAsia="宋体" w:cs="Times New Roman"/>
                <w:b/>
                <w:bCs/>
                <w:color w:val="000000"/>
                <w:highlight w:val="none"/>
                <w:lang w:val="en-US" w:eastAsia="zh-CN"/>
              </w:rPr>
            </w:pPr>
            <w:r>
              <w:rPr>
                <w:rFonts w:hint="eastAsia" w:ascii="Times New Roman" w:hAnsi="Times New Roman" w:eastAsia="宋体" w:cs="Times New Roman"/>
                <w:b/>
                <w:bCs/>
                <w:color w:val="000000"/>
                <w:highlight w:val="none"/>
                <w:lang w:val="zh-CN" w:eastAsia="zh-CN"/>
              </w:rPr>
              <w:t>表</w:t>
            </w:r>
            <w:r>
              <w:rPr>
                <w:rFonts w:hint="eastAsia" w:ascii="Times New Roman" w:hAnsi="Times New Roman" w:eastAsia="宋体" w:cs="Times New Roman"/>
                <w:b/>
                <w:bCs/>
                <w:color w:val="000000"/>
                <w:highlight w:val="none"/>
                <w:lang w:val="en-US" w:eastAsia="zh-CN"/>
              </w:rPr>
              <w:t>7-3双辽变电站监测天气情况</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3"/>
              <w:gridCol w:w="1613"/>
              <w:gridCol w:w="1614"/>
              <w:gridCol w:w="1614"/>
              <w:gridCol w:w="1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检测</w:t>
                  </w:r>
                  <w:r>
                    <w:rPr>
                      <w:rFonts w:hint="eastAsia" w:cs="Times New Roman"/>
                      <w:color w:val="000000"/>
                      <w:sz w:val="21"/>
                      <w:szCs w:val="21"/>
                      <w:lang w:val="en-US" w:eastAsia="zh-CN"/>
                    </w:rPr>
                    <w:t>地点</w:t>
                  </w:r>
                </w:p>
              </w:tc>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天气情况</w:t>
                  </w:r>
                </w:p>
              </w:tc>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检测温度（℃）</w:t>
                  </w:r>
                </w:p>
              </w:tc>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检测湿度（%）</w:t>
                  </w:r>
                </w:p>
              </w:tc>
              <w:tc>
                <w:tcPr>
                  <w:tcW w:w="1001"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风速（m</w:t>
                  </w:r>
                  <w:r>
                    <w:rPr>
                      <w:rFonts w:hint="default" w:ascii="Times New Roman" w:hAnsi="Times New Roman" w:eastAsia="宋体" w:cs="Times New Roman"/>
                      <w:color w:val="000000"/>
                      <w:sz w:val="21"/>
                      <w:szCs w:val="21"/>
                      <w:lang w:val="en-US" w:eastAsia="zh-CN"/>
                    </w:rPr>
                    <w:t>/s</w:t>
                  </w:r>
                  <w:r>
                    <w:rPr>
                      <w:rFonts w:hint="eastAsia" w:ascii="Times New Roman" w:hAnsi="Times New Roman" w:eastAsia="宋体"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999" w:type="pct"/>
                  <w:vMerge w:val="restar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吉林省四平市双辽市</w:t>
                  </w:r>
                </w:p>
              </w:tc>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多云</w:t>
                  </w:r>
                </w:p>
              </w:tc>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25</w:t>
                  </w:r>
                </w:p>
              </w:tc>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78</w:t>
                  </w:r>
                </w:p>
              </w:tc>
              <w:tc>
                <w:tcPr>
                  <w:tcW w:w="1001"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999" w:type="pct"/>
                  <w:vMerge w:val="continue"/>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000000"/>
                      <w:sz w:val="21"/>
                      <w:szCs w:val="21"/>
                      <w:lang w:val="en-US" w:eastAsia="zh-CN"/>
                    </w:rPr>
                  </w:pPr>
                </w:p>
              </w:tc>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多云</w:t>
                  </w:r>
                </w:p>
              </w:tc>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cs="Times New Roman"/>
                      <w:color w:val="000000"/>
                      <w:sz w:val="21"/>
                      <w:szCs w:val="21"/>
                      <w:lang w:val="en-US" w:eastAsia="zh-CN"/>
                    </w:rPr>
                  </w:pPr>
                  <w:r>
                    <w:rPr>
                      <w:rFonts w:hint="eastAsia" w:cs="Times New Roman"/>
                      <w:color w:val="000000"/>
                      <w:sz w:val="21"/>
                      <w:szCs w:val="21"/>
                      <w:lang w:val="en-US" w:eastAsia="zh-CN"/>
                    </w:rPr>
                    <w:t>16</w:t>
                  </w:r>
                </w:p>
              </w:tc>
              <w:tc>
                <w:tcPr>
                  <w:tcW w:w="999"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83</w:t>
                  </w:r>
                </w:p>
              </w:tc>
              <w:tc>
                <w:tcPr>
                  <w:tcW w:w="1001" w:type="pct"/>
                  <w:noWrap w:val="0"/>
                  <w:vAlign w:val="center"/>
                </w:tcPr>
                <w:p>
                  <w:pPr>
                    <w:pStyle w:val="5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1.1</w:t>
                  </w:r>
                </w:p>
              </w:tc>
            </w:tr>
          </w:tbl>
          <w:p>
            <w:pPr>
              <w:spacing w:line="240" w:lineRule="auto"/>
              <w:ind w:left="0" w:leftChars="0" w:firstLine="422" w:firstLineChars="200"/>
              <w:jc w:val="center"/>
              <w:rPr>
                <w:rFonts w:hint="default" w:ascii="Times New Roman" w:hAnsi="Times New Roman" w:eastAsia="宋体" w:cs="Times New Roman"/>
                <w:b/>
                <w:bCs/>
                <w:color w:val="000000"/>
                <w:highlight w:val="none"/>
                <w:lang w:val="en-US" w:eastAsia="zh-CN"/>
              </w:rPr>
            </w:pPr>
            <w:r>
              <w:rPr>
                <w:rFonts w:hint="eastAsia" w:ascii="Times New Roman" w:hAnsi="Times New Roman" w:eastAsia="宋体" w:cs="Times New Roman"/>
                <w:b/>
                <w:bCs/>
                <w:color w:val="000000"/>
                <w:highlight w:val="none"/>
                <w:lang w:val="en-US" w:eastAsia="zh-CN"/>
              </w:rPr>
              <w:t>表7-4</w:t>
            </w:r>
            <w:r>
              <w:rPr>
                <w:rFonts w:hint="default" w:ascii="Times New Roman" w:hAnsi="Times New Roman" w:eastAsia="宋体" w:cs="Times New Roman"/>
                <w:b/>
                <w:bCs/>
                <w:color w:val="000000"/>
                <w:highlight w:val="none"/>
                <w:lang w:val="en-US" w:eastAsia="zh-CN"/>
              </w:rPr>
              <w:t xml:space="preserve"> 双辽变电站</w:t>
            </w:r>
            <w:r>
              <w:rPr>
                <w:rFonts w:hint="eastAsia" w:ascii="Times New Roman" w:hAnsi="Times New Roman" w:eastAsia="宋体" w:cs="Times New Roman"/>
                <w:b/>
                <w:bCs/>
                <w:color w:val="000000"/>
                <w:highlight w:val="none"/>
                <w:lang w:val="en-US" w:eastAsia="zh-CN"/>
              </w:rPr>
              <w:t>运行工况</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6"/>
              <w:gridCol w:w="1837"/>
              <w:gridCol w:w="1753"/>
              <w:gridCol w:w="1654"/>
              <w:gridCol w:w="1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864" w:type="pct"/>
                  <w:tcBorders>
                    <w:tl2br w:val="nil"/>
                    <w:tr2bl w:val="nil"/>
                  </w:tcBorders>
                  <w:noWrap w:val="0"/>
                  <w:vAlign w:val="center"/>
                </w:tcPr>
                <w:p>
                  <w:pPr>
                    <w:keepNext w:val="0"/>
                    <w:keepLines w:val="0"/>
                    <w:widowControl w:val="0"/>
                    <w:suppressLineNumbers w:val="0"/>
                    <w:autoSpaceDE w:val="0"/>
                    <w:autoSpaceDN/>
                    <w:snapToGrid w:val="0"/>
                    <w:spacing w:before="0" w:beforeAutospacing="0" w:after="0" w:afterAutospacing="0"/>
                    <w:ind w:left="0" w:right="0" w:firstLine="0" w:firstLineChars="0"/>
                    <w:jc w:val="center"/>
                    <w:rPr>
                      <w:rFonts w:hint="default"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cs="宋体"/>
                      <w:b/>
                      <w:bCs/>
                      <w:color w:val="000000"/>
                      <w:kern w:val="2"/>
                      <w:sz w:val="21"/>
                      <w:szCs w:val="21"/>
                      <w:highlight w:val="none"/>
                      <w:lang w:val="en-US" w:eastAsia="zh-CN" w:bidi="ar"/>
                    </w:rPr>
                    <w:t>名称</w:t>
                  </w:r>
                </w:p>
              </w:tc>
              <w:tc>
                <w:tcPr>
                  <w:tcW w:w="1137"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eastAsia" w:ascii="Times New Roman" w:hAnsi="Times New Roman" w:eastAsia="宋体" w:cs="宋体"/>
                      <w:b/>
                      <w:bCs/>
                      <w:color w:val="000000"/>
                      <w:kern w:val="2"/>
                      <w:sz w:val="21"/>
                      <w:szCs w:val="21"/>
                      <w:highlight w:val="none"/>
                      <w:lang w:val="en-US" w:eastAsia="zh-CN" w:bidi="ar"/>
                    </w:rPr>
                  </w:pPr>
                  <w:r>
                    <w:rPr>
                      <w:rFonts w:hint="eastAsia" w:eastAsia="宋体" w:cs="Times New Roman"/>
                      <w:b/>
                      <w:bCs/>
                      <w:color w:val="000000"/>
                      <w:kern w:val="2"/>
                      <w:sz w:val="21"/>
                      <w:szCs w:val="21"/>
                      <w:highlight w:val="none"/>
                      <w:vertAlign w:val="baseline"/>
                      <w:lang w:val="en-US" w:eastAsia="zh-CN" w:bidi="ar-SA"/>
                    </w:rPr>
                    <w:t>电</w:t>
                  </w:r>
                  <w:r>
                    <w:rPr>
                      <w:rFonts w:hint="eastAsia" w:cs="Times New Roman"/>
                      <w:b/>
                      <w:bCs/>
                      <w:color w:val="000000"/>
                      <w:kern w:val="2"/>
                      <w:sz w:val="21"/>
                      <w:szCs w:val="21"/>
                      <w:highlight w:val="none"/>
                      <w:vertAlign w:val="baseline"/>
                      <w:lang w:val="en-US" w:eastAsia="zh-CN" w:bidi="ar-SA"/>
                    </w:rPr>
                    <w:t>压</w:t>
                  </w:r>
                  <w:r>
                    <w:rPr>
                      <w:rFonts w:hint="eastAsia" w:eastAsia="宋体" w:cs="Times New Roman"/>
                      <w:b/>
                      <w:bCs/>
                      <w:color w:val="000000"/>
                      <w:kern w:val="2"/>
                      <w:sz w:val="21"/>
                      <w:szCs w:val="21"/>
                      <w:highlight w:val="none"/>
                      <w:vertAlign w:val="baseline"/>
                      <w:lang w:val="en-US" w:eastAsia="zh-CN" w:bidi="ar-SA"/>
                    </w:rPr>
                    <w:t>（k</w:t>
                  </w:r>
                  <w:r>
                    <w:rPr>
                      <w:rFonts w:hint="eastAsia" w:cs="Times New Roman"/>
                      <w:b/>
                      <w:bCs/>
                      <w:color w:val="000000"/>
                      <w:kern w:val="2"/>
                      <w:sz w:val="21"/>
                      <w:szCs w:val="21"/>
                      <w:highlight w:val="none"/>
                      <w:vertAlign w:val="baseline"/>
                      <w:lang w:val="en-US" w:eastAsia="zh-CN" w:bidi="ar-SA"/>
                    </w:rPr>
                    <w:t>V</w:t>
                  </w:r>
                  <w:r>
                    <w:rPr>
                      <w:rFonts w:hint="eastAsia" w:eastAsia="宋体" w:cs="Times New Roman"/>
                      <w:b/>
                      <w:bCs/>
                      <w:color w:val="000000"/>
                      <w:kern w:val="2"/>
                      <w:sz w:val="21"/>
                      <w:szCs w:val="21"/>
                      <w:highlight w:val="none"/>
                      <w:vertAlign w:val="baseline"/>
                      <w:lang w:val="en-US" w:eastAsia="zh-CN" w:bidi="ar-SA"/>
                    </w:rPr>
                    <w:t>）</w:t>
                  </w:r>
                </w:p>
              </w:tc>
              <w:tc>
                <w:tcPr>
                  <w:tcW w:w="1085"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bCs/>
                      <w:color w:val="000000"/>
                      <w:kern w:val="2"/>
                      <w:sz w:val="21"/>
                      <w:szCs w:val="21"/>
                      <w:highlight w:val="none"/>
                      <w:lang w:val="en-US" w:eastAsia="zh-CN" w:bidi="ar-SA"/>
                    </w:rPr>
                  </w:pPr>
                  <w:r>
                    <w:rPr>
                      <w:rFonts w:hint="eastAsia" w:eastAsia="宋体" w:cs="Times New Roman"/>
                      <w:b/>
                      <w:bCs/>
                      <w:color w:val="000000"/>
                      <w:kern w:val="2"/>
                      <w:sz w:val="21"/>
                      <w:szCs w:val="21"/>
                      <w:highlight w:val="none"/>
                      <w:vertAlign w:val="baseline"/>
                      <w:lang w:val="en-US" w:eastAsia="zh-CN" w:bidi="ar-SA"/>
                    </w:rPr>
                    <w:t>有功功率（MW）</w:t>
                  </w:r>
                </w:p>
              </w:tc>
              <w:tc>
                <w:tcPr>
                  <w:tcW w:w="1024"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eastAsia" w:ascii="Times New Roman" w:hAnsi="Times New Roman" w:eastAsia="宋体" w:cs="Times New Roman"/>
                      <w:b/>
                      <w:bCs/>
                      <w:color w:val="000000"/>
                      <w:kern w:val="2"/>
                      <w:sz w:val="21"/>
                      <w:szCs w:val="21"/>
                      <w:highlight w:val="none"/>
                      <w:lang w:val="en-US" w:eastAsia="zh-CN" w:bidi="ar-SA"/>
                    </w:rPr>
                  </w:pPr>
                  <w:r>
                    <w:rPr>
                      <w:rFonts w:hint="eastAsia" w:eastAsia="宋体" w:cs="Times New Roman"/>
                      <w:b/>
                      <w:bCs/>
                      <w:color w:val="000000"/>
                      <w:kern w:val="2"/>
                      <w:sz w:val="21"/>
                      <w:szCs w:val="21"/>
                      <w:highlight w:val="none"/>
                      <w:vertAlign w:val="baseline"/>
                      <w:lang w:val="en-US" w:eastAsia="zh-CN" w:bidi="ar-SA"/>
                    </w:rPr>
                    <w:t>无功功率（Mvar）</w:t>
                  </w:r>
                </w:p>
              </w:tc>
              <w:tc>
                <w:tcPr>
                  <w:tcW w:w="886"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bCs/>
                      <w:color w:val="000000"/>
                      <w:kern w:val="2"/>
                      <w:sz w:val="21"/>
                      <w:szCs w:val="21"/>
                      <w:highlight w:val="none"/>
                      <w:lang w:val="en-US" w:eastAsia="zh-CN" w:bidi="ar-SA"/>
                    </w:rPr>
                  </w:pPr>
                  <w:r>
                    <w:rPr>
                      <w:rFonts w:hint="eastAsia" w:eastAsia="宋体" w:cs="Times New Roman"/>
                      <w:b/>
                      <w:bCs/>
                      <w:color w:val="000000"/>
                      <w:kern w:val="2"/>
                      <w:sz w:val="21"/>
                      <w:szCs w:val="21"/>
                      <w:highlight w:val="none"/>
                      <w:vertAlign w:val="baseline"/>
                      <w:lang w:val="en-US" w:eastAsia="zh-CN" w:bidi="ar-SA"/>
                    </w:rPr>
                    <w:t>电流（A）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64" w:type="pct"/>
                  <w:tcBorders>
                    <w:tl2br w:val="nil"/>
                    <w:tr2bl w:val="nil"/>
                  </w:tcBorders>
                  <w:noWrap w:val="0"/>
                  <w:vAlign w:val="center"/>
                </w:tcPr>
                <w:p>
                  <w:pPr>
                    <w:keepNext w:val="0"/>
                    <w:keepLines w:val="0"/>
                    <w:widowControl w:val="0"/>
                    <w:suppressLineNumbers w:val="0"/>
                    <w:autoSpaceDE w:val="0"/>
                    <w:autoSpaceDN/>
                    <w:snapToGrid w:val="0"/>
                    <w:spacing w:before="0" w:beforeAutospacing="0" w:after="0" w:afterAutospacing="0"/>
                    <w:ind w:left="0" w:right="0" w:firstLine="0" w:firstLineChars="0"/>
                    <w:jc w:val="center"/>
                    <w:rPr>
                      <w:rFonts w:hint="default" w:ascii="Times New Roman" w:hAnsi="Times New Roman" w:eastAsia="宋体" w:cs="Times New Roman"/>
                      <w:b w:val="0"/>
                      <w:bCs w:val="0"/>
                      <w:color w:val="000000"/>
                      <w:kern w:val="2"/>
                      <w:sz w:val="21"/>
                      <w:szCs w:val="21"/>
                      <w:highlight w:val="none"/>
                      <w:lang w:val="en-US" w:eastAsia="zh-CN" w:bidi="ar-SA"/>
                    </w:rPr>
                  </w:pPr>
                  <w:r>
                    <w:rPr>
                      <w:rFonts w:hint="default" w:ascii="Times New Roman" w:hAnsi="Times New Roman" w:eastAsia="宋体" w:cs="Times New Roman"/>
                      <w:b w:val="0"/>
                      <w:bCs w:val="0"/>
                      <w:color w:val="000000"/>
                      <w:kern w:val="2"/>
                      <w:sz w:val="21"/>
                      <w:szCs w:val="21"/>
                      <w:highlight w:val="none"/>
                      <w:lang w:val="en-US" w:eastAsia="zh-CN" w:bidi="ar-SA"/>
                    </w:rPr>
                    <w:t>双辽变电站</w:t>
                  </w:r>
                </w:p>
              </w:tc>
              <w:tc>
                <w:tcPr>
                  <w:tcW w:w="1137"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olor w:val="000000"/>
                      <w:kern w:val="2"/>
                      <w:sz w:val="21"/>
                      <w:szCs w:val="21"/>
                      <w:highlight w:val="none"/>
                      <w:lang w:val="en-US" w:eastAsia="zh-CN" w:bidi="ar-SA"/>
                    </w:rPr>
                  </w:pPr>
                  <w:r>
                    <w:rPr>
                      <w:rFonts w:hint="eastAsia" w:ascii="Times New Roman" w:hAnsi="Times New Roman" w:eastAsia="宋体"/>
                      <w:color w:val="000000"/>
                      <w:kern w:val="2"/>
                      <w:sz w:val="21"/>
                      <w:szCs w:val="21"/>
                      <w:highlight w:val="none"/>
                      <w:lang w:val="en-US" w:eastAsia="zh-CN" w:bidi="ar-SA"/>
                    </w:rPr>
                    <w:t>23</w:t>
                  </w:r>
                  <w:r>
                    <w:rPr>
                      <w:rFonts w:hint="eastAsia"/>
                      <w:color w:val="000000"/>
                      <w:kern w:val="2"/>
                      <w:sz w:val="21"/>
                      <w:szCs w:val="21"/>
                      <w:highlight w:val="none"/>
                      <w:lang w:val="en-US" w:eastAsia="zh-CN" w:bidi="ar-SA"/>
                    </w:rPr>
                    <w:t>2.061</w:t>
                  </w:r>
                  <w:r>
                    <w:rPr>
                      <w:rFonts w:hint="eastAsia" w:ascii="Times New Roman" w:hAnsi="Times New Roman" w:eastAsia="宋体"/>
                      <w:color w:val="000000"/>
                      <w:kern w:val="2"/>
                      <w:sz w:val="21"/>
                      <w:szCs w:val="21"/>
                      <w:highlight w:val="none"/>
                      <w:lang w:val="en-US" w:eastAsia="zh-CN" w:bidi="ar-SA"/>
                    </w:rPr>
                    <w:t>~23</w:t>
                  </w:r>
                  <w:r>
                    <w:rPr>
                      <w:rFonts w:hint="eastAsia"/>
                      <w:color w:val="000000"/>
                      <w:kern w:val="2"/>
                      <w:sz w:val="21"/>
                      <w:szCs w:val="21"/>
                      <w:highlight w:val="none"/>
                      <w:lang w:val="en-US" w:eastAsia="zh-CN" w:bidi="ar-SA"/>
                    </w:rPr>
                    <w:t>4.386</w:t>
                  </w:r>
                </w:p>
              </w:tc>
              <w:tc>
                <w:tcPr>
                  <w:tcW w:w="1085"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-13.76</w:t>
                  </w:r>
                  <w:r>
                    <w:rPr>
                      <w:rFonts w:hint="eastAsia" w:ascii="Times New Roman" w:hAnsi="Times New Roman" w:eastAsia="宋体"/>
                      <w:color w:val="000000"/>
                      <w:kern w:val="2"/>
                      <w:sz w:val="21"/>
                      <w:szCs w:val="21"/>
                      <w:highlight w:val="none"/>
                      <w:lang w:val="en-US" w:eastAsia="zh-CN" w:bidi="ar-SA"/>
                    </w:rPr>
                    <w:t>~-11</w:t>
                  </w:r>
                  <w:r>
                    <w:rPr>
                      <w:rFonts w:hint="eastAsia"/>
                      <w:color w:val="000000"/>
                      <w:kern w:val="2"/>
                      <w:sz w:val="21"/>
                      <w:szCs w:val="21"/>
                      <w:highlight w:val="none"/>
                      <w:lang w:val="en-US" w:eastAsia="zh-CN" w:bidi="ar-SA"/>
                    </w:rPr>
                    <w:t>.141</w:t>
                  </w:r>
                </w:p>
              </w:tc>
              <w:tc>
                <w:tcPr>
                  <w:tcW w:w="1024"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kern w:val="2"/>
                      <w:sz w:val="21"/>
                      <w:szCs w:val="21"/>
                      <w:highlight w:val="none"/>
                      <w:lang w:val="en-US" w:eastAsia="zh-CN"/>
                    </w:rPr>
                  </w:pPr>
                  <w:r>
                    <w:rPr>
                      <w:rFonts w:hint="eastAsia" w:cs="Times New Roman"/>
                      <w:color w:val="000000"/>
                      <w:kern w:val="2"/>
                      <w:sz w:val="21"/>
                      <w:szCs w:val="21"/>
                      <w:highlight w:val="none"/>
                      <w:lang w:val="en-US" w:eastAsia="zh-CN"/>
                    </w:rPr>
                    <w:t>0.181</w:t>
                  </w:r>
                  <w:r>
                    <w:rPr>
                      <w:rFonts w:hint="default" w:ascii="Times New Roman" w:hAnsi="Times New Roman" w:eastAsia="宋体" w:cs="Times New Roman"/>
                      <w:color w:val="000000"/>
                      <w:kern w:val="2"/>
                      <w:sz w:val="21"/>
                      <w:szCs w:val="21"/>
                      <w:highlight w:val="none"/>
                    </w:rPr>
                    <w:t>~-</w:t>
                  </w:r>
                  <w:r>
                    <w:rPr>
                      <w:rFonts w:hint="eastAsia" w:cs="Times New Roman"/>
                      <w:color w:val="000000"/>
                      <w:kern w:val="2"/>
                      <w:sz w:val="21"/>
                      <w:szCs w:val="21"/>
                      <w:highlight w:val="none"/>
                      <w:lang w:val="en-US" w:eastAsia="zh-CN"/>
                    </w:rPr>
                    <w:t>7.448</w:t>
                  </w:r>
                </w:p>
              </w:tc>
              <w:tc>
                <w:tcPr>
                  <w:tcW w:w="886"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kern w:val="2"/>
                      <w:sz w:val="21"/>
                      <w:szCs w:val="21"/>
                      <w:highlight w:val="none"/>
                      <w:lang w:val="en-US"/>
                    </w:rPr>
                  </w:pPr>
                  <w:r>
                    <w:rPr>
                      <w:rFonts w:hint="eastAsia" w:eastAsia="等线"/>
                      <w:color w:val="000000"/>
                      <w:sz w:val="21"/>
                      <w:szCs w:val="21"/>
                      <w:highlight w:val="none"/>
                    </w:rPr>
                    <w:t>1.</w:t>
                  </w:r>
                  <w:r>
                    <w:rPr>
                      <w:rFonts w:hint="eastAsia" w:eastAsia="等线"/>
                      <w:color w:val="000000"/>
                      <w:sz w:val="21"/>
                      <w:szCs w:val="21"/>
                      <w:highlight w:val="none"/>
                      <w:lang w:val="en-US" w:eastAsia="zh-CN"/>
                    </w:rPr>
                    <w:t>484~35.726</w:t>
                  </w:r>
                </w:p>
              </w:tc>
            </w:tr>
          </w:tbl>
          <w:p>
            <w:pPr>
              <w:spacing w:line="240" w:lineRule="auto"/>
              <w:ind w:left="0" w:leftChars="0" w:firstLine="422" w:firstLineChars="200"/>
              <w:jc w:val="center"/>
              <w:rPr>
                <w:rFonts w:hint="eastAsia" w:ascii="Times New Roman" w:hAnsi="Times New Roman" w:eastAsia="宋体" w:cs="Times New Roman"/>
                <w:b/>
                <w:bCs/>
                <w:color w:val="000000"/>
                <w:highlight w:val="none"/>
                <w:lang w:val="en-US" w:eastAsia="zh-CN"/>
              </w:rPr>
            </w:pPr>
            <w:r>
              <w:rPr>
                <w:rFonts w:hint="eastAsia" w:ascii="Times New Roman" w:hAnsi="Times New Roman" w:eastAsia="宋体" w:cs="Times New Roman"/>
                <w:b/>
                <w:bCs/>
                <w:color w:val="000000"/>
                <w:highlight w:val="none"/>
                <w:lang w:val="en-US" w:eastAsia="zh-CN"/>
              </w:rPr>
              <w:t>表7-5双辽220kV变电站电磁环境监测数据</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1"/>
              <w:gridCol w:w="1130"/>
              <w:gridCol w:w="1999"/>
              <w:gridCol w:w="2093"/>
              <w:gridCol w:w="2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r>
                    <w:rPr>
                      <w:rFonts w:hint="eastAsia"/>
                      <w:color w:val="000000"/>
                      <w:sz w:val="21"/>
                      <w:szCs w:val="21"/>
                      <w:highlight w:val="none"/>
                    </w:rPr>
                    <w:t>序号</w:t>
                  </w:r>
                </w:p>
              </w:tc>
              <w:tc>
                <w:tcPr>
                  <w:tcW w:w="1938" w:type="pct"/>
                  <w:gridSpan w:val="2"/>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r>
                    <w:rPr>
                      <w:rFonts w:hint="eastAsia"/>
                      <w:color w:val="000000"/>
                      <w:sz w:val="21"/>
                      <w:szCs w:val="21"/>
                      <w:highlight w:val="none"/>
                    </w:rPr>
                    <w:t>检测点位置</w:t>
                  </w:r>
                </w:p>
              </w:tc>
              <w:tc>
                <w:tcPr>
                  <w:tcW w:w="12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r>
                    <w:rPr>
                      <w:rFonts w:hint="eastAsia"/>
                      <w:color w:val="000000"/>
                      <w:sz w:val="21"/>
                      <w:szCs w:val="21"/>
                      <w:highlight w:val="none"/>
                    </w:rPr>
                    <w:t>电场强度（V/m）</w:t>
                  </w:r>
                </w:p>
              </w:tc>
              <w:tc>
                <w:tcPr>
                  <w:tcW w:w="1268"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r>
                    <w:rPr>
                      <w:rFonts w:hint="eastAsia"/>
                      <w:color w:val="000000"/>
                      <w:sz w:val="21"/>
                      <w:szCs w:val="21"/>
                      <w:highlight w:val="none"/>
                    </w:rPr>
                    <w:t>磁感应强</w:t>
                  </w:r>
                  <w:r>
                    <w:rPr>
                      <w:rFonts w:hint="default"/>
                      <w:color w:val="000000"/>
                      <w:sz w:val="21"/>
                      <w:szCs w:val="21"/>
                      <w:highlight w:val="none"/>
                    </w:rPr>
                    <w:t>度（μ</w:t>
                  </w:r>
                  <w:r>
                    <w:rPr>
                      <w:rFonts w:hint="eastAsia"/>
                      <w:color w:val="000000"/>
                      <w:sz w:val="21"/>
                      <w:szCs w:val="21"/>
                      <w:highlight w:val="none"/>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eastAsia="宋体"/>
                      <w:color w:val="000000"/>
                      <w:sz w:val="21"/>
                      <w:szCs w:val="21"/>
                      <w:highlight w:val="none"/>
                      <w:lang w:val="en-US" w:eastAsia="zh-CN"/>
                    </w:rPr>
                  </w:pPr>
                  <w:r>
                    <w:rPr>
                      <w:rFonts w:hint="eastAsia"/>
                      <w:color w:val="000000"/>
                      <w:sz w:val="21"/>
                      <w:szCs w:val="21"/>
                      <w:highlight w:val="none"/>
                      <w:lang w:val="en-US" w:eastAsia="zh-CN"/>
                    </w:rPr>
                    <w:t>1</w:t>
                  </w:r>
                </w:p>
              </w:tc>
              <w:tc>
                <w:tcPr>
                  <w:tcW w:w="700" w:type="pct"/>
                  <w:vMerge w:val="restar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r>
                    <w:rPr>
                      <w:rFonts w:hint="eastAsia"/>
                      <w:color w:val="000000"/>
                      <w:sz w:val="21"/>
                      <w:szCs w:val="21"/>
                      <w:highlight w:val="none"/>
                      <w:lang w:eastAsia="zh-CN"/>
                    </w:rPr>
                    <w:t>双辽</w:t>
                  </w:r>
                  <w:r>
                    <w:rPr>
                      <w:rFonts w:hint="eastAsia"/>
                      <w:color w:val="000000"/>
                      <w:sz w:val="21"/>
                      <w:szCs w:val="21"/>
                      <w:highlight w:val="none"/>
                    </w:rPr>
                    <w:t>220kV变电站</w:t>
                  </w:r>
                </w:p>
              </w:tc>
              <w:tc>
                <w:tcPr>
                  <w:tcW w:w="1238"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eastAsia="宋体"/>
                      <w:color w:val="000000"/>
                      <w:sz w:val="21"/>
                      <w:szCs w:val="21"/>
                      <w:highlight w:val="none"/>
                      <w:lang w:val="en-US" w:eastAsia="zh-CN"/>
                    </w:rPr>
                  </w:pPr>
                  <w:r>
                    <w:rPr>
                      <w:rFonts w:hint="eastAsia"/>
                      <w:color w:val="000000"/>
                      <w:sz w:val="21"/>
                      <w:szCs w:val="21"/>
                      <w:highlight w:val="none"/>
                      <w:lang w:val="en-US" w:eastAsia="zh-CN"/>
                    </w:rPr>
                    <w:t>南侧围墙外5m</w:t>
                  </w:r>
                </w:p>
              </w:tc>
              <w:tc>
                <w:tcPr>
                  <w:tcW w:w="12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eastAsia="宋体"/>
                      <w:color w:val="000000"/>
                      <w:sz w:val="21"/>
                      <w:szCs w:val="21"/>
                      <w:highlight w:val="none"/>
                      <w:lang w:val="en-US" w:eastAsia="zh-CN"/>
                    </w:rPr>
                  </w:pPr>
                  <w:r>
                    <w:rPr>
                      <w:rFonts w:hint="eastAsia"/>
                      <w:color w:val="000000"/>
                      <w:sz w:val="21"/>
                      <w:szCs w:val="21"/>
                      <w:highlight w:val="none"/>
                      <w:lang w:val="en-US" w:eastAsia="zh-CN"/>
                    </w:rPr>
                    <w:t>11.74</w:t>
                  </w:r>
                </w:p>
              </w:tc>
              <w:tc>
                <w:tcPr>
                  <w:tcW w:w="1268"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eastAsia="宋体"/>
                      <w:color w:val="000000"/>
                      <w:sz w:val="21"/>
                      <w:szCs w:val="21"/>
                      <w:highlight w:val="none"/>
                      <w:lang w:val="en-US" w:eastAsia="zh-CN"/>
                    </w:rPr>
                  </w:pPr>
                  <w:r>
                    <w:rPr>
                      <w:rFonts w:hint="eastAsia"/>
                      <w:color w:val="000000"/>
                      <w:sz w:val="21"/>
                      <w:szCs w:val="21"/>
                      <w:highlight w:val="none"/>
                      <w:lang w:val="en-US" w:eastAsia="zh-CN"/>
                    </w:rPr>
                    <w:t>0.1345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eastAsia="宋体"/>
                      <w:color w:val="000000"/>
                      <w:sz w:val="21"/>
                      <w:szCs w:val="21"/>
                      <w:highlight w:val="none"/>
                      <w:lang w:val="en-US" w:eastAsia="zh-CN"/>
                    </w:rPr>
                  </w:pPr>
                  <w:r>
                    <w:rPr>
                      <w:rFonts w:hint="eastAsia"/>
                      <w:color w:val="000000"/>
                      <w:sz w:val="21"/>
                      <w:szCs w:val="21"/>
                      <w:highlight w:val="none"/>
                      <w:lang w:val="en-US" w:eastAsia="zh-CN"/>
                    </w:rPr>
                    <w:t>2</w:t>
                  </w:r>
                </w:p>
              </w:tc>
              <w:tc>
                <w:tcPr>
                  <w:tcW w:w="700" w:type="pct"/>
                  <w:vMerge w:val="continue"/>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p>
              </w:tc>
              <w:tc>
                <w:tcPr>
                  <w:tcW w:w="1238"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r>
                    <w:rPr>
                      <w:rFonts w:hint="eastAsia"/>
                      <w:color w:val="000000"/>
                      <w:sz w:val="21"/>
                      <w:szCs w:val="21"/>
                      <w:highlight w:val="none"/>
                    </w:rPr>
                    <w:t>西侧</w:t>
                  </w:r>
                  <w:r>
                    <w:rPr>
                      <w:rFonts w:hint="eastAsia"/>
                      <w:color w:val="000000"/>
                      <w:sz w:val="21"/>
                      <w:szCs w:val="21"/>
                      <w:highlight w:val="none"/>
                      <w:lang w:eastAsia="zh-CN"/>
                    </w:rPr>
                    <w:t>围墙外</w:t>
                  </w:r>
                  <w:r>
                    <w:rPr>
                      <w:rFonts w:hint="eastAsia"/>
                      <w:color w:val="000000"/>
                      <w:sz w:val="21"/>
                      <w:szCs w:val="21"/>
                      <w:highlight w:val="none"/>
                      <w:lang w:val="en-US" w:eastAsia="zh-CN"/>
                    </w:rPr>
                    <w:t>5m</w:t>
                  </w:r>
                </w:p>
              </w:tc>
              <w:tc>
                <w:tcPr>
                  <w:tcW w:w="12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eastAsia="宋体"/>
                      <w:color w:val="000000"/>
                      <w:sz w:val="21"/>
                      <w:szCs w:val="21"/>
                      <w:highlight w:val="none"/>
                      <w:lang w:val="en-US" w:eastAsia="zh-CN"/>
                    </w:rPr>
                  </w:pPr>
                  <w:r>
                    <w:rPr>
                      <w:rFonts w:hint="eastAsia"/>
                      <w:color w:val="000000"/>
                      <w:sz w:val="21"/>
                      <w:szCs w:val="21"/>
                      <w:highlight w:val="none"/>
                      <w:lang w:val="en-US" w:eastAsia="zh-CN"/>
                    </w:rPr>
                    <w:t>1023</w:t>
                  </w:r>
                </w:p>
              </w:tc>
              <w:tc>
                <w:tcPr>
                  <w:tcW w:w="1268"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eastAsia="宋体"/>
                      <w:color w:val="000000"/>
                      <w:sz w:val="21"/>
                      <w:szCs w:val="21"/>
                      <w:highlight w:val="none"/>
                      <w:lang w:val="en-US" w:eastAsia="zh-CN"/>
                    </w:rPr>
                  </w:pPr>
                  <w:r>
                    <w:rPr>
                      <w:rFonts w:hint="eastAsia"/>
                      <w:color w:val="000000"/>
                      <w:sz w:val="21"/>
                      <w:szCs w:val="21"/>
                      <w:highlight w:val="none"/>
                      <w:lang w:val="en-US" w:eastAsia="zh-CN"/>
                    </w:rPr>
                    <w:t>3.005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eastAsia="宋体"/>
                      <w:color w:val="000000"/>
                      <w:sz w:val="21"/>
                      <w:szCs w:val="21"/>
                      <w:highlight w:val="none"/>
                      <w:lang w:val="en-US" w:eastAsia="zh-CN"/>
                    </w:rPr>
                  </w:pPr>
                  <w:r>
                    <w:rPr>
                      <w:rFonts w:hint="eastAsia"/>
                      <w:color w:val="000000"/>
                      <w:sz w:val="21"/>
                      <w:szCs w:val="21"/>
                      <w:highlight w:val="none"/>
                      <w:lang w:val="en-US" w:eastAsia="zh-CN"/>
                    </w:rPr>
                    <w:t>3</w:t>
                  </w:r>
                </w:p>
              </w:tc>
              <w:tc>
                <w:tcPr>
                  <w:tcW w:w="700" w:type="pct"/>
                  <w:vMerge w:val="continue"/>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p>
              </w:tc>
              <w:tc>
                <w:tcPr>
                  <w:tcW w:w="1238"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r>
                    <w:rPr>
                      <w:rFonts w:hint="eastAsia"/>
                      <w:color w:val="000000"/>
                      <w:sz w:val="21"/>
                      <w:szCs w:val="21"/>
                      <w:highlight w:val="none"/>
                      <w:lang w:val="en-US" w:eastAsia="zh-CN"/>
                    </w:rPr>
                    <w:t>北侧围墙外5m</w:t>
                  </w:r>
                </w:p>
              </w:tc>
              <w:tc>
                <w:tcPr>
                  <w:tcW w:w="12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eastAsia="宋体"/>
                      <w:color w:val="000000"/>
                      <w:sz w:val="21"/>
                      <w:szCs w:val="21"/>
                      <w:highlight w:val="none"/>
                      <w:lang w:val="en-US" w:eastAsia="zh-CN"/>
                    </w:rPr>
                  </w:pPr>
                  <w:r>
                    <w:rPr>
                      <w:rFonts w:hint="eastAsia"/>
                      <w:color w:val="000000"/>
                      <w:sz w:val="21"/>
                      <w:szCs w:val="21"/>
                      <w:highlight w:val="none"/>
                      <w:lang w:val="en-US" w:eastAsia="zh-CN"/>
                    </w:rPr>
                    <w:t>245.5</w:t>
                  </w:r>
                </w:p>
              </w:tc>
              <w:tc>
                <w:tcPr>
                  <w:tcW w:w="1268"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eastAsia="宋体"/>
                      <w:color w:val="000000"/>
                      <w:sz w:val="21"/>
                      <w:szCs w:val="21"/>
                      <w:highlight w:val="none"/>
                      <w:lang w:val="en-US" w:eastAsia="zh-CN"/>
                    </w:rPr>
                  </w:pPr>
                  <w:r>
                    <w:rPr>
                      <w:rFonts w:hint="eastAsia"/>
                      <w:color w:val="000000"/>
                      <w:sz w:val="21"/>
                      <w:szCs w:val="21"/>
                      <w:highlight w:val="none"/>
                      <w:lang w:val="en-US" w:eastAsia="zh-CN"/>
                    </w:rPr>
                    <w:t>1.565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eastAsia="宋体"/>
                      <w:color w:val="000000"/>
                      <w:sz w:val="21"/>
                      <w:szCs w:val="21"/>
                      <w:highlight w:val="none"/>
                      <w:lang w:val="en-US" w:eastAsia="zh-CN"/>
                    </w:rPr>
                  </w:pPr>
                  <w:r>
                    <w:rPr>
                      <w:rFonts w:hint="eastAsia"/>
                      <w:color w:val="000000"/>
                      <w:sz w:val="21"/>
                      <w:szCs w:val="21"/>
                      <w:highlight w:val="none"/>
                      <w:lang w:val="en-US" w:eastAsia="zh-CN"/>
                    </w:rPr>
                    <w:t>4</w:t>
                  </w:r>
                </w:p>
              </w:tc>
              <w:tc>
                <w:tcPr>
                  <w:tcW w:w="700" w:type="pct"/>
                  <w:vMerge w:val="continue"/>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p>
              </w:tc>
              <w:tc>
                <w:tcPr>
                  <w:tcW w:w="1238"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r>
                    <w:rPr>
                      <w:rFonts w:hint="eastAsia"/>
                      <w:color w:val="000000"/>
                      <w:sz w:val="21"/>
                      <w:szCs w:val="21"/>
                      <w:highlight w:val="none"/>
                      <w:lang w:val="en-US" w:eastAsia="zh-CN"/>
                    </w:rPr>
                    <w:t>东侧围墙外5m</w:t>
                  </w:r>
                </w:p>
              </w:tc>
              <w:tc>
                <w:tcPr>
                  <w:tcW w:w="1296"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eastAsia="宋体"/>
                      <w:color w:val="000000"/>
                      <w:sz w:val="21"/>
                      <w:szCs w:val="21"/>
                      <w:highlight w:val="none"/>
                      <w:lang w:val="en-US" w:eastAsia="zh-CN"/>
                    </w:rPr>
                  </w:pPr>
                  <w:r>
                    <w:rPr>
                      <w:rFonts w:hint="eastAsia"/>
                      <w:color w:val="000000"/>
                      <w:sz w:val="21"/>
                      <w:szCs w:val="21"/>
                      <w:highlight w:val="none"/>
                      <w:lang w:val="en-US" w:eastAsia="zh-CN"/>
                    </w:rPr>
                    <w:t>371.8</w:t>
                  </w:r>
                </w:p>
              </w:tc>
              <w:tc>
                <w:tcPr>
                  <w:tcW w:w="1268" w:type="pct"/>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eastAsia="宋体"/>
                      <w:color w:val="000000"/>
                      <w:sz w:val="21"/>
                      <w:szCs w:val="21"/>
                      <w:highlight w:val="none"/>
                      <w:lang w:val="en-US" w:eastAsia="zh-CN"/>
                    </w:rPr>
                  </w:pPr>
                  <w:r>
                    <w:rPr>
                      <w:rFonts w:hint="eastAsia"/>
                      <w:color w:val="000000"/>
                      <w:sz w:val="21"/>
                      <w:szCs w:val="21"/>
                      <w:highlight w:val="none"/>
                      <w:lang w:val="en-US" w:eastAsia="zh-CN"/>
                    </w:rPr>
                    <w:t>1.999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eastAsia"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5</w:t>
                  </w:r>
                </w:p>
              </w:tc>
              <w:tc>
                <w:tcPr>
                  <w:tcW w:w="700" w:type="pct"/>
                  <w:vMerge w:val="restar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eastAsia" w:eastAsia="宋体"/>
                      <w:color w:val="000000"/>
                      <w:kern w:val="2"/>
                      <w:sz w:val="21"/>
                      <w:szCs w:val="21"/>
                      <w:highlight w:val="none"/>
                      <w:lang w:val="en-US" w:eastAsia="zh-CN" w:bidi="ar-SA"/>
                    </w:rPr>
                  </w:pPr>
                  <w:r>
                    <w:rPr>
                      <w:rFonts w:hint="eastAsia"/>
                      <w:color w:val="000000"/>
                      <w:sz w:val="21"/>
                      <w:szCs w:val="21"/>
                      <w:highlight w:val="none"/>
                      <w:lang w:val="en-US" w:eastAsia="zh-CN"/>
                    </w:rPr>
                    <w:t>衰减断面</w:t>
                  </w:r>
                </w:p>
              </w:tc>
              <w:tc>
                <w:tcPr>
                  <w:tcW w:w="123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color w:val="000000"/>
                      <w:sz w:val="21"/>
                      <w:szCs w:val="21"/>
                      <w:highlight w:val="none"/>
                      <w:lang w:val="en-US" w:eastAsia="zh-CN"/>
                    </w:rPr>
                  </w:pPr>
                  <w:r>
                    <w:rPr>
                      <w:rFonts w:hint="eastAsia"/>
                      <w:color w:val="000000"/>
                      <w:sz w:val="21"/>
                      <w:szCs w:val="21"/>
                      <w:highlight w:val="none"/>
                      <w:lang w:eastAsia="zh-CN"/>
                    </w:rPr>
                    <w:t>北侧</w:t>
                  </w:r>
                  <w:r>
                    <w:rPr>
                      <w:rFonts w:hint="eastAsia"/>
                      <w:color w:val="000000"/>
                      <w:sz w:val="21"/>
                      <w:szCs w:val="21"/>
                      <w:highlight w:val="none"/>
                      <w:lang w:val="en-US" w:eastAsia="zh-CN"/>
                    </w:rPr>
                    <w:t>5m</w:t>
                  </w:r>
                </w:p>
              </w:tc>
              <w:tc>
                <w:tcPr>
                  <w:tcW w:w="12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eastAsia"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263.8</w:t>
                  </w:r>
                </w:p>
              </w:tc>
              <w:tc>
                <w:tcPr>
                  <w:tcW w:w="126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1.226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6</w:t>
                  </w:r>
                </w:p>
              </w:tc>
              <w:tc>
                <w:tcPr>
                  <w:tcW w:w="700" w:type="pct"/>
                  <w:vMerge w:val="continue"/>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eastAsia" w:eastAsia="宋体"/>
                      <w:color w:val="000000"/>
                      <w:kern w:val="2"/>
                      <w:sz w:val="21"/>
                      <w:szCs w:val="21"/>
                      <w:highlight w:val="none"/>
                      <w:lang w:val="en-US" w:eastAsia="zh-CN" w:bidi="ar-SA"/>
                    </w:rPr>
                  </w:pPr>
                </w:p>
              </w:tc>
              <w:tc>
                <w:tcPr>
                  <w:tcW w:w="123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eastAsia"/>
                      <w:color w:val="000000"/>
                      <w:kern w:val="2"/>
                      <w:sz w:val="21"/>
                      <w:szCs w:val="21"/>
                      <w:highlight w:val="none"/>
                      <w:lang w:val="en-US" w:eastAsia="zh-CN" w:bidi="ar-SA"/>
                    </w:rPr>
                  </w:pPr>
                  <w:r>
                    <w:rPr>
                      <w:rFonts w:hint="eastAsia"/>
                      <w:color w:val="000000"/>
                      <w:sz w:val="21"/>
                      <w:szCs w:val="21"/>
                      <w:highlight w:val="none"/>
                      <w:lang w:eastAsia="zh-CN"/>
                    </w:rPr>
                    <w:t>北</w:t>
                  </w:r>
                  <w:r>
                    <w:rPr>
                      <w:rFonts w:hint="eastAsia"/>
                      <w:color w:val="000000"/>
                      <w:sz w:val="21"/>
                      <w:szCs w:val="21"/>
                      <w:highlight w:val="none"/>
                    </w:rPr>
                    <w:t>侧</w:t>
                  </w:r>
                  <w:r>
                    <w:rPr>
                      <w:rFonts w:hint="eastAsia"/>
                      <w:color w:val="000000"/>
                      <w:sz w:val="21"/>
                      <w:szCs w:val="21"/>
                      <w:highlight w:val="none"/>
                      <w:lang w:val="en-US" w:eastAsia="zh-CN"/>
                    </w:rPr>
                    <w:t>10m</w:t>
                  </w:r>
                </w:p>
              </w:tc>
              <w:tc>
                <w:tcPr>
                  <w:tcW w:w="12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243.7</w:t>
                  </w:r>
                </w:p>
              </w:tc>
              <w:tc>
                <w:tcPr>
                  <w:tcW w:w="126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1.128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7</w:t>
                  </w:r>
                </w:p>
              </w:tc>
              <w:tc>
                <w:tcPr>
                  <w:tcW w:w="700" w:type="pct"/>
                  <w:vMerge w:val="continue"/>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p>
              </w:tc>
              <w:tc>
                <w:tcPr>
                  <w:tcW w:w="123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eastAsia"/>
                      <w:color w:val="000000"/>
                      <w:kern w:val="2"/>
                      <w:sz w:val="21"/>
                      <w:szCs w:val="21"/>
                      <w:highlight w:val="none"/>
                      <w:lang w:val="en-US" w:eastAsia="zh-CN" w:bidi="ar-SA"/>
                    </w:rPr>
                  </w:pPr>
                  <w:r>
                    <w:rPr>
                      <w:rFonts w:hint="eastAsia"/>
                      <w:color w:val="000000"/>
                      <w:sz w:val="21"/>
                      <w:szCs w:val="21"/>
                      <w:highlight w:val="none"/>
                      <w:lang w:eastAsia="zh-CN"/>
                    </w:rPr>
                    <w:t>北</w:t>
                  </w:r>
                  <w:r>
                    <w:rPr>
                      <w:rFonts w:hint="eastAsia"/>
                      <w:color w:val="000000"/>
                      <w:sz w:val="21"/>
                      <w:szCs w:val="21"/>
                      <w:highlight w:val="none"/>
                    </w:rPr>
                    <w:t>侧</w:t>
                  </w:r>
                  <w:r>
                    <w:rPr>
                      <w:rFonts w:hint="eastAsia"/>
                      <w:color w:val="000000"/>
                      <w:sz w:val="21"/>
                      <w:szCs w:val="21"/>
                      <w:highlight w:val="none"/>
                      <w:lang w:val="en-US" w:eastAsia="zh-CN"/>
                    </w:rPr>
                    <w:t>15m</w:t>
                  </w:r>
                </w:p>
              </w:tc>
              <w:tc>
                <w:tcPr>
                  <w:tcW w:w="12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216.8</w:t>
                  </w:r>
                </w:p>
              </w:tc>
              <w:tc>
                <w:tcPr>
                  <w:tcW w:w="126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1.039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8</w:t>
                  </w:r>
                </w:p>
              </w:tc>
              <w:tc>
                <w:tcPr>
                  <w:tcW w:w="700" w:type="pct"/>
                  <w:vMerge w:val="continue"/>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p>
              </w:tc>
              <w:tc>
                <w:tcPr>
                  <w:tcW w:w="123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eastAsia"/>
                      <w:color w:val="000000"/>
                      <w:kern w:val="2"/>
                      <w:sz w:val="21"/>
                      <w:szCs w:val="21"/>
                      <w:highlight w:val="none"/>
                      <w:lang w:val="en-US" w:eastAsia="zh-CN" w:bidi="ar-SA"/>
                    </w:rPr>
                  </w:pPr>
                  <w:r>
                    <w:rPr>
                      <w:rFonts w:hint="eastAsia"/>
                      <w:color w:val="000000"/>
                      <w:sz w:val="21"/>
                      <w:szCs w:val="21"/>
                      <w:highlight w:val="none"/>
                      <w:lang w:eastAsia="zh-CN"/>
                    </w:rPr>
                    <w:t>北</w:t>
                  </w:r>
                  <w:r>
                    <w:rPr>
                      <w:rFonts w:hint="eastAsia"/>
                      <w:color w:val="000000"/>
                      <w:sz w:val="21"/>
                      <w:szCs w:val="21"/>
                      <w:highlight w:val="none"/>
                    </w:rPr>
                    <w:t>侧</w:t>
                  </w:r>
                  <w:r>
                    <w:rPr>
                      <w:rFonts w:hint="eastAsia"/>
                      <w:color w:val="000000"/>
                      <w:sz w:val="21"/>
                      <w:szCs w:val="21"/>
                      <w:highlight w:val="none"/>
                      <w:lang w:val="en-US" w:eastAsia="zh-CN"/>
                    </w:rPr>
                    <w:t>20m</w:t>
                  </w:r>
                </w:p>
              </w:tc>
              <w:tc>
                <w:tcPr>
                  <w:tcW w:w="12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196.9</w:t>
                  </w:r>
                </w:p>
              </w:tc>
              <w:tc>
                <w:tcPr>
                  <w:tcW w:w="126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0.8632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9</w:t>
                  </w:r>
                </w:p>
              </w:tc>
              <w:tc>
                <w:tcPr>
                  <w:tcW w:w="700" w:type="pct"/>
                  <w:vMerge w:val="continue"/>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p>
              </w:tc>
              <w:tc>
                <w:tcPr>
                  <w:tcW w:w="123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eastAsia"/>
                      <w:color w:val="000000"/>
                      <w:kern w:val="2"/>
                      <w:sz w:val="21"/>
                      <w:szCs w:val="21"/>
                      <w:highlight w:val="none"/>
                      <w:lang w:val="en-US" w:eastAsia="zh-CN" w:bidi="ar-SA"/>
                    </w:rPr>
                  </w:pPr>
                  <w:r>
                    <w:rPr>
                      <w:rFonts w:hint="eastAsia"/>
                      <w:color w:val="000000"/>
                      <w:sz w:val="21"/>
                      <w:szCs w:val="21"/>
                      <w:highlight w:val="none"/>
                      <w:lang w:eastAsia="zh-CN"/>
                    </w:rPr>
                    <w:t>北</w:t>
                  </w:r>
                  <w:r>
                    <w:rPr>
                      <w:rFonts w:hint="eastAsia"/>
                      <w:color w:val="000000"/>
                      <w:sz w:val="21"/>
                      <w:szCs w:val="21"/>
                      <w:highlight w:val="none"/>
                    </w:rPr>
                    <w:t>侧</w:t>
                  </w:r>
                  <w:r>
                    <w:rPr>
                      <w:rFonts w:hint="eastAsia"/>
                      <w:color w:val="000000"/>
                      <w:sz w:val="21"/>
                      <w:szCs w:val="21"/>
                      <w:highlight w:val="none"/>
                      <w:lang w:val="en-US" w:eastAsia="zh-CN"/>
                    </w:rPr>
                    <w:t>25m</w:t>
                  </w:r>
                </w:p>
              </w:tc>
              <w:tc>
                <w:tcPr>
                  <w:tcW w:w="12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156.4</w:t>
                  </w:r>
                </w:p>
              </w:tc>
              <w:tc>
                <w:tcPr>
                  <w:tcW w:w="126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0.7598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10</w:t>
                  </w:r>
                </w:p>
              </w:tc>
              <w:tc>
                <w:tcPr>
                  <w:tcW w:w="700" w:type="pct"/>
                  <w:vMerge w:val="continue"/>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p>
              </w:tc>
              <w:tc>
                <w:tcPr>
                  <w:tcW w:w="123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eastAsia"/>
                      <w:color w:val="000000"/>
                      <w:kern w:val="2"/>
                      <w:sz w:val="21"/>
                      <w:szCs w:val="21"/>
                      <w:highlight w:val="none"/>
                      <w:lang w:val="en-US" w:eastAsia="zh-CN" w:bidi="ar-SA"/>
                    </w:rPr>
                  </w:pPr>
                  <w:r>
                    <w:rPr>
                      <w:rFonts w:hint="eastAsia"/>
                      <w:color w:val="000000"/>
                      <w:sz w:val="21"/>
                      <w:szCs w:val="21"/>
                      <w:highlight w:val="none"/>
                      <w:lang w:eastAsia="zh-CN"/>
                    </w:rPr>
                    <w:t>北</w:t>
                  </w:r>
                  <w:r>
                    <w:rPr>
                      <w:rFonts w:hint="eastAsia"/>
                      <w:color w:val="000000"/>
                      <w:sz w:val="21"/>
                      <w:szCs w:val="21"/>
                      <w:highlight w:val="none"/>
                    </w:rPr>
                    <w:t>侧</w:t>
                  </w:r>
                  <w:r>
                    <w:rPr>
                      <w:rFonts w:hint="eastAsia"/>
                      <w:color w:val="000000"/>
                      <w:sz w:val="21"/>
                      <w:szCs w:val="21"/>
                      <w:highlight w:val="none"/>
                      <w:lang w:val="en-US" w:eastAsia="zh-CN"/>
                    </w:rPr>
                    <w:t>30m</w:t>
                  </w:r>
                </w:p>
              </w:tc>
              <w:tc>
                <w:tcPr>
                  <w:tcW w:w="12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136.1</w:t>
                  </w:r>
                </w:p>
              </w:tc>
              <w:tc>
                <w:tcPr>
                  <w:tcW w:w="126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0.5337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eastAsia"/>
                      <w:color w:val="000000"/>
                      <w:kern w:val="2"/>
                      <w:sz w:val="21"/>
                      <w:szCs w:val="21"/>
                      <w:highlight w:val="none"/>
                      <w:lang w:val="en-US" w:eastAsia="zh-CN" w:bidi="ar-SA"/>
                    </w:rPr>
                    <w:t>11</w:t>
                  </w:r>
                </w:p>
              </w:tc>
              <w:tc>
                <w:tcPr>
                  <w:tcW w:w="700" w:type="pct"/>
                  <w:vMerge w:val="continue"/>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p>
              </w:tc>
              <w:tc>
                <w:tcPr>
                  <w:tcW w:w="123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eastAsia"/>
                      <w:color w:val="000000"/>
                      <w:kern w:val="2"/>
                      <w:sz w:val="21"/>
                      <w:szCs w:val="21"/>
                      <w:highlight w:val="none"/>
                      <w:lang w:val="en-US" w:eastAsia="zh-CN" w:bidi="ar-SA"/>
                    </w:rPr>
                  </w:pPr>
                  <w:r>
                    <w:rPr>
                      <w:rFonts w:hint="eastAsia"/>
                      <w:color w:val="000000"/>
                      <w:sz w:val="21"/>
                      <w:szCs w:val="21"/>
                      <w:highlight w:val="none"/>
                      <w:lang w:eastAsia="zh-CN"/>
                    </w:rPr>
                    <w:t>北</w:t>
                  </w:r>
                  <w:r>
                    <w:rPr>
                      <w:rFonts w:hint="eastAsia"/>
                      <w:color w:val="000000"/>
                      <w:sz w:val="21"/>
                      <w:szCs w:val="21"/>
                      <w:highlight w:val="none"/>
                    </w:rPr>
                    <w:t>侧</w:t>
                  </w:r>
                  <w:r>
                    <w:rPr>
                      <w:rFonts w:hint="eastAsia"/>
                      <w:color w:val="000000"/>
                      <w:sz w:val="21"/>
                      <w:szCs w:val="21"/>
                      <w:highlight w:val="none"/>
                      <w:lang w:val="en-US" w:eastAsia="zh-CN"/>
                    </w:rPr>
                    <w:t>35m</w:t>
                  </w:r>
                </w:p>
              </w:tc>
              <w:tc>
                <w:tcPr>
                  <w:tcW w:w="12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125.5</w:t>
                  </w:r>
                </w:p>
              </w:tc>
              <w:tc>
                <w:tcPr>
                  <w:tcW w:w="126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0.4595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12</w:t>
                  </w:r>
                </w:p>
              </w:tc>
              <w:tc>
                <w:tcPr>
                  <w:tcW w:w="700" w:type="pct"/>
                  <w:vMerge w:val="continue"/>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color w:val="000000"/>
                      <w:sz w:val="21"/>
                      <w:szCs w:val="21"/>
                      <w:highlight w:val="none"/>
                    </w:rPr>
                  </w:pPr>
                </w:p>
              </w:tc>
              <w:tc>
                <w:tcPr>
                  <w:tcW w:w="123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eastAsia"/>
                      <w:color w:val="000000"/>
                      <w:kern w:val="2"/>
                      <w:sz w:val="21"/>
                      <w:szCs w:val="21"/>
                      <w:highlight w:val="none"/>
                      <w:lang w:val="en-US" w:eastAsia="zh-CN" w:bidi="ar-SA"/>
                    </w:rPr>
                  </w:pPr>
                  <w:r>
                    <w:rPr>
                      <w:rFonts w:hint="eastAsia"/>
                      <w:color w:val="000000"/>
                      <w:sz w:val="21"/>
                      <w:szCs w:val="21"/>
                      <w:highlight w:val="none"/>
                      <w:lang w:eastAsia="zh-CN"/>
                    </w:rPr>
                    <w:t>北</w:t>
                  </w:r>
                  <w:r>
                    <w:rPr>
                      <w:rFonts w:hint="eastAsia"/>
                      <w:color w:val="000000"/>
                      <w:sz w:val="21"/>
                      <w:szCs w:val="21"/>
                      <w:highlight w:val="none"/>
                    </w:rPr>
                    <w:t>侧</w:t>
                  </w:r>
                  <w:r>
                    <w:rPr>
                      <w:rFonts w:hint="eastAsia"/>
                      <w:color w:val="000000"/>
                      <w:sz w:val="21"/>
                      <w:szCs w:val="21"/>
                      <w:highlight w:val="none"/>
                      <w:lang w:val="en-US" w:eastAsia="zh-CN"/>
                    </w:rPr>
                    <w:t>40m</w:t>
                  </w:r>
                </w:p>
              </w:tc>
              <w:tc>
                <w:tcPr>
                  <w:tcW w:w="1296"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114.7</w:t>
                  </w:r>
                </w:p>
              </w:tc>
              <w:tc>
                <w:tcPr>
                  <w:tcW w:w="1268" w:type="pct"/>
                  <w:tcBorders>
                    <w:tl2br w:val="nil"/>
                    <w:tr2bl w:val="nil"/>
                  </w:tcBorders>
                  <w:noWrap w:val="0"/>
                  <w:vAlign w:val="center"/>
                </w:tcPr>
                <w:p>
                  <w:pPr>
                    <w:pStyle w:val="55"/>
                    <w:keepNext w:val="0"/>
                    <w:keepLines w:val="0"/>
                    <w:suppressLineNumbers w:val="0"/>
                    <w:shd w:val="clear" w:color="auto" w:fill="auto"/>
                    <w:spacing w:before="0" w:beforeAutospacing="0" w:after="0" w:afterAutospacing="0"/>
                    <w:ind w:left="0" w:right="0"/>
                    <w:rPr>
                      <w:rFonts w:hint="default" w:eastAsia="宋体"/>
                      <w:color w:val="000000"/>
                      <w:kern w:val="2"/>
                      <w:sz w:val="21"/>
                      <w:szCs w:val="21"/>
                      <w:highlight w:val="none"/>
                      <w:lang w:val="en-US" w:eastAsia="zh-CN" w:bidi="ar-SA"/>
                    </w:rPr>
                  </w:pPr>
                  <w:r>
                    <w:rPr>
                      <w:rFonts w:hint="eastAsia"/>
                      <w:color w:val="000000"/>
                      <w:kern w:val="2"/>
                      <w:sz w:val="21"/>
                      <w:szCs w:val="21"/>
                      <w:highlight w:val="none"/>
                      <w:lang w:val="en-US" w:eastAsia="zh-CN" w:bidi="ar-SA"/>
                    </w:rPr>
                    <w:t>0.3517</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yellow"/>
                <w:lang w:val="en-US" w:eastAsia="zh-CN"/>
              </w:rPr>
            </w:pPr>
            <w:r>
              <w:rPr>
                <w:rFonts w:hint="eastAsia" w:ascii="Times New Roman" w:hAnsi="Times New Roman" w:eastAsia="宋体" w:cs="Times New Roman"/>
                <w:color w:val="000000"/>
                <w:sz w:val="24"/>
                <w:szCs w:val="24"/>
                <w:highlight w:val="none"/>
                <w:lang w:val="en-US" w:eastAsia="zh-CN"/>
              </w:rPr>
              <w:t>由上表数据可知</w:t>
            </w:r>
            <w:r>
              <w:rPr>
                <w:rFonts w:hint="default" w:ascii="Times New Roman" w:hAnsi="Times New Roman" w:eastAsia="宋体"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双辽220kV变电站</w:t>
            </w:r>
            <w:r>
              <w:rPr>
                <w:rFonts w:hint="default" w:ascii="Times New Roman" w:hAnsi="Times New Roman" w:eastAsia="宋体" w:cs="Times New Roman"/>
                <w:color w:val="000000"/>
                <w:sz w:val="24"/>
                <w:szCs w:val="24"/>
                <w:highlight w:val="none"/>
                <w:lang w:val="en-US" w:eastAsia="zh-CN"/>
              </w:rPr>
              <w:t>工频电场强度范围在</w:t>
            </w:r>
            <w:r>
              <w:rPr>
                <w:rFonts w:hint="eastAsia" w:ascii="Times New Roman" w:hAnsi="Times New Roman" w:eastAsia="宋体" w:cs="Times New Roman"/>
                <w:color w:val="000000"/>
                <w:sz w:val="24"/>
                <w:szCs w:val="24"/>
                <w:highlight w:val="none"/>
                <w:lang w:val="en-US" w:eastAsia="zh-CN"/>
              </w:rPr>
              <w:t>11.74</w:t>
            </w:r>
            <w:r>
              <w:rPr>
                <w:rFonts w:hint="default" w:ascii="Times New Roman" w:hAnsi="Times New Roman" w:eastAsia="宋体"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1023</w:t>
            </w:r>
            <w:r>
              <w:rPr>
                <w:rFonts w:hint="default" w:ascii="Times New Roman" w:hAnsi="Times New Roman" w:eastAsia="宋体" w:cs="Times New Roman"/>
                <w:color w:val="000000"/>
                <w:sz w:val="24"/>
                <w:szCs w:val="24"/>
                <w:highlight w:val="none"/>
                <w:lang w:val="en-US" w:eastAsia="zh-CN"/>
              </w:rPr>
              <w:t>V/m之间，工频磁感应强度范围在</w:t>
            </w:r>
            <w:r>
              <w:rPr>
                <w:rFonts w:hint="eastAsia" w:ascii="Times New Roman" w:hAnsi="Times New Roman" w:eastAsia="宋体" w:cs="Times New Roman"/>
                <w:color w:val="000000"/>
                <w:sz w:val="24"/>
                <w:szCs w:val="24"/>
                <w:highlight w:val="none"/>
                <w:lang w:val="en-US" w:eastAsia="zh-CN"/>
              </w:rPr>
              <w:t>0.1345</w:t>
            </w:r>
            <w:r>
              <w:rPr>
                <w:rFonts w:hint="default" w:ascii="Times New Roman" w:hAnsi="Times New Roman" w:eastAsia="宋体"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3.005</w:t>
            </w:r>
            <w:r>
              <w:rPr>
                <w:rFonts w:hint="default" w:ascii="Times New Roman" w:hAnsi="Times New Roman" w:eastAsia="宋体" w:cs="Times New Roman"/>
                <w:color w:val="000000"/>
                <w:sz w:val="24"/>
                <w:szCs w:val="24"/>
                <w:highlight w:val="none"/>
                <w:lang w:val="en-US" w:eastAsia="zh-CN"/>
              </w:rPr>
              <w:t>μT之间</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监测结果满足《电磁环境控制限值》（GB</w:t>
            </w:r>
            <w:r>
              <w:rPr>
                <w:rFonts w:hint="eastAsia" w:ascii="Times New Roman" w:hAnsi="Times New Roman" w:eastAsia="宋体" w:cs="Times New Roman"/>
                <w:color w:val="000000"/>
                <w:sz w:val="24"/>
                <w:szCs w:val="24"/>
                <w:highlight w:val="none"/>
                <w:lang w:val="en-US" w:eastAsia="zh-CN"/>
              </w:rPr>
              <w:t xml:space="preserve"> </w:t>
            </w:r>
            <w:r>
              <w:rPr>
                <w:rFonts w:hint="default" w:ascii="Times New Roman" w:hAnsi="Times New Roman" w:eastAsia="宋体" w:cs="Times New Roman"/>
                <w:color w:val="000000"/>
                <w:sz w:val="24"/>
                <w:szCs w:val="24"/>
                <w:highlight w:val="none"/>
                <w:lang w:val="en-US" w:eastAsia="zh-CN"/>
              </w:rPr>
              <w:t>8702-2014）要求（电场强度4000V/m，磁感应强度100μT）。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根据类比监测数据可知，</w:t>
            </w:r>
            <w:r>
              <w:rPr>
                <w:rFonts w:hint="eastAsia" w:ascii="Times New Roman" w:hAnsi="Times New Roman" w:cs="Times New Roman"/>
                <w:color w:val="000000"/>
                <w:sz w:val="24"/>
                <w:szCs w:val="24"/>
                <w:highlight w:val="none"/>
                <w:lang w:val="en-US" w:eastAsia="zh-CN"/>
              </w:rPr>
              <w:t>太保</w:t>
            </w:r>
            <w:r>
              <w:rPr>
                <w:rFonts w:hint="default" w:ascii="Times New Roman" w:hAnsi="Times New Roman" w:eastAsia="宋体" w:cs="Times New Roman"/>
                <w:color w:val="000000"/>
                <w:sz w:val="24"/>
                <w:szCs w:val="24"/>
                <w:highlight w:val="none"/>
                <w:lang w:val="en-US" w:eastAsia="zh-CN"/>
              </w:rPr>
              <w:t>220</w:t>
            </w:r>
            <w:r>
              <w:rPr>
                <w:rFonts w:hint="eastAsia" w:ascii="Times New Roman" w:hAnsi="Times New Roman" w:eastAsia="宋体" w:cs="Times New Roman"/>
                <w:color w:val="000000"/>
                <w:sz w:val="24"/>
                <w:szCs w:val="24"/>
                <w:highlight w:val="none"/>
                <w:lang w:val="en-US" w:eastAsia="zh-CN"/>
              </w:rPr>
              <w:t>kV</w:t>
            </w:r>
            <w:r>
              <w:rPr>
                <w:rFonts w:hint="default" w:ascii="Times New Roman" w:hAnsi="Times New Roman" w:eastAsia="宋体" w:cs="Times New Roman"/>
                <w:color w:val="000000"/>
                <w:sz w:val="24"/>
                <w:szCs w:val="24"/>
                <w:highlight w:val="none"/>
                <w:lang w:val="en-US" w:eastAsia="zh-CN"/>
              </w:rPr>
              <w:t>变电站</w:t>
            </w:r>
            <w:r>
              <w:rPr>
                <w:rFonts w:hint="eastAsia" w:ascii="Times New Roman" w:hAnsi="Times New Roman" w:eastAsia="宋体" w:cs="Times New Roman"/>
                <w:color w:val="000000"/>
                <w:sz w:val="24"/>
                <w:szCs w:val="24"/>
                <w:highlight w:val="none"/>
                <w:lang w:val="en-US" w:eastAsia="zh-CN"/>
              </w:rPr>
              <w:t>扩建间隔</w:t>
            </w:r>
            <w:r>
              <w:rPr>
                <w:rFonts w:hint="default" w:ascii="Times New Roman" w:hAnsi="Times New Roman" w:eastAsia="宋体" w:cs="Times New Roman"/>
                <w:color w:val="000000"/>
                <w:sz w:val="24"/>
                <w:szCs w:val="24"/>
                <w:highlight w:val="none"/>
                <w:lang w:val="en-US" w:eastAsia="zh-CN"/>
              </w:rPr>
              <w:t>后对周围环境</w:t>
            </w:r>
            <w:r>
              <w:rPr>
                <w:rFonts w:hint="eastAsia" w:ascii="Times New Roman" w:hAnsi="Times New Roman" w:eastAsia="宋体" w:cs="Times New Roman"/>
                <w:color w:val="000000"/>
                <w:sz w:val="24"/>
                <w:szCs w:val="24"/>
                <w:highlight w:val="none"/>
                <w:lang w:val="en-US" w:eastAsia="zh-CN"/>
              </w:rPr>
              <w:t>的</w:t>
            </w:r>
            <w:r>
              <w:rPr>
                <w:rFonts w:hint="default" w:ascii="Times New Roman" w:hAnsi="Times New Roman" w:eastAsia="宋体" w:cs="Times New Roman"/>
                <w:color w:val="000000"/>
                <w:sz w:val="24"/>
                <w:szCs w:val="24"/>
                <w:highlight w:val="none"/>
                <w:lang w:val="en-US" w:eastAsia="zh-CN"/>
              </w:rPr>
              <w:t>工频电场强度、工频磁感应强度的影响将</w:t>
            </w:r>
            <w:r>
              <w:rPr>
                <w:rFonts w:hint="eastAsia" w:ascii="Times New Roman" w:hAnsi="Times New Roman" w:eastAsia="宋体" w:cs="Times New Roman"/>
                <w:color w:val="000000"/>
                <w:sz w:val="24"/>
                <w:szCs w:val="24"/>
                <w:highlight w:val="none"/>
                <w:lang w:val="en-US" w:eastAsia="zh-CN"/>
              </w:rPr>
              <w:t>远</w:t>
            </w:r>
            <w:r>
              <w:rPr>
                <w:rFonts w:hint="default" w:ascii="Times New Roman" w:hAnsi="Times New Roman" w:eastAsia="宋体" w:cs="Times New Roman"/>
                <w:color w:val="000000"/>
                <w:sz w:val="24"/>
                <w:szCs w:val="24"/>
                <w:highlight w:val="none"/>
                <w:lang w:val="en-US" w:eastAsia="zh-CN"/>
              </w:rPr>
              <w:t>低于评价标准限值，即工频电场强度、工频磁感应强度将远小于《电磁环境控制限值》（GB</w:t>
            </w:r>
            <w:r>
              <w:rPr>
                <w:rFonts w:hint="eastAsia" w:ascii="Times New Roman" w:hAnsi="Times New Roman" w:eastAsia="宋体" w:cs="Times New Roman"/>
                <w:color w:val="000000"/>
                <w:sz w:val="24"/>
                <w:szCs w:val="24"/>
                <w:highlight w:val="none"/>
                <w:lang w:val="en-US" w:eastAsia="zh-CN"/>
              </w:rPr>
              <w:t xml:space="preserve"> </w:t>
            </w:r>
            <w:r>
              <w:rPr>
                <w:rFonts w:hint="default" w:ascii="Times New Roman" w:hAnsi="Times New Roman" w:eastAsia="宋体" w:cs="Times New Roman"/>
                <w:color w:val="000000"/>
                <w:sz w:val="24"/>
                <w:szCs w:val="24"/>
                <w:highlight w:val="none"/>
                <w:lang w:val="en-US" w:eastAsia="zh-CN"/>
              </w:rPr>
              <w:t>8702-2014）规定的工频电场4000V/m和工频磁感应强度100μT的评价标准，对环境的影响处于可接受水平</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7.2架空输电线路环境影响分析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val="0"/>
                <w:color w:val="000000"/>
                <w:sz w:val="24"/>
                <w:szCs w:val="24"/>
                <w:highlight w:val="none"/>
                <w:lang w:val="en-US" w:eastAsia="zh-CN"/>
              </w:rPr>
            </w:pPr>
            <w:r>
              <w:rPr>
                <w:rFonts w:hint="eastAsia" w:ascii="Times New Roman" w:hAnsi="Times New Roman" w:eastAsia="宋体" w:cs="Times New Roman"/>
                <w:b w:val="0"/>
                <w:bCs w:val="0"/>
                <w:color w:val="000000"/>
                <w:sz w:val="24"/>
                <w:szCs w:val="24"/>
                <w:highlight w:val="none"/>
                <w:lang w:val="en-US" w:eastAsia="zh-CN"/>
              </w:rPr>
              <w:t>1、</w:t>
            </w:r>
            <w:r>
              <w:rPr>
                <w:rFonts w:hint="default" w:ascii="Times New Roman" w:hAnsi="Times New Roman" w:eastAsia="宋体" w:cs="Times New Roman"/>
                <w:b w:val="0"/>
                <w:bCs w:val="0"/>
                <w:color w:val="000000"/>
                <w:sz w:val="24"/>
                <w:szCs w:val="24"/>
                <w:highlight w:val="none"/>
                <w:lang w:val="en-US" w:eastAsia="zh-CN"/>
              </w:rPr>
              <w:t>预测评价方法</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w:t>
            </w:r>
            <w:r>
              <w:rPr>
                <w:rFonts w:hint="eastAsia" w:ascii="Times New Roman" w:hAnsi="Times New Roman" w:eastAsia="宋体" w:cs="Times New Roman"/>
                <w:color w:val="000000"/>
                <w:sz w:val="24"/>
                <w:szCs w:val="24"/>
                <w:highlight w:val="none"/>
                <w:lang w:val="en-US" w:eastAsia="zh-CN"/>
              </w:rPr>
              <w:t>评价范围内</w:t>
            </w:r>
            <w:r>
              <w:rPr>
                <w:rFonts w:hint="default" w:ascii="Times New Roman" w:hAnsi="Times New Roman" w:eastAsia="宋体" w:cs="Times New Roman"/>
                <w:color w:val="000000"/>
                <w:sz w:val="24"/>
                <w:szCs w:val="24"/>
                <w:highlight w:val="none"/>
                <w:lang w:val="en-US" w:eastAsia="zh-CN"/>
              </w:rPr>
              <w:t>无工厂、学校、医院、居住点等</w:t>
            </w:r>
            <w:r>
              <w:rPr>
                <w:rFonts w:hint="eastAsia" w:ascii="Times New Roman" w:hAnsi="Times New Roman" w:eastAsia="宋体" w:cs="Times New Roman"/>
                <w:color w:val="000000"/>
                <w:sz w:val="24"/>
                <w:szCs w:val="24"/>
                <w:highlight w:val="none"/>
                <w:lang w:val="en-US" w:eastAsia="zh-CN"/>
              </w:rPr>
              <w:t>电磁</w:t>
            </w:r>
            <w:r>
              <w:rPr>
                <w:rFonts w:hint="default" w:ascii="Times New Roman" w:hAnsi="Times New Roman" w:eastAsia="宋体" w:cs="Times New Roman"/>
                <w:color w:val="000000"/>
                <w:sz w:val="24"/>
                <w:szCs w:val="24"/>
                <w:highlight w:val="none"/>
                <w:lang w:val="en-US" w:eastAsia="zh-CN"/>
              </w:rPr>
              <w:t>环境敏感目标。</w:t>
            </w:r>
            <w:r>
              <w:rPr>
                <w:rFonts w:hint="eastAsia" w:ascii="Times New Roman" w:hAnsi="Times New Roman" w:eastAsia="宋体" w:cs="Times New Roman"/>
                <w:color w:val="000000"/>
                <w:sz w:val="24"/>
                <w:szCs w:val="24"/>
                <w:highlight w:val="none"/>
                <w:lang w:val="en-US" w:eastAsia="zh-CN"/>
              </w:rPr>
              <w:t>根据《环境影响评价技术导则 输变电》（</w:t>
            </w:r>
            <w:r>
              <w:rPr>
                <w:rFonts w:hint="default" w:ascii="Times New Roman" w:hAnsi="Times New Roman" w:eastAsia="宋体" w:cs="Times New Roman"/>
                <w:color w:val="000000"/>
                <w:sz w:val="24"/>
                <w:szCs w:val="24"/>
                <w:highlight w:val="none"/>
                <w:lang w:val="en-US" w:eastAsia="zh-CN"/>
              </w:rPr>
              <w:t>HJ24-2020</w:t>
            </w:r>
            <w:r>
              <w:rPr>
                <w:rFonts w:hint="eastAsia" w:ascii="Times New Roman" w:hAnsi="Times New Roman" w:eastAsia="宋体" w:cs="Times New Roman"/>
                <w:color w:val="000000"/>
                <w:sz w:val="24"/>
                <w:szCs w:val="24"/>
                <w:highlight w:val="none"/>
                <w:lang w:val="en-US" w:eastAsia="zh-CN"/>
              </w:rPr>
              <w:t>），本次架空线路为三级评价，电磁环境影响预测一般采用模式预测的方式。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工频电场强度根据《环境影响评价技术导则 输变电》（HJ24-2020）附录 C</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高压交流架空输电线路下空间工频电磁强度的计算</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进行计算。</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工频磁感应强度根据《环境影响评价技术导则 输变电》（HJ24-2020）附录 D</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高压交流架空输电线路下空间工频磁场强度的计算</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进行计算。</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（1）工频电场计算公式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利用等效电荷法计算高压送电线路下空间工频电场强度。</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①计算单位长度导线上等效电荷</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利用镜像法计算送电线上的等效电荷。可由下列矩阵方程计算多导线线路中导线上的等效电荷。</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Para>
              <m:oMath>
                <m:d>
                  <m:dPr>
                    <m:begChr m:val="["/>
                    <m:endChr m:val="]"/>
                    <m:ctrlPr>
                      <w:rPr>
                        <w:rFonts w:hint="default" w:ascii="Cambria Math" w:hAnsi="Cambria Math" w:eastAsia="宋体" w:cs="Times New Roman"/>
                        <w:color w:val="000000"/>
                        <w:sz w:val="24"/>
                        <w:szCs w:val="24"/>
                        <w:highlight w:val="none"/>
                        <w:lang w:val="en-US" w:eastAsia="zh-CN"/>
                      </w:rPr>
                    </m:ctrlPr>
                  </m:dPr>
                  <m:e>
                    <m:m>
                      <m:mPr>
                        <m:mcs>
                          <m:mc>
                            <m:mcPr>
                              <m:count m:val="1"/>
                              <m:mcJc m:val="center"/>
                            </m:mcPr>
                          </m:mc>
                        </m:mcs>
                        <m:ctrlPr>
                          <w:rPr>
                            <w:rFonts w:hint="default" w:ascii="Cambria Math" w:hAnsi="Cambria Math" w:eastAsia="宋体" w:cs="Times New Roman"/>
                            <w:color w:val="000000"/>
                            <w:sz w:val="24"/>
                            <w:szCs w:val="24"/>
                            <w:highlight w:val="none"/>
                            <w:lang w:val="en-US" w:eastAsia="zh-CN"/>
                          </w:rPr>
                        </m:ctrlPr>
                      </m:mPr>
                      <m:m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eastAsia" w:ascii="Times New Roman" w:hAnsi="Times New Roman" w:eastAsia="宋体" w:cs="Times New Roman"/>
                                  <w:color w:val="000000"/>
                                  <w:sz w:val="24"/>
                                  <w:szCs w:val="24"/>
                                  <w:highlight w:val="none"/>
                                  <w:lang w:val="en-US" w:eastAsia="zh-CN"/>
                                </w:rPr>
                                <m:t>u</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1</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mr>
                      <m:m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u</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mr>
                      <m:mr>
                        <m:e>
                          <m:m>
                            <m:mPr>
                              <m:mcs>
                                <m:mc>
                                  <m:mcPr>
                                    <m:count m:val="1"/>
                                    <m:mcJc m:val="center"/>
                                  </m:mcPr>
                                </m:mc>
                              </m:mcs>
                              <m:ctrlPr>
                                <w:rPr>
                                  <w:rFonts w:hint="default" w:ascii="Cambria Math" w:hAnsi="Cambria Math" w:eastAsia="宋体" w:cs="Times New Roman"/>
                                  <w:color w:val="000000"/>
                                  <w:sz w:val="24"/>
                                  <w:szCs w:val="24"/>
                                  <w:highlight w:val="none"/>
                                  <w:lang w:val="en-US" w:eastAsia="zh-CN"/>
                                </w:rPr>
                              </m:ctrlPr>
                            </m:mPr>
                            <m:mr>
                              <m:e>
                                <m:r>
                                  <m:rPr>
                                    <m:sty m:val="p"/>
                                  </m:rPr>
                                  <w:rPr>
                                    <w:rFonts w:hint="default" w:ascii="Times New Roman" w:hAnsi="Times New Roman" w:eastAsia="宋体" w:cs="Times New Roman"/>
                                    <w:color w:val="000000"/>
                                    <w:sz w:val="24"/>
                                    <w:szCs w:val="24"/>
                                    <w:highlight w:val="none"/>
                                    <w:lang w:val="en-US" w:eastAsia="zh-CN"/>
                                  </w:rPr>
                                  <m:t>⋮</m:t>
                                </m:r>
                                <m:ctrlPr>
                                  <w:rPr>
                                    <w:rFonts w:hint="default" w:ascii="Cambria Math" w:hAnsi="Cambria Math" w:eastAsia="宋体" w:cs="Times New Roman"/>
                                    <w:color w:val="000000"/>
                                    <w:sz w:val="24"/>
                                    <w:szCs w:val="24"/>
                                    <w:highlight w:val="none"/>
                                    <w:lang w:val="en-US" w:eastAsia="zh-CN"/>
                                  </w:rPr>
                                </m:ctrlPr>
                              </m:e>
                            </m:mr>
                            <m:m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u</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n</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mr>
                          </m:m>
                          <m:ctrlPr>
                            <w:rPr>
                              <w:rFonts w:hint="default" w:ascii="Cambria Math" w:hAnsi="Cambria Math" w:eastAsia="宋体" w:cs="Times New Roman"/>
                              <w:color w:val="000000"/>
                              <w:sz w:val="24"/>
                              <w:szCs w:val="24"/>
                              <w:highlight w:val="none"/>
                              <w:lang w:val="en-US" w:eastAsia="zh-CN"/>
                            </w:rPr>
                          </m:ctrlPr>
                        </m:e>
                      </m:mr>
                    </m:m>
                    <m:ctrlPr>
                      <w:rPr>
                        <w:rFonts w:hint="default" w:ascii="Cambria Math" w:hAnsi="Cambria Math" w:eastAsia="宋体" w:cs="Times New Roman"/>
                        <w:color w:val="000000"/>
                        <w:sz w:val="24"/>
                        <w:szCs w:val="24"/>
                        <w:highlight w:val="none"/>
                        <w:lang w:val="en-US" w:eastAsia="zh-CN"/>
                      </w:rPr>
                    </m:ctrlPr>
                  </m:e>
                </m:d>
                <m:r>
                  <m:rPr>
                    <m:sty m:val="p"/>
                  </m:rPr>
                  <w:rPr>
                    <w:rFonts w:hint="default" w:ascii="Times New Roman" w:hAnsi="Times New Roman" w:eastAsia="宋体" w:cs="Times New Roman"/>
                    <w:color w:val="000000"/>
                    <w:sz w:val="24"/>
                    <w:szCs w:val="24"/>
                    <w:highlight w:val="none"/>
                    <w:lang w:val="en-US" w:eastAsia="zh-CN"/>
                  </w:rPr>
                  <m:t>=</m:t>
                </m:r>
                <m:d>
                  <m:dPr>
                    <m:begChr m:val="["/>
                    <m:endChr m:val="]"/>
                    <m:ctrlPr>
                      <w:rPr>
                        <w:rFonts w:hint="default" w:ascii="Cambria Math" w:hAnsi="Cambria Math" w:eastAsia="宋体" w:cs="Times New Roman"/>
                        <w:color w:val="000000"/>
                        <w:sz w:val="24"/>
                        <w:szCs w:val="24"/>
                        <w:highlight w:val="none"/>
                        <w:lang w:val="en-US" w:eastAsia="zh-CN"/>
                      </w:rPr>
                    </m:ctrlPr>
                  </m:dPr>
                  <m:e>
                    <m:m>
                      <m:mPr>
                        <m:mcs>
                          <m:mc>
                            <m:mcPr>
                              <m:count m:val="3"/>
                              <m:mcJc m:val="center"/>
                            </m:mcPr>
                          </m:mc>
                        </m:mcs>
                        <m:ctrlPr>
                          <w:rPr>
                            <w:rFonts w:hint="default" w:ascii="Cambria Math" w:hAnsi="Cambria Math" w:eastAsia="宋体" w:cs="Times New Roman"/>
                            <w:color w:val="000000"/>
                            <w:sz w:val="24"/>
                            <w:szCs w:val="24"/>
                            <w:highlight w:val="none"/>
                            <w:lang w:val="en-US" w:eastAsia="zh-CN"/>
                          </w:rPr>
                        </m:ctrlPr>
                      </m:mPr>
                      <m:m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λ</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11</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e>
                          <m:r>
                            <m:rPr>
                              <m:sty m:val="p"/>
                            </m:rPr>
                            <w:rPr>
                              <w:rFonts w:hint="default" w:ascii="Times New Roman" w:hAnsi="Times New Roman" w:eastAsia="宋体" w:cs="Times New Roman"/>
                              <w:color w:val="000000"/>
                              <w:sz w:val="24"/>
                              <w:szCs w:val="24"/>
                              <w:highlight w:val="none"/>
                              <w:lang w:val="en-US" w:eastAsia="zh-CN"/>
                            </w:rPr>
                            <m:t>⋯</m:t>
                          </m:r>
                          <m:ctrlPr>
                            <w:rPr>
                              <w:rFonts w:hint="default" w:ascii="Cambria Math" w:hAnsi="Cambria Math" w:eastAsia="宋体" w:cs="Times New Roman"/>
                              <w:color w:val="000000"/>
                              <w:sz w:val="24"/>
                              <w:szCs w:val="24"/>
                              <w:highlight w:val="none"/>
                              <w:lang w:val="en-US" w:eastAsia="zh-CN"/>
                            </w:rPr>
                          </m:ctrlPr>
                        </m:e>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λ</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1</m:t>
                              </m:r>
                              <m:r>
                                <m:rPr>
                                  <m:sty m:val="p"/>
                                </m:rPr>
                                <w:rPr>
                                  <w:rFonts w:hint="eastAsia" w:ascii="Times New Roman" w:hAnsi="Times New Roman" w:eastAsia="宋体" w:cs="Times New Roman"/>
                                  <w:color w:val="000000"/>
                                  <w:sz w:val="24"/>
                                  <w:szCs w:val="24"/>
                                  <w:highlight w:val="none"/>
                                  <w:lang w:val="en-US" w:eastAsia="zh-CN"/>
                                </w:rPr>
                                <m:t>n</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mr>
                      <m:mr>
                        <m:e>
                          <m:r>
                            <m:rPr>
                              <m:sty m:val="p"/>
                            </m:rPr>
                            <w:rPr>
                              <w:rFonts w:hint="default" w:ascii="Times New Roman" w:hAnsi="Times New Roman" w:eastAsia="宋体" w:cs="Times New Roman"/>
                              <w:color w:val="000000"/>
                              <w:sz w:val="24"/>
                              <w:szCs w:val="24"/>
                              <w:highlight w:val="none"/>
                              <w:lang w:val="en-US" w:eastAsia="zh-CN"/>
                            </w:rPr>
                            <m:t>⋮</m:t>
                          </m:r>
                          <m:ctrlPr>
                            <w:rPr>
                              <w:rFonts w:hint="default" w:ascii="Cambria Math" w:hAnsi="Cambria Math" w:eastAsia="宋体" w:cs="Times New Roman"/>
                              <w:color w:val="000000"/>
                              <w:sz w:val="24"/>
                              <w:szCs w:val="24"/>
                              <w:highlight w:val="none"/>
                              <w:lang w:val="en-US" w:eastAsia="zh-CN"/>
                            </w:rPr>
                          </m:ctrlPr>
                        </m:e>
                        <m:e>
                          <m:r>
                            <m:rPr>
                              <m:sty m:val="p"/>
                            </m:rPr>
                            <w:rPr>
                              <w:rFonts w:hint="default" w:ascii="Times New Roman" w:hAnsi="Times New Roman" w:eastAsia="宋体" w:cs="Times New Roman"/>
                              <w:color w:val="000000"/>
                              <w:sz w:val="24"/>
                              <w:szCs w:val="24"/>
                              <w:highlight w:val="none"/>
                              <w:lang w:val="en-US" w:eastAsia="zh-CN"/>
                            </w:rPr>
                            <m:t>⋱</m:t>
                          </m:r>
                          <m:ctrlPr>
                            <w:rPr>
                              <w:rFonts w:hint="default" w:ascii="Cambria Math" w:hAnsi="Cambria Math" w:eastAsia="宋体" w:cs="Times New Roman"/>
                              <w:color w:val="000000"/>
                              <w:sz w:val="24"/>
                              <w:szCs w:val="24"/>
                              <w:highlight w:val="none"/>
                              <w:lang w:val="en-US" w:eastAsia="zh-CN"/>
                            </w:rPr>
                          </m:ctrlPr>
                        </m:e>
                        <m:e>
                          <m:r>
                            <m:rPr>
                              <m:sty m:val="p"/>
                            </m:rPr>
                            <w:rPr>
                              <w:rFonts w:hint="default" w:ascii="Times New Roman" w:hAnsi="Times New Roman" w:eastAsia="宋体" w:cs="Times New Roman"/>
                              <w:color w:val="000000"/>
                              <w:sz w:val="24"/>
                              <w:szCs w:val="24"/>
                              <w:highlight w:val="none"/>
                              <w:lang w:val="en-US" w:eastAsia="zh-CN"/>
                            </w:rPr>
                            <m:t>⋮</m:t>
                          </m:r>
                          <m:ctrlPr>
                            <w:rPr>
                              <w:rFonts w:hint="default" w:ascii="Cambria Math" w:hAnsi="Cambria Math" w:eastAsia="宋体" w:cs="Times New Roman"/>
                              <w:color w:val="000000"/>
                              <w:sz w:val="24"/>
                              <w:szCs w:val="24"/>
                              <w:highlight w:val="none"/>
                              <w:lang w:val="en-US" w:eastAsia="zh-CN"/>
                            </w:rPr>
                          </m:ctrlPr>
                        </m:e>
                      </m:mr>
                      <m:m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λ</m:t>
                              </m:r>
                              <m:ctrlPr>
                                <w:rPr>
                                  <w:rFonts w:hint="default" w:ascii="Cambria Math" w:hAnsi="Cambria Math" w:eastAsia="宋体" w:cs="Times New Roman"/>
                                  <w:color w:val="000000"/>
                                  <w:sz w:val="24"/>
                                  <w:szCs w:val="24"/>
                                  <w:highlight w:val="none"/>
                                  <w:lang w:val="en-US" w:eastAsia="zh-CN"/>
                                </w:rPr>
                              </m:ctrlPr>
                            </m:e>
                            <m:sub>
                              <m:r>
                                <m:rPr>
                                  <m:sty m:val="p"/>
                                </m:rPr>
                                <w:rPr>
                                  <w:rFonts w:hint="eastAsia" w:ascii="Times New Roman" w:hAnsi="Times New Roman" w:eastAsia="宋体" w:cs="Times New Roman"/>
                                  <w:color w:val="000000"/>
                                  <w:sz w:val="24"/>
                                  <w:szCs w:val="24"/>
                                  <w:highlight w:val="none"/>
                                  <w:lang w:val="en-US" w:eastAsia="zh-CN"/>
                                </w:rPr>
                                <m:t>n</m:t>
                              </m:r>
                              <m:r>
                                <m:rPr>
                                  <m:sty m:val="p"/>
                                </m:rPr>
                                <w:rPr>
                                  <w:rFonts w:hint="default" w:ascii="Times New Roman" w:hAnsi="Times New Roman" w:eastAsia="宋体" w:cs="Times New Roman"/>
                                  <w:color w:val="000000"/>
                                  <w:sz w:val="24"/>
                                  <w:szCs w:val="24"/>
                                  <w:highlight w:val="none"/>
                                  <w:lang w:val="en-US" w:eastAsia="zh-CN"/>
                                </w:rPr>
                                <m:t>1</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e>
                          <m:r>
                            <m:rPr>
                              <m:sty m:val="p"/>
                            </m:rPr>
                            <w:rPr>
                              <w:rFonts w:hint="default" w:ascii="Times New Roman" w:hAnsi="Times New Roman" w:eastAsia="宋体" w:cs="Times New Roman"/>
                              <w:color w:val="000000"/>
                              <w:sz w:val="24"/>
                              <w:szCs w:val="24"/>
                              <w:highlight w:val="none"/>
                              <w:lang w:val="en-US" w:eastAsia="zh-CN"/>
                            </w:rPr>
                            <m:t>⋯</m:t>
                          </m:r>
                          <m:ctrlPr>
                            <w:rPr>
                              <w:rFonts w:hint="default" w:ascii="Cambria Math" w:hAnsi="Cambria Math" w:eastAsia="宋体" w:cs="Times New Roman"/>
                              <w:color w:val="000000"/>
                              <w:sz w:val="24"/>
                              <w:szCs w:val="24"/>
                              <w:highlight w:val="none"/>
                              <w:lang w:val="en-US" w:eastAsia="zh-CN"/>
                            </w:rPr>
                          </m:ctrlPr>
                        </m:e>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λ</m:t>
                              </m:r>
                              <m:ctrlPr>
                                <w:rPr>
                                  <w:rFonts w:hint="default" w:ascii="Cambria Math" w:hAnsi="Cambria Math" w:eastAsia="宋体" w:cs="Times New Roman"/>
                                  <w:color w:val="000000"/>
                                  <w:sz w:val="24"/>
                                  <w:szCs w:val="24"/>
                                  <w:highlight w:val="none"/>
                                  <w:lang w:val="en-US" w:eastAsia="zh-CN"/>
                                </w:rPr>
                              </m:ctrlPr>
                            </m:e>
                            <m:sub>
                              <m:r>
                                <m:rPr>
                                  <m:sty m:val="p"/>
                                </m:rPr>
                                <w:rPr>
                                  <w:rFonts w:hint="eastAsia" w:ascii="Times New Roman" w:hAnsi="Times New Roman" w:eastAsia="宋体" w:cs="Times New Roman"/>
                                  <w:color w:val="000000"/>
                                  <w:sz w:val="24"/>
                                  <w:szCs w:val="24"/>
                                  <w:highlight w:val="none"/>
                                  <w:lang w:val="en-US" w:eastAsia="zh-CN"/>
                                </w:rPr>
                                <m:t>nn</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mr>
                    </m:m>
                    <m:ctrlPr>
                      <w:rPr>
                        <w:rFonts w:hint="default" w:ascii="Cambria Math" w:hAnsi="Cambria Math" w:eastAsia="宋体" w:cs="Times New Roman"/>
                        <w:color w:val="000000"/>
                        <w:sz w:val="24"/>
                        <w:szCs w:val="24"/>
                        <w:highlight w:val="none"/>
                        <w:lang w:val="en-US" w:eastAsia="zh-CN"/>
                      </w:rPr>
                    </m:ctrlPr>
                  </m:e>
                </m:d>
                <m:r>
                  <m:rPr>
                    <m:sty m:val="p"/>
                  </m:rPr>
                  <w:rPr>
                    <w:rFonts w:hint="default" w:ascii="Times New Roman" w:hAnsi="Times New Roman" w:eastAsia="宋体" w:cs="Times New Roman"/>
                    <w:color w:val="000000"/>
                    <w:sz w:val="24"/>
                    <w:szCs w:val="24"/>
                    <w:highlight w:val="none"/>
                    <w:lang w:val="en-US" w:eastAsia="zh-CN"/>
                  </w:rPr>
                  <m:t xml:space="preserve"> </m:t>
                </m:r>
                <m:d>
                  <m:dPr>
                    <m:begChr m:val="["/>
                    <m:endChr m:val="]"/>
                    <m:ctrlPr>
                      <w:rPr>
                        <w:rFonts w:hint="default" w:ascii="Cambria Math" w:hAnsi="Cambria Math" w:eastAsia="宋体" w:cs="Times New Roman"/>
                        <w:color w:val="000000"/>
                        <w:sz w:val="24"/>
                        <w:szCs w:val="24"/>
                        <w:highlight w:val="none"/>
                        <w:lang w:val="en-US" w:eastAsia="zh-CN"/>
                      </w:rPr>
                    </m:ctrlPr>
                  </m:dPr>
                  <m:e>
                    <m:m>
                      <m:mPr>
                        <m:mcs>
                          <m:mc>
                            <m:mcPr>
                              <m:count m:val="1"/>
                              <m:mcJc m:val="center"/>
                            </m:mcPr>
                          </m:mc>
                        </m:mcs>
                        <m:ctrlPr>
                          <w:rPr>
                            <w:rFonts w:hint="default" w:ascii="Cambria Math" w:hAnsi="Cambria Math" w:eastAsia="宋体" w:cs="Times New Roman"/>
                            <w:color w:val="000000"/>
                            <w:sz w:val="24"/>
                            <w:szCs w:val="24"/>
                            <w:highlight w:val="none"/>
                            <w:lang w:val="en-US" w:eastAsia="zh-CN"/>
                          </w:rPr>
                        </m:ctrlPr>
                      </m:mPr>
                      <m:m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eastAsia" w:ascii="Times New Roman" w:hAnsi="Times New Roman" w:eastAsia="宋体" w:cs="Times New Roman"/>
                                  <w:color w:val="000000"/>
                                  <w:sz w:val="24"/>
                                  <w:szCs w:val="24"/>
                                  <w:highlight w:val="none"/>
                                  <w:lang w:val="en-US" w:eastAsia="zh-CN"/>
                                </w:rPr>
                                <m:t>Q</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1</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mr>
                      <m:m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Q</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n</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mr>
                      <m:mr>
                        <m:e>
                          <m:m>
                            <m:mPr>
                              <m:mcs>
                                <m:mc>
                                  <m:mcPr>
                                    <m:count m:val="1"/>
                                    <m:mcJc m:val="center"/>
                                  </m:mcPr>
                                </m:mc>
                              </m:mcs>
                              <m:ctrlPr>
                                <w:rPr>
                                  <w:rFonts w:hint="default" w:ascii="Cambria Math" w:hAnsi="Cambria Math" w:eastAsia="宋体" w:cs="Times New Roman"/>
                                  <w:color w:val="000000"/>
                                  <w:sz w:val="24"/>
                                  <w:szCs w:val="24"/>
                                  <w:highlight w:val="none"/>
                                  <w:lang w:val="en-US" w:eastAsia="zh-CN"/>
                                </w:rPr>
                              </m:ctrlPr>
                            </m:mPr>
                            <m:mr>
                              <m:e>
                                <m:r>
                                  <m:rPr>
                                    <m:sty m:val="p"/>
                                  </m:rPr>
                                  <w:rPr>
                                    <w:rFonts w:hint="default" w:ascii="Times New Roman" w:hAnsi="Times New Roman" w:eastAsia="宋体" w:cs="Times New Roman"/>
                                    <w:color w:val="000000"/>
                                    <w:sz w:val="24"/>
                                    <w:szCs w:val="24"/>
                                    <w:highlight w:val="none"/>
                                    <w:lang w:val="en-US" w:eastAsia="zh-CN"/>
                                  </w:rPr>
                                  <m:t>⋮</m:t>
                                </m:r>
                                <m:ctrlPr>
                                  <w:rPr>
                                    <w:rFonts w:hint="default" w:ascii="Cambria Math" w:hAnsi="Cambria Math" w:eastAsia="宋体" w:cs="Times New Roman"/>
                                    <w:color w:val="000000"/>
                                    <w:sz w:val="24"/>
                                    <w:szCs w:val="24"/>
                                    <w:highlight w:val="none"/>
                                    <w:lang w:val="en-US" w:eastAsia="zh-CN"/>
                                  </w:rPr>
                                </m:ctrlPr>
                              </m:e>
                            </m:mr>
                            <m:m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Q</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n</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mr>
                          </m:m>
                          <m:ctrlPr>
                            <w:rPr>
                              <w:rFonts w:hint="default" w:ascii="Cambria Math" w:hAnsi="Cambria Math" w:eastAsia="宋体" w:cs="Times New Roman"/>
                              <w:color w:val="000000"/>
                              <w:sz w:val="24"/>
                              <w:szCs w:val="24"/>
                              <w:highlight w:val="none"/>
                              <w:lang w:val="en-US" w:eastAsia="zh-CN"/>
                            </w:rPr>
                          </m:ctrlPr>
                        </m:e>
                      </m:mr>
                    </m:m>
                    <m:ctrlPr>
                      <w:rPr>
                        <w:rFonts w:hint="default" w:ascii="Cambria Math" w:hAnsi="Cambria Math" w:eastAsia="宋体" w:cs="Times New Roman"/>
                        <w:color w:val="000000"/>
                        <w:sz w:val="24"/>
                        <w:szCs w:val="24"/>
                        <w:highlight w:val="none"/>
                        <w:lang w:val="en-US" w:eastAsia="zh-CN"/>
                      </w:rPr>
                    </m:ctrlPr>
                  </m:e>
                </m:d>
              </m:oMath>
            </m:oMathPara>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式中：[U]—各导线对地电压的单列矩阵；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[Q]—各导线上等效电荷的单列矩阵；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[λ]—各导线的电位系数组成的n阶方阵</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n为导线数目</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②计算由等效电荷产生的电场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空间任意一点的电场强度可根据叠加原理计算得出，在（x，y）点的电场强度分量Ex和Ey可表示为：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Para>
              <m:oMath>
                <m:sSub>
                  <m:sSubPr>
                    <m:ctrlPr>
                      <w:rPr>
                        <w:rFonts w:hint="default" w:ascii="Cambria Math" w:hAnsi="Cambria Math" w:eastAsia="宋体" w:cs="Times New Roman"/>
                        <w:color w:val="000000"/>
                        <w:sz w:val="24"/>
                        <w:szCs w:val="24"/>
                        <w:highlight w:val="none"/>
                        <w:lang w:val="en-US" w:eastAsia="zh-CN"/>
                      </w:rPr>
                    </m:ctrlPr>
                  </m:sSubPr>
                  <m:e>
                    <m:r>
                      <m:rPr>
                        <m:sty m:val="p"/>
                      </m:rPr>
                      <w:rPr>
                        <w:rFonts w:hint="eastAsia"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m:t>
                    </m:r>
                    <m:ctrlPr>
                      <w:rPr>
                        <w:rFonts w:hint="default" w:ascii="Cambria Math" w:hAnsi="Cambria Math" w:eastAsia="宋体" w:cs="Times New Roman"/>
                        <w:color w:val="000000"/>
                        <w:sz w:val="24"/>
                        <w:szCs w:val="24"/>
                        <w:highlight w:val="none"/>
                        <w:lang w:val="en-US" w:eastAsia="zh-CN"/>
                      </w:rPr>
                    </m:ctrlPr>
                  </m:sub>
                </m:sSub>
                <m:r>
                  <m:rPr>
                    <m:sty m:val="p"/>
                  </m:rPr>
                  <w:rPr>
                    <w:rFonts w:hint="default" w:ascii="Times New Roman" w:hAnsi="Times New Roman" w:eastAsia="宋体" w:cs="Times New Roman"/>
                    <w:color w:val="000000"/>
                    <w:sz w:val="24"/>
                    <w:szCs w:val="24"/>
                    <w:highlight w:val="none"/>
                    <w:lang w:val="en-US" w:eastAsia="zh-CN"/>
                  </w:rPr>
                  <m:t>=</m:t>
                </m:r>
                <m:f>
                  <m:fPr>
                    <m:ctrlPr>
                      <w:rPr>
                        <w:rFonts w:hint="default" w:ascii="Cambria Math" w:hAnsi="Cambria Math" w:eastAsia="宋体" w:cs="Times New Roman"/>
                        <w:color w:val="000000"/>
                        <w:sz w:val="24"/>
                        <w:szCs w:val="24"/>
                        <w:highlight w:val="none"/>
                        <w:lang w:val="en-US" w:eastAsia="zh-CN"/>
                      </w:rPr>
                    </m:ctrlPr>
                  </m:fPr>
                  <m:num>
                    <m:r>
                      <m:rPr>
                        <m:sty m:val="p"/>
                      </m:rPr>
                      <w:rPr>
                        <w:rFonts w:hint="default" w:ascii="Times New Roman" w:hAnsi="Times New Roman" w:eastAsia="宋体" w:cs="Times New Roman"/>
                        <w:color w:val="000000"/>
                        <w:sz w:val="24"/>
                        <w:szCs w:val="24"/>
                        <w:highlight w:val="none"/>
                        <w:lang w:val="en-US" w:eastAsia="zh-CN"/>
                      </w:rPr>
                      <m:t>1</m:t>
                    </m:r>
                    <m:ctrlPr>
                      <w:rPr>
                        <w:rFonts w:hint="default" w:ascii="Cambria Math" w:hAnsi="Cambria Math" w:eastAsia="宋体" w:cs="Times New Roman"/>
                        <w:color w:val="000000"/>
                        <w:sz w:val="24"/>
                        <w:szCs w:val="24"/>
                        <w:highlight w:val="none"/>
                        <w:lang w:val="en-US" w:eastAsia="zh-CN"/>
                      </w:rPr>
                    </m:ctrlPr>
                  </m:num>
                  <m:den>
                    <m:r>
                      <m:rPr>
                        <m:sty m:val="p"/>
                      </m:rPr>
                      <w:rPr>
                        <w:rFonts w:hint="default" w:ascii="Times New Roman" w:hAnsi="Times New Roman" w:eastAsia="宋体" w:cs="Times New Roman"/>
                        <w:color w:val="000000"/>
                        <w:sz w:val="24"/>
                        <w:szCs w:val="24"/>
                        <w:highlight w:val="none"/>
                        <w:lang w:val="en-US" w:eastAsia="zh-CN"/>
                      </w:rPr>
                      <m:t>2π</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ε</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0</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den>
                </m:f>
                <m:nary>
                  <m:naryPr>
                    <m:chr m:val="∑"/>
                    <m:limLoc m:val="undOvr"/>
                    <m:ctrlPr>
                      <w:rPr>
                        <w:rFonts w:hint="default" w:ascii="Cambria Math" w:hAnsi="Cambria Math" w:eastAsia="宋体" w:cs="Times New Roman"/>
                        <w:color w:val="000000"/>
                        <w:sz w:val="24"/>
                        <w:szCs w:val="24"/>
                        <w:highlight w:val="none"/>
                        <w:lang w:val="en-US" w:eastAsia="zh-CN"/>
                      </w:rPr>
                    </m:ctrlPr>
                  </m:naryPr>
                  <m:sub>
                    <m:r>
                      <m:rPr>
                        <m:sty m:val="p"/>
                      </m:rPr>
                      <w:rPr>
                        <w:rFonts w:hint="default" w:ascii="Times New Roman" w:hAnsi="Times New Roman" w:eastAsia="宋体" w:cs="Times New Roman"/>
                        <w:color w:val="000000"/>
                        <w:sz w:val="24"/>
                        <w:szCs w:val="24"/>
                        <w:highlight w:val="none"/>
                        <w:lang w:val="en-US" w:eastAsia="zh-CN"/>
                      </w:rPr>
                      <m:t>i=1</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m</m:t>
                    </m:r>
                    <m:ctrlPr>
                      <w:rPr>
                        <w:rFonts w:hint="default" w:ascii="Cambria Math" w:hAnsi="Cambria Math" w:eastAsia="宋体" w:cs="Times New Roman"/>
                        <w:color w:val="000000"/>
                        <w:sz w:val="24"/>
                        <w:szCs w:val="24"/>
                        <w:highlight w:val="none"/>
                        <w:lang w:val="en-US" w:eastAsia="zh-CN"/>
                      </w:rPr>
                    </m:ctrlPr>
                  </m:sup>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Q</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nary>
                <m:d>
                  <m:dPr>
                    <m:ctrlPr>
                      <w:rPr>
                        <w:rFonts w:hint="default" w:ascii="Cambria Math" w:hAnsi="Cambria Math" w:eastAsia="宋体" w:cs="Times New Roman"/>
                        <w:color w:val="000000"/>
                        <w:sz w:val="24"/>
                        <w:szCs w:val="24"/>
                        <w:highlight w:val="none"/>
                        <w:lang w:val="en-US" w:eastAsia="zh-CN"/>
                      </w:rPr>
                    </m:ctrlPr>
                  </m:dPr>
                  <m:e>
                    <m:f>
                      <m:fPr>
                        <m:ctrlPr>
                          <w:rPr>
                            <w:rFonts w:hint="default" w:ascii="Cambria Math" w:hAnsi="Cambria Math" w:eastAsia="宋体" w:cs="Times New Roman"/>
                            <w:color w:val="000000"/>
                            <w:sz w:val="24"/>
                            <w:szCs w:val="24"/>
                            <w:highlight w:val="none"/>
                            <w:lang w:val="en-US" w:eastAsia="zh-CN"/>
                          </w:rPr>
                        </m:ctrlPr>
                      </m:fPr>
                      <m:num>
                        <m:r>
                          <m:rPr>
                            <m:sty m:val="p"/>
                          </m:rPr>
                          <w:rPr>
                            <w:rFonts w:hint="default" w:ascii="Times New Roman" w:hAnsi="Times New Roman" w:eastAsia="宋体" w:cs="Times New Roman"/>
                            <w:color w:val="000000"/>
                            <w:sz w:val="24"/>
                            <w:szCs w:val="24"/>
                            <w:highlight w:val="none"/>
                            <w:lang w:val="en-US" w:eastAsia="zh-CN"/>
                          </w:rPr>
                          <m:t>x−</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x</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num>
                      <m:den>
                        <m:sSubSup>
                          <m:sSubSupPr>
                            <m:ctrlPr>
                              <w:rPr>
                                <w:rFonts w:hint="default" w:ascii="Cambria Math" w:hAnsi="Cambria Math" w:eastAsia="宋体" w:cs="Times New Roman"/>
                                <w:color w:val="000000"/>
                                <w:sz w:val="24"/>
                                <w:szCs w:val="24"/>
                                <w:highlight w:val="none"/>
                                <w:lang w:val="en-US" w:eastAsia="zh-CN"/>
                              </w:rPr>
                            </m:ctrlPr>
                          </m:sSubSupPr>
                          <m:e>
                            <m:r>
                              <m:rPr>
                                <m:sty m:val="p"/>
                              </m:rPr>
                              <w:rPr>
                                <w:rFonts w:hint="eastAsia" w:ascii="Times New Roman" w:hAnsi="Times New Roman" w:eastAsia="宋体" w:cs="Times New Roman"/>
                                <w:color w:val="000000"/>
                                <w:sz w:val="24"/>
                                <w:szCs w:val="24"/>
                                <w:highlight w:val="none"/>
                                <w:lang w:val="en-US" w:eastAsia="zh-CN"/>
                              </w:rPr>
                              <m:t>L</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bSup>
                        <m:ctrlPr>
                          <w:rPr>
                            <w:rFonts w:hint="default" w:ascii="Cambria Math" w:hAnsi="Cambria Math" w:eastAsia="宋体" w:cs="Times New Roman"/>
                            <w:color w:val="000000"/>
                            <w:sz w:val="24"/>
                            <w:szCs w:val="24"/>
                            <w:highlight w:val="none"/>
                            <w:lang w:val="en-US" w:eastAsia="zh-CN"/>
                          </w:rPr>
                        </m:ctrlPr>
                      </m:den>
                    </m:f>
                    <m:r>
                      <m:rPr>
                        <m:sty m:val="p"/>
                      </m:rPr>
                      <w:rPr>
                        <w:rFonts w:hint="default" w:ascii="Times New Roman" w:hAnsi="Times New Roman" w:eastAsia="宋体" w:cs="Times New Roman"/>
                        <w:color w:val="000000"/>
                        <w:sz w:val="24"/>
                        <w:szCs w:val="24"/>
                        <w:highlight w:val="none"/>
                        <w:lang w:val="en-US" w:eastAsia="zh-CN"/>
                      </w:rPr>
                      <m:t>−</m:t>
                    </m:r>
                    <m:f>
                      <m:fPr>
                        <m:ctrlPr>
                          <w:rPr>
                            <w:rFonts w:hint="default" w:ascii="Cambria Math" w:hAnsi="Cambria Math" w:eastAsia="宋体" w:cs="Times New Roman"/>
                            <w:color w:val="000000"/>
                            <w:sz w:val="24"/>
                            <w:szCs w:val="24"/>
                            <w:highlight w:val="none"/>
                            <w:lang w:val="en-US" w:eastAsia="zh-CN"/>
                          </w:rPr>
                        </m:ctrlPr>
                      </m:fPr>
                      <m:num>
                        <m:r>
                          <m:rPr>
                            <m:sty m:val="p"/>
                          </m:rPr>
                          <w:rPr>
                            <w:rFonts w:hint="default" w:ascii="Times New Roman" w:hAnsi="Times New Roman" w:eastAsia="宋体" w:cs="Times New Roman"/>
                            <w:color w:val="000000"/>
                            <w:sz w:val="24"/>
                            <w:szCs w:val="24"/>
                            <w:highlight w:val="none"/>
                            <w:lang w:val="en-US" w:eastAsia="zh-CN"/>
                          </w:rPr>
                          <m:t>x−</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x</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num>
                      <m:den>
                        <m:sSup>
                          <m:sSupPr>
                            <m:ctrlPr>
                              <w:rPr>
                                <w:rFonts w:hint="default" w:ascii="Cambria Math" w:hAnsi="Cambria Math" w:eastAsia="宋体" w:cs="Times New Roman"/>
                                <w:color w:val="000000"/>
                                <w:sz w:val="24"/>
                                <w:szCs w:val="24"/>
                                <w:highlight w:val="none"/>
                                <w:lang w:val="en-US" w:eastAsia="zh-CN"/>
                              </w:rPr>
                            </m:ctrlPr>
                          </m:sSupPr>
                          <m:e>
                            <m:d>
                              <m:dPr>
                                <m:ctrlPr>
                                  <w:rPr>
                                    <w:rFonts w:hint="default" w:ascii="Cambria Math" w:hAnsi="Cambria Math" w:eastAsia="宋体" w:cs="Times New Roman"/>
                                    <w:color w:val="000000"/>
                                    <w:sz w:val="24"/>
                                    <w:szCs w:val="24"/>
                                    <w:highlight w:val="none"/>
                                    <w:lang w:val="en-US" w:eastAsia="zh-CN"/>
                                  </w:rPr>
                                </m:ctrlPr>
                              </m:dPr>
                              <m:e>
                                <m:sSubSup>
                                  <m:sSubSupPr>
                                    <m:ctrlPr>
                                      <w:rPr>
                                        <w:rFonts w:hint="default" w:ascii="Cambria Math" w:hAnsi="Cambria Math" w:eastAsia="宋体" w:cs="Times New Roman"/>
                                        <w:color w:val="000000"/>
                                        <w:sz w:val="24"/>
                                        <w:szCs w:val="24"/>
                                        <w:highlight w:val="none"/>
                                        <w:lang w:val="en-US" w:eastAsia="zh-CN"/>
                                      </w:rPr>
                                    </m:ctrlPr>
                                  </m:sSubSupPr>
                                  <m:e>
                                    <m:r>
                                      <m:rPr>
                                        <m:sty m:val="p"/>
                                      </m:rPr>
                                      <w:rPr>
                                        <w:rFonts w:hint="eastAsia" w:ascii="Times New Roman" w:hAnsi="Times New Roman" w:eastAsia="宋体" w:cs="Times New Roman"/>
                                        <w:color w:val="000000"/>
                                        <w:sz w:val="24"/>
                                        <w:szCs w:val="24"/>
                                        <w:highlight w:val="none"/>
                                        <w:lang w:val="en-US" w:eastAsia="zh-CN"/>
                                      </w:rPr>
                                      <m:t>L</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m:t>
                                    </m:r>
                                    <m:ctrlPr>
                                      <w:rPr>
                                        <w:rFonts w:hint="default" w:ascii="Cambria Math" w:hAnsi="Cambria Math" w:eastAsia="宋体" w:cs="Times New Roman"/>
                                        <w:color w:val="000000"/>
                                        <w:sz w:val="24"/>
                                        <w:szCs w:val="24"/>
                                        <w:highlight w:val="none"/>
                                        <w:lang w:val="en-US" w:eastAsia="zh-CN"/>
                                      </w:rPr>
                                    </m:ctrlPr>
                                  </m:sup>
                                </m:sSubSup>
                                <m:ctrlPr>
                                  <w:rPr>
                                    <w:rFonts w:hint="default" w:ascii="Cambria Math" w:hAnsi="Cambria Math" w:eastAsia="宋体" w:cs="Times New Roman"/>
                                    <w:color w:val="000000"/>
                                    <w:sz w:val="24"/>
                                    <w:szCs w:val="24"/>
                                    <w:highlight w:val="none"/>
                                    <w:lang w:val="en-US" w:eastAsia="zh-CN"/>
                                  </w:rPr>
                                </m:ctrlPr>
                              </m:e>
                            </m:d>
                            <m:ctrlPr>
                              <w:rPr>
                                <w:rFonts w:hint="default" w:ascii="Cambria Math" w:hAnsi="Cambria Math" w:eastAsia="宋体" w:cs="Times New Roman"/>
                                <w:color w:val="000000"/>
                                <w:sz w:val="24"/>
                                <w:szCs w:val="24"/>
                                <w:highlight w:val="none"/>
                                <w:lang w:val="en-US" w:eastAsia="zh-CN"/>
                              </w:rPr>
                            </m:ctrlPr>
                          </m:e>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p>
                        <m:ctrlPr>
                          <w:rPr>
                            <w:rFonts w:hint="default" w:ascii="Cambria Math" w:hAnsi="Cambria Math" w:eastAsia="宋体" w:cs="Times New Roman"/>
                            <w:color w:val="000000"/>
                            <w:sz w:val="24"/>
                            <w:szCs w:val="24"/>
                            <w:highlight w:val="none"/>
                            <w:lang w:val="en-US" w:eastAsia="zh-CN"/>
                          </w:rPr>
                        </m:ctrlPr>
                      </m:den>
                    </m:f>
                    <m:ctrlPr>
                      <w:rPr>
                        <w:rFonts w:hint="default" w:ascii="Cambria Math" w:hAnsi="Cambria Math" w:eastAsia="宋体" w:cs="Times New Roman"/>
                        <w:color w:val="000000"/>
                        <w:sz w:val="24"/>
                        <w:szCs w:val="24"/>
                        <w:highlight w:val="none"/>
                        <w:lang w:val="en-US" w:eastAsia="zh-CN"/>
                      </w:rPr>
                    </m:ctrlPr>
                  </m:e>
                </m:d>
              </m:oMath>
            </m:oMathPara>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Para>
              <m:oMath>
                <m:sSub>
                  <m:sSubPr>
                    <m:ctrlPr>
                      <w:rPr>
                        <w:rFonts w:hint="default" w:ascii="Cambria Math" w:hAnsi="Cambria Math" w:eastAsia="宋体" w:cs="Times New Roman"/>
                        <w:color w:val="000000"/>
                        <w:sz w:val="24"/>
                        <w:szCs w:val="24"/>
                        <w:highlight w:val="none"/>
                        <w:lang w:val="en-US" w:eastAsia="zh-CN"/>
                      </w:rPr>
                    </m:ctrlPr>
                  </m:sSubPr>
                  <m:e>
                    <m:r>
                      <m:rPr>
                        <m:sty m:val="p"/>
                      </m:rPr>
                      <w:rPr>
                        <w:rFonts w:hint="eastAsia"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m:t>
                    </m:r>
                    <m:ctrlPr>
                      <w:rPr>
                        <w:rFonts w:hint="default" w:ascii="Cambria Math" w:hAnsi="Cambria Math" w:eastAsia="宋体" w:cs="Times New Roman"/>
                        <w:color w:val="000000"/>
                        <w:sz w:val="24"/>
                        <w:szCs w:val="24"/>
                        <w:highlight w:val="none"/>
                        <w:lang w:val="en-US" w:eastAsia="zh-CN"/>
                      </w:rPr>
                    </m:ctrlPr>
                  </m:sub>
                </m:sSub>
                <m:r>
                  <m:rPr>
                    <m:sty m:val="p"/>
                  </m:rPr>
                  <w:rPr>
                    <w:rFonts w:hint="default" w:ascii="Times New Roman" w:hAnsi="Times New Roman" w:eastAsia="宋体" w:cs="Times New Roman"/>
                    <w:color w:val="000000"/>
                    <w:sz w:val="24"/>
                    <w:szCs w:val="24"/>
                    <w:highlight w:val="none"/>
                    <w:lang w:val="en-US" w:eastAsia="zh-CN"/>
                  </w:rPr>
                  <m:t>=</m:t>
                </m:r>
                <m:f>
                  <m:fPr>
                    <m:ctrlPr>
                      <w:rPr>
                        <w:rFonts w:hint="default" w:ascii="Cambria Math" w:hAnsi="Cambria Math" w:eastAsia="宋体" w:cs="Times New Roman"/>
                        <w:color w:val="000000"/>
                        <w:sz w:val="24"/>
                        <w:szCs w:val="24"/>
                        <w:highlight w:val="none"/>
                        <w:lang w:val="en-US" w:eastAsia="zh-CN"/>
                      </w:rPr>
                    </m:ctrlPr>
                  </m:fPr>
                  <m:num>
                    <m:r>
                      <m:rPr>
                        <m:sty m:val="p"/>
                      </m:rPr>
                      <w:rPr>
                        <w:rFonts w:hint="default" w:ascii="Times New Roman" w:hAnsi="Times New Roman" w:eastAsia="宋体" w:cs="Times New Roman"/>
                        <w:color w:val="000000"/>
                        <w:sz w:val="24"/>
                        <w:szCs w:val="24"/>
                        <w:highlight w:val="none"/>
                        <w:lang w:val="en-US" w:eastAsia="zh-CN"/>
                      </w:rPr>
                      <m:t>1</m:t>
                    </m:r>
                    <m:ctrlPr>
                      <w:rPr>
                        <w:rFonts w:hint="default" w:ascii="Cambria Math" w:hAnsi="Cambria Math" w:eastAsia="宋体" w:cs="Times New Roman"/>
                        <w:color w:val="000000"/>
                        <w:sz w:val="24"/>
                        <w:szCs w:val="24"/>
                        <w:highlight w:val="none"/>
                        <w:lang w:val="en-US" w:eastAsia="zh-CN"/>
                      </w:rPr>
                    </m:ctrlPr>
                  </m:num>
                  <m:den>
                    <m:r>
                      <m:rPr>
                        <m:sty m:val="p"/>
                      </m:rPr>
                      <w:rPr>
                        <w:rFonts w:hint="default" w:ascii="Times New Roman" w:hAnsi="Times New Roman" w:eastAsia="宋体" w:cs="Times New Roman"/>
                        <w:color w:val="000000"/>
                        <w:sz w:val="24"/>
                        <w:szCs w:val="24"/>
                        <w:highlight w:val="none"/>
                        <w:lang w:val="en-US" w:eastAsia="zh-CN"/>
                      </w:rPr>
                      <m:t>2π</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ε</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0</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den>
                </m:f>
                <m:nary>
                  <m:naryPr>
                    <m:chr m:val="∑"/>
                    <m:limLoc m:val="undOvr"/>
                    <m:ctrlPr>
                      <w:rPr>
                        <w:rFonts w:hint="default" w:ascii="Cambria Math" w:hAnsi="Cambria Math" w:eastAsia="宋体" w:cs="Times New Roman"/>
                        <w:color w:val="000000"/>
                        <w:sz w:val="24"/>
                        <w:szCs w:val="24"/>
                        <w:highlight w:val="none"/>
                        <w:lang w:val="en-US" w:eastAsia="zh-CN"/>
                      </w:rPr>
                    </m:ctrlPr>
                  </m:naryPr>
                  <m:sub>
                    <m:r>
                      <m:rPr>
                        <m:sty m:val="p"/>
                      </m:rPr>
                      <w:rPr>
                        <w:rFonts w:hint="default" w:ascii="Times New Roman" w:hAnsi="Times New Roman" w:eastAsia="宋体" w:cs="Times New Roman"/>
                        <w:color w:val="000000"/>
                        <w:sz w:val="24"/>
                        <w:szCs w:val="24"/>
                        <w:highlight w:val="none"/>
                        <w:lang w:val="en-US" w:eastAsia="zh-CN"/>
                      </w:rPr>
                      <m:t>i=1</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m</m:t>
                    </m:r>
                    <m:ctrlPr>
                      <w:rPr>
                        <w:rFonts w:hint="default" w:ascii="Cambria Math" w:hAnsi="Cambria Math" w:eastAsia="宋体" w:cs="Times New Roman"/>
                        <w:color w:val="000000"/>
                        <w:sz w:val="24"/>
                        <w:szCs w:val="24"/>
                        <w:highlight w:val="none"/>
                        <w:lang w:val="en-US" w:eastAsia="zh-CN"/>
                      </w:rPr>
                    </m:ctrlPr>
                  </m:sup>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Q</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nary>
                <m:d>
                  <m:dPr>
                    <m:ctrlPr>
                      <w:rPr>
                        <w:rFonts w:hint="default" w:ascii="Cambria Math" w:hAnsi="Cambria Math" w:eastAsia="宋体" w:cs="Times New Roman"/>
                        <w:color w:val="000000"/>
                        <w:sz w:val="24"/>
                        <w:szCs w:val="24"/>
                        <w:highlight w:val="none"/>
                        <w:lang w:val="en-US" w:eastAsia="zh-CN"/>
                      </w:rPr>
                    </m:ctrlPr>
                  </m:dPr>
                  <m:e>
                    <m:f>
                      <m:fPr>
                        <m:ctrlPr>
                          <w:rPr>
                            <w:rFonts w:hint="default" w:ascii="Cambria Math" w:hAnsi="Cambria Math" w:eastAsia="宋体" w:cs="Times New Roman"/>
                            <w:color w:val="000000"/>
                            <w:sz w:val="24"/>
                            <w:szCs w:val="24"/>
                            <w:highlight w:val="none"/>
                            <w:lang w:val="en-US" w:eastAsia="zh-CN"/>
                          </w:rPr>
                        </m:ctrlPr>
                      </m:fPr>
                      <m:num>
                        <m:r>
                          <m:rPr>
                            <m:sty m:val="p"/>
                          </m:rPr>
                          <w:rPr>
                            <w:rFonts w:hint="default" w:ascii="Times New Roman" w:hAnsi="Times New Roman" w:eastAsia="宋体" w:cs="Times New Roman"/>
                            <w:color w:val="000000"/>
                            <w:sz w:val="24"/>
                            <w:szCs w:val="24"/>
                            <w:highlight w:val="none"/>
                            <w:lang w:val="en-US" w:eastAsia="zh-CN"/>
                          </w:rPr>
                          <m:t>y−</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y</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num>
                      <m:den>
                        <m:sSubSup>
                          <m:sSubSupPr>
                            <m:ctrlPr>
                              <w:rPr>
                                <w:rFonts w:hint="default" w:ascii="Cambria Math" w:hAnsi="Cambria Math" w:eastAsia="宋体" w:cs="Times New Roman"/>
                                <w:color w:val="000000"/>
                                <w:sz w:val="24"/>
                                <w:szCs w:val="24"/>
                                <w:highlight w:val="none"/>
                                <w:lang w:val="en-US" w:eastAsia="zh-CN"/>
                              </w:rPr>
                            </m:ctrlPr>
                          </m:sSubSupPr>
                          <m:e>
                            <m:r>
                              <m:rPr>
                                <m:sty m:val="p"/>
                              </m:rPr>
                              <w:rPr>
                                <w:rFonts w:hint="eastAsia" w:ascii="Times New Roman" w:hAnsi="Times New Roman" w:eastAsia="宋体" w:cs="Times New Roman"/>
                                <w:color w:val="000000"/>
                                <w:sz w:val="24"/>
                                <w:szCs w:val="24"/>
                                <w:highlight w:val="none"/>
                                <w:lang w:val="en-US" w:eastAsia="zh-CN"/>
                              </w:rPr>
                              <m:t>L</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bSup>
                        <m:ctrlPr>
                          <w:rPr>
                            <w:rFonts w:hint="default" w:ascii="Cambria Math" w:hAnsi="Cambria Math" w:eastAsia="宋体" w:cs="Times New Roman"/>
                            <w:color w:val="000000"/>
                            <w:sz w:val="24"/>
                            <w:szCs w:val="24"/>
                            <w:highlight w:val="none"/>
                            <w:lang w:val="en-US" w:eastAsia="zh-CN"/>
                          </w:rPr>
                        </m:ctrlPr>
                      </m:den>
                    </m:f>
                    <m:r>
                      <m:rPr>
                        <m:sty m:val="p"/>
                      </m:rPr>
                      <w:rPr>
                        <w:rFonts w:hint="default" w:ascii="Times New Roman" w:hAnsi="Times New Roman" w:eastAsia="宋体" w:cs="Times New Roman"/>
                        <w:color w:val="000000"/>
                        <w:sz w:val="24"/>
                        <w:szCs w:val="24"/>
                        <w:highlight w:val="none"/>
                        <w:lang w:val="en-US" w:eastAsia="zh-CN"/>
                      </w:rPr>
                      <m:t>−</m:t>
                    </m:r>
                    <m:f>
                      <m:fPr>
                        <m:ctrlPr>
                          <w:rPr>
                            <w:rFonts w:hint="default" w:ascii="Cambria Math" w:hAnsi="Cambria Math" w:eastAsia="宋体" w:cs="Times New Roman"/>
                            <w:color w:val="000000"/>
                            <w:sz w:val="24"/>
                            <w:szCs w:val="24"/>
                            <w:highlight w:val="none"/>
                            <w:lang w:val="en-US" w:eastAsia="zh-CN"/>
                          </w:rPr>
                        </m:ctrlPr>
                      </m:fPr>
                      <m:num>
                        <m:r>
                          <m:rPr>
                            <m:sty m:val="p"/>
                          </m:rPr>
                          <w:rPr>
                            <w:rFonts w:hint="default" w:ascii="Times New Roman" w:hAnsi="Times New Roman" w:eastAsia="宋体" w:cs="Times New Roman"/>
                            <w:color w:val="000000"/>
                            <w:sz w:val="24"/>
                            <w:szCs w:val="24"/>
                            <w:highlight w:val="none"/>
                            <w:lang w:val="en-US" w:eastAsia="zh-CN"/>
                          </w:rPr>
                          <m:t>y−</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y</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num>
                      <m:den>
                        <m:sSup>
                          <m:sSupPr>
                            <m:ctrlPr>
                              <w:rPr>
                                <w:rFonts w:hint="default" w:ascii="Cambria Math" w:hAnsi="Cambria Math" w:eastAsia="宋体" w:cs="Times New Roman"/>
                                <w:color w:val="000000"/>
                                <w:sz w:val="24"/>
                                <w:szCs w:val="24"/>
                                <w:highlight w:val="none"/>
                                <w:lang w:val="en-US" w:eastAsia="zh-CN"/>
                              </w:rPr>
                            </m:ctrlPr>
                          </m:sSupPr>
                          <m:e>
                            <m:d>
                              <m:dPr>
                                <m:ctrlPr>
                                  <w:rPr>
                                    <w:rFonts w:hint="default" w:ascii="Cambria Math" w:hAnsi="Cambria Math" w:eastAsia="宋体" w:cs="Times New Roman"/>
                                    <w:color w:val="000000"/>
                                    <w:sz w:val="24"/>
                                    <w:szCs w:val="24"/>
                                    <w:highlight w:val="none"/>
                                    <w:lang w:val="en-US" w:eastAsia="zh-CN"/>
                                  </w:rPr>
                                </m:ctrlPr>
                              </m:dPr>
                              <m:e>
                                <m:sSubSup>
                                  <m:sSubSupPr>
                                    <m:ctrlPr>
                                      <w:rPr>
                                        <w:rFonts w:hint="default" w:ascii="Cambria Math" w:hAnsi="Cambria Math" w:eastAsia="宋体" w:cs="Times New Roman"/>
                                        <w:color w:val="000000"/>
                                        <w:sz w:val="24"/>
                                        <w:szCs w:val="24"/>
                                        <w:highlight w:val="none"/>
                                        <w:lang w:val="en-US" w:eastAsia="zh-CN"/>
                                      </w:rPr>
                                    </m:ctrlPr>
                                  </m:sSubSupPr>
                                  <m:e>
                                    <m:r>
                                      <m:rPr>
                                        <m:sty m:val="p"/>
                                      </m:rPr>
                                      <w:rPr>
                                        <w:rFonts w:hint="eastAsia" w:ascii="Times New Roman" w:hAnsi="Times New Roman" w:eastAsia="宋体" w:cs="Times New Roman"/>
                                        <w:color w:val="000000"/>
                                        <w:sz w:val="24"/>
                                        <w:szCs w:val="24"/>
                                        <w:highlight w:val="none"/>
                                        <w:lang w:val="en-US" w:eastAsia="zh-CN"/>
                                      </w:rPr>
                                      <m:t>L</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m:t>
                                    </m:r>
                                    <m:ctrlPr>
                                      <w:rPr>
                                        <w:rFonts w:hint="default" w:ascii="Cambria Math" w:hAnsi="Cambria Math" w:eastAsia="宋体" w:cs="Times New Roman"/>
                                        <w:color w:val="000000"/>
                                        <w:sz w:val="24"/>
                                        <w:szCs w:val="24"/>
                                        <w:highlight w:val="none"/>
                                        <w:lang w:val="en-US" w:eastAsia="zh-CN"/>
                                      </w:rPr>
                                    </m:ctrlPr>
                                  </m:sup>
                                </m:sSubSup>
                                <m:ctrlPr>
                                  <w:rPr>
                                    <w:rFonts w:hint="default" w:ascii="Cambria Math" w:hAnsi="Cambria Math" w:eastAsia="宋体" w:cs="Times New Roman"/>
                                    <w:color w:val="000000"/>
                                    <w:sz w:val="24"/>
                                    <w:szCs w:val="24"/>
                                    <w:highlight w:val="none"/>
                                    <w:lang w:val="en-US" w:eastAsia="zh-CN"/>
                                  </w:rPr>
                                </m:ctrlPr>
                              </m:e>
                            </m:d>
                            <m:ctrlPr>
                              <w:rPr>
                                <w:rFonts w:hint="default" w:ascii="Cambria Math" w:hAnsi="Cambria Math" w:eastAsia="宋体" w:cs="Times New Roman"/>
                                <w:color w:val="000000"/>
                                <w:sz w:val="24"/>
                                <w:szCs w:val="24"/>
                                <w:highlight w:val="none"/>
                                <w:lang w:val="en-US" w:eastAsia="zh-CN"/>
                              </w:rPr>
                            </m:ctrlPr>
                          </m:e>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p>
                        <m:ctrlPr>
                          <w:rPr>
                            <w:rFonts w:hint="default" w:ascii="Cambria Math" w:hAnsi="Cambria Math" w:eastAsia="宋体" w:cs="Times New Roman"/>
                            <w:color w:val="000000"/>
                            <w:sz w:val="24"/>
                            <w:szCs w:val="24"/>
                            <w:highlight w:val="none"/>
                            <w:lang w:val="en-US" w:eastAsia="zh-CN"/>
                          </w:rPr>
                        </m:ctrlPr>
                      </m:den>
                    </m:f>
                    <m:ctrlPr>
                      <w:rPr>
                        <w:rFonts w:hint="default" w:ascii="Cambria Math" w:hAnsi="Cambria Math" w:eastAsia="宋体" w:cs="Times New Roman"/>
                        <w:color w:val="000000"/>
                        <w:sz w:val="24"/>
                        <w:szCs w:val="24"/>
                        <w:highlight w:val="none"/>
                        <w:lang w:val="en-US" w:eastAsia="zh-CN"/>
                      </w:rPr>
                    </m:ctrlPr>
                  </m:e>
                </m:d>
              </m:oMath>
            </m:oMathPara>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式中：xi、yi—导线i的坐标（i=1、2、…m）；</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m—导线数目；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Li、L`i—分别为导线i及其镜像至计算点的距离。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对于三相交流线路，可根据求得的电荷计算空间任一点电场强度的水平和垂直分量为：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Para>
              <m:oMathParaPr>
                <m:jc m:val="center"/>
              </m:oMathParaPr>
              <m:oMath>
                <m:acc>
                  <m:accPr>
                    <m:chr m:val="̅"/>
                    <m:ctrlPr>
                      <w:rPr>
                        <w:rFonts w:hint="default" w:ascii="Cambria Math" w:hAnsi="Cambria Math" w:eastAsia="宋体" w:cs="Times New Roman"/>
                        <w:color w:val="000000"/>
                        <w:sz w:val="24"/>
                        <w:szCs w:val="24"/>
                        <w:highlight w:val="none"/>
                        <w:lang w:val="en-US" w:eastAsia="zh-CN"/>
                      </w:rPr>
                    </m:ctrlPr>
                  </m:accP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acc>
                <m:r>
                  <m:rPr>
                    <m:sty m:val="p"/>
                  </m:rPr>
                  <w:rPr>
                    <w:rFonts w:hint="default" w:ascii="Times New Roman" w:hAnsi="Times New Roman" w:eastAsia="宋体" w:cs="Times New Roman"/>
                    <w:color w:val="000000"/>
                    <w:sz w:val="24"/>
                    <w:szCs w:val="24"/>
                    <w:highlight w:val="none"/>
                    <w:lang w:val="en-US" w:eastAsia="zh-CN"/>
                  </w:rPr>
                  <m:t>=</m:t>
                </m:r>
                <m:nary>
                  <m:naryPr>
                    <m:chr m:val="∑"/>
                    <m:limLoc m:val="undOvr"/>
                    <m:ctrlPr>
                      <w:rPr>
                        <w:rFonts w:hint="default" w:ascii="Cambria Math" w:hAnsi="Cambria Math" w:eastAsia="宋体" w:cs="Times New Roman"/>
                        <w:color w:val="000000"/>
                        <w:sz w:val="24"/>
                        <w:szCs w:val="24"/>
                        <w:highlight w:val="none"/>
                        <w:lang w:val="en-US" w:eastAsia="zh-CN"/>
                      </w:rPr>
                    </m:ctrlPr>
                  </m:naryPr>
                  <m:sub>
                    <m:r>
                      <m:rPr>
                        <m:sty m:val="p"/>
                      </m:rPr>
                      <w:rPr>
                        <w:rFonts w:hint="default" w:ascii="Times New Roman" w:hAnsi="Times New Roman" w:eastAsia="宋体" w:cs="Times New Roman"/>
                        <w:color w:val="000000"/>
                        <w:sz w:val="24"/>
                        <w:szCs w:val="24"/>
                        <w:highlight w:val="none"/>
                        <w:lang w:val="en-US" w:eastAsia="zh-CN"/>
                      </w:rPr>
                      <m:t>i=1</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m</m:t>
                    </m:r>
                    <m:ctrlPr>
                      <w:rPr>
                        <w:rFonts w:hint="default" w:ascii="Cambria Math" w:hAnsi="Cambria Math" w:eastAsia="宋体" w:cs="Times New Roman"/>
                        <w:color w:val="000000"/>
                        <w:sz w:val="24"/>
                        <w:szCs w:val="24"/>
                        <w:highlight w:val="none"/>
                        <w:lang w:val="en-US" w:eastAsia="zh-CN"/>
                      </w:rPr>
                    </m:ctrlPr>
                  </m:sup>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ixR</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nary>
                <m:r>
                  <m:rPr>
                    <m:sty m:val="p"/>
                  </m:rPr>
                  <w:rPr>
                    <w:rFonts w:hint="default" w:ascii="Times New Roman" w:hAnsi="Times New Roman" w:eastAsia="宋体" w:cs="Times New Roman"/>
                    <w:color w:val="000000"/>
                    <w:sz w:val="24"/>
                    <w:szCs w:val="24"/>
                    <w:highlight w:val="none"/>
                    <w:lang w:val="en-US" w:eastAsia="zh-CN"/>
                  </w:rPr>
                  <m:t>+j</m:t>
                </m:r>
                <m:nary>
                  <m:naryPr>
                    <m:chr m:val="∑"/>
                    <m:limLoc m:val="undOvr"/>
                    <m:ctrlPr>
                      <w:rPr>
                        <w:rFonts w:hint="default" w:ascii="Cambria Math" w:hAnsi="Cambria Math" w:eastAsia="宋体" w:cs="Times New Roman"/>
                        <w:color w:val="000000"/>
                        <w:sz w:val="24"/>
                        <w:szCs w:val="24"/>
                        <w:highlight w:val="none"/>
                        <w:lang w:val="en-US" w:eastAsia="zh-CN"/>
                      </w:rPr>
                    </m:ctrlPr>
                  </m:naryPr>
                  <m:sub>
                    <m:r>
                      <m:rPr>
                        <m:sty m:val="p"/>
                      </m:rPr>
                      <w:rPr>
                        <w:rFonts w:hint="default" w:ascii="Times New Roman" w:hAnsi="Times New Roman" w:eastAsia="宋体" w:cs="Times New Roman"/>
                        <w:color w:val="000000"/>
                        <w:sz w:val="24"/>
                        <w:szCs w:val="24"/>
                        <w:highlight w:val="none"/>
                        <w:lang w:val="en-US" w:eastAsia="zh-CN"/>
                      </w:rPr>
                      <m:t>i=1</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m</m:t>
                    </m:r>
                    <m:ctrlPr>
                      <w:rPr>
                        <w:rFonts w:hint="default" w:ascii="Cambria Math" w:hAnsi="Cambria Math" w:eastAsia="宋体" w:cs="Times New Roman"/>
                        <w:color w:val="000000"/>
                        <w:sz w:val="24"/>
                        <w:szCs w:val="24"/>
                        <w:highlight w:val="none"/>
                        <w:lang w:val="en-US" w:eastAsia="zh-CN"/>
                      </w:rPr>
                    </m:ctrlPr>
                  </m:sup>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ixI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nary>
                <m:r>
                  <m:rPr>
                    <m:sty m:val="p"/>
                  </m:rPr>
                  <w:rPr>
                    <w:rFonts w:hint="default" w:ascii="Times New Roman" w:hAnsi="Times New Roman" w:eastAsia="宋体" w:cs="Times New Roman"/>
                    <w:color w:val="000000"/>
                    <w:sz w:val="24"/>
                    <w:szCs w:val="24"/>
                    <w:highlight w:val="none"/>
                    <w:lang w:val="en-US" w:eastAsia="zh-CN"/>
                  </w:rPr>
                  <m:t>=</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xR</m:t>
                    </m:r>
                    <m:ctrlPr>
                      <w:rPr>
                        <w:rFonts w:hint="default" w:ascii="Cambria Math" w:hAnsi="Cambria Math" w:eastAsia="宋体" w:cs="Times New Roman"/>
                        <w:color w:val="000000"/>
                        <w:sz w:val="24"/>
                        <w:szCs w:val="24"/>
                        <w:highlight w:val="none"/>
                        <w:lang w:val="en-US" w:eastAsia="zh-CN"/>
                      </w:rPr>
                    </m:ctrlPr>
                  </m:sub>
                </m:sSub>
                <m:r>
                  <m:rPr>
                    <m:sty m:val="p"/>
                  </m:rPr>
                  <w:rPr>
                    <w:rFonts w:hint="default" w:ascii="Times New Roman" w:hAnsi="Times New Roman" w:eastAsia="宋体" w:cs="Times New Roman"/>
                    <w:color w:val="000000"/>
                    <w:sz w:val="24"/>
                    <w:szCs w:val="24"/>
                    <w:highlight w:val="none"/>
                    <w:lang w:val="en-US" w:eastAsia="zh-CN"/>
                  </w:rPr>
                  <m:t>+j</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xI</m:t>
                    </m:r>
                    <m:ctrlPr>
                      <w:rPr>
                        <w:rFonts w:hint="default" w:ascii="Cambria Math" w:hAnsi="Cambria Math" w:eastAsia="宋体" w:cs="Times New Roman"/>
                        <w:color w:val="000000"/>
                        <w:sz w:val="24"/>
                        <w:szCs w:val="24"/>
                        <w:highlight w:val="none"/>
                        <w:lang w:val="en-US" w:eastAsia="zh-CN"/>
                      </w:rPr>
                    </m:ctrlPr>
                  </m:sub>
                </m:sSub>
              </m:oMath>
            </m:oMathPara>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Para>
              <m:oMathParaPr>
                <m:jc m:val="center"/>
              </m:oMathParaPr>
              <m:oMath>
                <m:acc>
                  <m:accPr>
                    <m:chr m:val="̅"/>
                    <m:ctrlPr>
                      <w:rPr>
                        <w:rFonts w:hint="default" w:ascii="Cambria Math" w:hAnsi="Cambria Math" w:eastAsia="宋体" w:cs="Times New Roman"/>
                        <w:color w:val="000000"/>
                        <w:sz w:val="24"/>
                        <w:szCs w:val="24"/>
                        <w:highlight w:val="none"/>
                        <w:lang w:val="en-US" w:eastAsia="zh-CN"/>
                      </w:rPr>
                    </m:ctrlPr>
                  </m:accP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acc>
                <m:r>
                  <m:rPr>
                    <m:sty m:val="p"/>
                  </m:rPr>
                  <w:rPr>
                    <w:rFonts w:hint="default" w:ascii="Times New Roman" w:hAnsi="Times New Roman" w:eastAsia="宋体" w:cs="Times New Roman"/>
                    <w:color w:val="000000"/>
                    <w:sz w:val="24"/>
                    <w:szCs w:val="24"/>
                    <w:highlight w:val="none"/>
                    <w:lang w:val="en-US" w:eastAsia="zh-CN"/>
                  </w:rPr>
                  <m:t>=</m:t>
                </m:r>
                <m:nary>
                  <m:naryPr>
                    <m:chr m:val="∑"/>
                    <m:limLoc m:val="undOvr"/>
                    <m:ctrlPr>
                      <w:rPr>
                        <w:rFonts w:hint="default" w:ascii="Cambria Math" w:hAnsi="Cambria Math" w:eastAsia="宋体" w:cs="Times New Roman"/>
                        <w:color w:val="000000"/>
                        <w:sz w:val="24"/>
                        <w:szCs w:val="24"/>
                        <w:highlight w:val="none"/>
                        <w:lang w:val="en-US" w:eastAsia="zh-CN"/>
                      </w:rPr>
                    </m:ctrlPr>
                  </m:naryPr>
                  <m:sub>
                    <m:r>
                      <m:rPr>
                        <m:sty m:val="p"/>
                      </m:rPr>
                      <w:rPr>
                        <w:rFonts w:hint="default" w:ascii="Times New Roman" w:hAnsi="Times New Roman" w:eastAsia="宋体" w:cs="Times New Roman"/>
                        <w:color w:val="000000"/>
                        <w:sz w:val="24"/>
                        <w:szCs w:val="24"/>
                        <w:highlight w:val="none"/>
                        <w:lang w:val="en-US" w:eastAsia="zh-CN"/>
                      </w:rPr>
                      <m:t>i=1</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m</m:t>
                    </m:r>
                    <m:ctrlPr>
                      <w:rPr>
                        <w:rFonts w:hint="default" w:ascii="Cambria Math" w:hAnsi="Cambria Math" w:eastAsia="宋体" w:cs="Times New Roman"/>
                        <w:color w:val="000000"/>
                        <w:sz w:val="24"/>
                        <w:szCs w:val="24"/>
                        <w:highlight w:val="none"/>
                        <w:lang w:val="en-US" w:eastAsia="zh-CN"/>
                      </w:rPr>
                    </m:ctrlPr>
                  </m:sup>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iyR</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nary>
                <m:r>
                  <m:rPr>
                    <m:sty m:val="p"/>
                  </m:rPr>
                  <w:rPr>
                    <w:rFonts w:hint="default" w:ascii="Times New Roman" w:hAnsi="Times New Roman" w:eastAsia="宋体" w:cs="Times New Roman"/>
                    <w:color w:val="000000"/>
                    <w:sz w:val="24"/>
                    <w:szCs w:val="24"/>
                    <w:highlight w:val="none"/>
                    <w:lang w:val="en-US" w:eastAsia="zh-CN"/>
                  </w:rPr>
                  <m:t>+j</m:t>
                </m:r>
                <m:nary>
                  <m:naryPr>
                    <m:chr m:val="∑"/>
                    <m:limLoc m:val="undOvr"/>
                    <m:ctrlPr>
                      <w:rPr>
                        <w:rFonts w:hint="default" w:ascii="Cambria Math" w:hAnsi="Cambria Math" w:eastAsia="宋体" w:cs="Times New Roman"/>
                        <w:color w:val="000000"/>
                        <w:sz w:val="24"/>
                        <w:szCs w:val="24"/>
                        <w:highlight w:val="none"/>
                        <w:lang w:val="en-US" w:eastAsia="zh-CN"/>
                      </w:rPr>
                    </m:ctrlPr>
                  </m:naryPr>
                  <m:sub>
                    <m:r>
                      <m:rPr>
                        <m:sty m:val="p"/>
                      </m:rPr>
                      <w:rPr>
                        <w:rFonts w:hint="default" w:ascii="Times New Roman" w:hAnsi="Times New Roman" w:eastAsia="宋体" w:cs="Times New Roman"/>
                        <w:color w:val="000000"/>
                        <w:sz w:val="24"/>
                        <w:szCs w:val="24"/>
                        <w:highlight w:val="none"/>
                        <w:lang w:val="en-US" w:eastAsia="zh-CN"/>
                      </w:rPr>
                      <m:t>i=1</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m</m:t>
                    </m:r>
                    <m:ctrlPr>
                      <w:rPr>
                        <w:rFonts w:hint="default" w:ascii="Cambria Math" w:hAnsi="Cambria Math" w:eastAsia="宋体" w:cs="Times New Roman"/>
                        <w:color w:val="000000"/>
                        <w:sz w:val="24"/>
                        <w:szCs w:val="24"/>
                        <w:highlight w:val="none"/>
                        <w:lang w:val="en-US" w:eastAsia="zh-CN"/>
                      </w:rPr>
                    </m:ctrlPr>
                  </m:sup>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iyI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nary>
                <m:r>
                  <m:rPr>
                    <m:sty m:val="p"/>
                  </m:rPr>
                  <w:rPr>
                    <w:rFonts w:hint="default" w:ascii="Times New Roman" w:hAnsi="Times New Roman" w:eastAsia="宋体" w:cs="Times New Roman"/>
                    <w:color w:val="000000"/>
                    <w:sz w:val="24"/>
                    <w:szCs w:val="24"/>
                    <w:highlight w:val="none"/>
                    <w:lang w:val="en-US" w:eastAsia="zh-CN"/>
                  </w:rPr>
                  <m:t>=</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yR</m:t>
                    </m:r>
                    <m:ctrlPr>
                      <w:rPr>
                        <w:rFonts w:hint="default" w:ascii="Cambria Math" w:hAnsi="Cambria Math" w:eastAsia="宋体" w:cs="Times New Roman"/>
                        <w:color w:val="000000"/>
                        <w:sz w:val="24"/>
                        <w:szCs w:val="24"/>
                        <w:highlight w:val="none"/>
                        <w:lang w:val="en-US" w:eastAsia="zh-CN"/>
                      </w:rPr>
                    </m:ctrlPr>
                  </m:sub>
                </m:sSub>
                <m:r>
                  <m:rPr>
                    <m:sty m:val="p"/>
                  </m:rPr>
                  <w:rPr>
                    <w:rFonts w:hint="default" w:ascii="Times New Roman" w:hAnsi="Times New Roman" w:eastAsia="宋体" w:cs="Times New Roman"/>
                    <w:color w:val="000000"/>
                    <w:sz w:val="24"/>
                    <w:szCs w:val="24"/>
                    <w:highlight w:val="none"/>
                    <w:lang w:val="en-US" w:eastAsia="zh-CN"/>
                  </w:rPr>
                  <m:t>+j</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yI</m:t>
                    </m:r>
                    <m:ctrlPr>
                      <w:rPr>
                        <w:rFonts w:hint="default" w:ascii="Cambria Math" w:hAnsi="Cambria Math" w:eastAsia="宋体" w:cs="Times New Roman"/>
                        <w:color w:val="000000"/>
                        <w:sz w:val="24"/>
                        <w:szCs w:val="24"/>
                        <w:highlight w:val="none"/>
                        <w:lang w:val="en-US" w:eastAsia="zh-CN"/>
                      </w:rPr>
                    </m:ctrlPr>
                  </m:sub>
                </m:sSub>
              </m:oMath>
            </m:oMathPara>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式中：</w:t>
            </w:r>
            <m:oMath>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xR</m:t>
                  </m:r>
                  <m:ctrlPr>
                    <w:rPr>
                      <w:rFonts w:hint="default" w:ascii="Cambria Math" w:hAnsi="Cambria Math" w:eastAsia="宋体" w:cs="Times New Roman"/>
                      <w:color w:val="000000"/>
                      <w:sz w:val="24"/>
                      <w:szCs w:val="24"/>
                      <w:highlight w:val="none"/>
                      <w:lang w:val="en-US" w:eastAsia="zh-CN"/>
                    </w:rPr>
                  </m:ctrlPr>
                </m:sub>
              </m:sSub>
            </m:oMath>
            <w:r>
              <w:rPr>
                <w:rFonts w:hint="default" w:ascii="Times New Roman" w:hAnsi="Times New Roman" w:eastAsia="宋体" w:cs="Times New Roman"/>
                <w:color w:val="000000"/>
                <w:sz w:val="24"/>
                <w:szCs w:val="24"/>
                <w:highlight w:val="none"/>
                <w:lang w:val="en-US" w:eastAsia="zh-CN"/>
              </w:rPr>
              <w:t>—由各导线的实部电荷在该点产生场强的水平分量；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xI</m:t>
                  </m:r>
                  <m:ctrlPr>
                    <w:rPr>
                      <w:rFonts w:hint="default" w:ascii="Cambria Math" w:hAnsi="Cambria Math" w:eastAsia="宋体" w:cs="Times New Roman"/>
                      <w:color w:val="000000"/>
                      <w:sz w:val="24"/>
                      <w:szCs w:val="24"/>
                      <w:highlight w:val="none"/>
                      <w:lang w:val="en-US" w:eastAsia="zh-CN"/>
                    </w:rPr>
                  </m:ctrlPr>
                </m:sub>
              </m:sSub>
            </m:oMath>
            <w:r>
              <w:rPr>
                <w:rFonts w:hint="default" w:ascii="Times New Roman" w:hAnsi="Times New Roman" w:eastAsia="宋体" w:cs="Times New Roman"/>
                <w:color w:val="000000"/>
                <w:sz w:val="24"/>
                <w:szCs w:val="24"/>
                <w:highlight w:val="none"/>
                <w:lang w:val="en-US" w:eastAsia="zh-CN"/>
              </w:rPr>
              <w:t>—由各导线的虚部电荷在该点产生场强的水平分量；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yR</m:t>
                  </m:r>
                  <m:ctrlPr>
                    <w:rPr>
                      <w:rFonts w:hint="default" w:ascii="Cambria Math" w:hAnsi="Cambria Math" w:eastAsia="宋体" w:cs="Times New Roman"/>
                      <w:color w:val="000000"/>
                      <w:sz w:val="24"/>
                      <w:szCs w:val="24"/>
                      <w:highlight w:val="none"/>
                      <w:lang w:val="en-US" w:eastAsia="zh-CN"/>
                    </w:rPr>
                  </m:ctrlPr>
                </m:sub>
              </m:sSub>
            </m:oMath>
            <w:r>
              <w:rPr>
                <w:rFonts w:hint="default" w:ascii="Times New Roman" w:hAnsi="Times New Roman" w:eastAsia="宋体" w:cs="Times New Roman"/>
                <w:color w:val="000000"/>
                <w:sz w:val="24"/>
                <w:szCs w:val="24"/>
                <w:highlight w:val="none"/>
                <w:lang w:val="en-US" w:eastAsia="zh-CN"/>
              </w:rPr>
              <w:t>—由各导线的实部电荷在该点产生场强的垂直分量；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yI</m:t>
                  </m:r>
                  <m:ctrlPr>
                    <w:rPr>
                      <w:rFonts w:hint="default" w:ascii="Cambria Math" w:hAnsi="Cambria Math" w:eastAsia="宋体" w:cs="Times New Roman"/>
                      <w:color w:val="000000"/>
                      <w:sz w:val="24"/>
                      <w:szCs w:val="24"/>
                      <w:highlight w:val="none"/>
                      <w:lang w:val="en-US" w:eastAsia="zh-CN"/>
                    </w:rPr>
                  </m:ctrlPr>
                </m:sub>
              </m:sSub>
            </m:oMath>
            <w:r>
              <w:rPr>
                <w:rFonts w:hint="default" w:ascii="Times New Roman" w:hAnsi="Times New Roman" w:eastAsia="宋体" w:cs="Times New Roman"/>
                <w:color w:val="000000"/>
                <w:sz w:val="24"/>
                <w:szCs w:val="24"/>
                <w:highlight w:val="none"/>
                <w:lang w:val="en-US" w:eastAsia="zh-CN"/>
              </w:rPr>
              <w:t>—由各导线的虚部电荷在该点产生场强的垂直分量。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该</w:t>
            </w:r>
            <w:r>
              <w:rPr>
                <w:rFonts w:hint="default" w:ascii="Times New Roman" w:hAnsi="Times New Roman" w:eastAsia="宋体" w:cs="Times New Roman"/>
                <w:color w:val="000000"/>
                <w:sz w:val="24"/>
                <w:szCs w:val="24"/>
                <w:highlight w:val="none"/>
                <w:lang w:val="en-US" w:eastAsia="zh-CN"/>
              </w:rPr>
              <w:t>点的合成的电场强度则为：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Para>
              <m:oMathParaPr>
                <m:jc m:val="center"/>
              </m:oMathParaPr>
              <m:oMath>
                <m:acc>
                  <m:accPr>
                    <m:chr m:val="̅"/>
                    <m:ctrlPr>
                      <w:rPr>
                        <w:rFonts w:hint="default" w:ascii="Cambria Math" w:hAnsi="Cambria Math" w:eastAsia="宋体" w:cs="Times New Roman"/>
                        <w:color w:val="000000"/>
                        <w:sz w:val="24"/>
                        <w:szCs w:val="24"/>
                        <w:highlight w:val="none"/>
                        <w:lang w:val="en-US" w:eastAsia="zh-CN"/>
                      </w:rPr>
                    </m:ctrlPr>
                  </m:accPr>
                  <m:e>
                    <m:r>
                      <m:rPr>
                        <m:sty m:val="p"/>
                      </m:rPr>
                      <w:rPr>
                        <w:rFonts w:hint="eastAsia"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acc>
                <m:r>
                  <m:rPr>
                    <m:sty m:val="p"/>
                  </m:rPr>
                  <w:rPr>
                    <w:rFonts w:hint="default" w:ascii="Times New Roman" w:hAnsi="Times New Roman" w:eastAsia="宋体" w:cs="Times New Roman"/>
                    <w:color w:val="000000"/>
                    <w:sz w:val="24"/>
                    <w:szCs w:val="24"/>
                    <w:highlight w:val="none"/>
                    <w:lang w:val="en-US" w:eastAsia="zh-CN"/>
                  </w:rPr>
                  <m:t>=</m:t>
                </m:r>
                <m:d>
                  <m:dPr>
                    <m:ctrlPr>
                      <w:rPr>
                        <w:rFonts w:hint="default" w:ascii="Cambria Math" w:hAnsi="Cambria Math" w:eastAsia="宋体" w:cs="Times New Roman"/>
                        <w:color w:val="000000"/>
                        <w:sz w:val="24"/>
                        <w:szCs w:val="24"/>
                        <w:highlight w:val="none"/>
                        <w:lang w:val="en-US" w:eastAsia="zh-CN"/>
                      </w:rPr>
                    </m:ctrlPr>
                  </m:dP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xR</m:t>
                        </m:r>
                        <m:ctrlPr>
                          <w:rPr>
                            <w:rFonts w:hint="default" w:ascii="Cambria Math" w:hAnsi="Cambria Math" w:eastAsia="宋体" w:cs="Times New Roman"/>
                            <w:color w:val="000000"/>
                            <w:sz w:val="24"/>
                            <w:szCs w:val="24"/>
                            <w:highlight w:val="none"/>
                            <w:lang w:val="en-US" w:eastAsia="zh-CN"/>
                          </w:rPr>
                        </m:ctrlPr>
                      </m:sub>
                    </m:sSub>
                    <m:r>
                      <m:rPr>
                        <m:sty m:val="p"/>
                      </m:rPr>
                      <w:rPr>
                        <w:rFonts w:hint="default" w:ascii="Times New Roman" w:hAnsi="Times New Roman" w:eastAsia="宋体" w:cs="Times New Roman"/>
                        <w:color w:val="000000"/>
                        <w:sz w:val="24"/>
                        <w:szCs w:val="24"/>
                        <w:highlight w:val="none"/>
                        <w:lang w:val="en-US" w:eastAsia="zh-CN"/>
                      </w:rPr>
                      <m:t>+j</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d>
                <m:acc>
                  <m:accPr>
                    <m:chr m:val="̅"/>
                    <m:ctrlPr>
                      <w:rPr>
                        <w:rFonts w:hint="default" w:ascii="Cambria Math" w:hAnsi="Cambria Math" w:eastAsia="宋体" w:cs="Times New Roman"/>
                        <w:color w:val="000000"/>
                        <w:sz w:val="24"/>
                        <w:szCs w:val="24"/>
                        <w:highlight w:val="none"/>
                        <w:lang w:val="en-US" w:eastAsia="zh-CN"/>
                      </w:rPr>
                    </m:ctrlPr>
                  </m:accPr>
                  <m:e>
                    <m:r>
                      <m:rPr>
                        <m:sty m:val="p"/>
                      </m:rPr>
                      <w:rPr>
                        <w:rFonts w:hint="default" w:ascii="Times New Roman" w:hAnsi="Times New Roman" w:eastAsia="宋体" w:cs="Times New Roman"/>
                        <w:color w:val="000000"/>
                        <w:sz w:val="24"/>
                        <w:szCs w:val="24"/>
                        <w:highlight w:val="none"/>
                        <w:lang w:val="en-US" w:eastAsia="zh-CN"/>
                      </w:rPr>
                      <m:t>x</m:t>
                    </m:r>
                    <m:ctrlPr>
                      <w:rPr>
                        <w:rFonts w:hint="default" w:ascii="Cambria Math" w:hAnsi="Cambria Math" w:eastAsia="宋体" w:cs="Times New Roman"/>
                        <w:color w:val="000000"/>
                        <w:sz w:val="24"/>
                        <w:szCs w:val="24"/>
                        <w:highlight w:val="none"/>
                        <w:lang w:val="en-US" w:eastAsia="zh-CN"/>
                      </w:rPr>
                    </m:ctrlPr>
                  </m:e>
                </m:acc>
                <m:r>
                  <m:rPr>
                    <m:sty m:val="p"/>
                  </m:rPr>
                  <w:rPr>
                    <w:rFonts w:hint="default" w:ascii="Times New Roman" w:hAnsi="Times New Roman" w:eastAsia="宋体" w:cs="Times New Roman"/>
                    <w:color w:val="000000"/>
                    <w:sz w:val="24"/>
                    <w:szCs w:val="24"/>
                    <w:highlight w:val="none"/>
                    <w:lang w:val="en-US" w:eastAsia="zh-CN"/>
                  </w:rPr>
                  <m:t>+</m:t>
                </m:r>
                <m:d>
                  <m:dPr>
                    <m:ctrlPr>
                      <w:rPr>
                        <w:rFonts w:hint="default" w:ascii="Cambria Math" w:hAnsi="Cambria Math" w:eastAsia="宋体" w:cs="Times New Roman"/>
                        <w:color w:val="000000"/>
                        <w:sz w:val="24"/>
                        <w:szCs w:val="24"/>
                        <w:highlight w:val="none"/>
                        <w:lang w:val="en-US" w:eastAsia="zh-CN"/>
                      </w:rPr>
                    </m:ctrlPr>
                  </m:dP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yR</m:t>
                        </m:r>
                        <m:ctrlPr>
                          <w:rPr>
                            <w:rFonts w:hint="default" w:ascii="Cambria Math" w:hAnsi="Cambria Math" w:eastAsia="宋体" w:cs="Times New Roman"/>
                            <w:color w:val="000000"/>
                            <w:sz w:val="24"/>
                            <w:szCs w:val="24"/>
                            <w:highlight w:val="none"/>
                            <w:lang w:val="en-US" w:eastAsia="zh-CN"/>
                          </w:rPr>
                        </m:ctrlPr>
                      </m:sub>
                    </m:sSub>
                    <m:r>
                      <m:rPr>
                        <m:sty m:val="p"/>
                      </m:rPr>
                      <w:rPr>
                        <w:rFonts w:hint="default" w:ascii="Times New Roman" w:hAnsi="Times New Roman" w:eastAsia="宋体" w:cs="Times New Roman"/>
                        <w:color w:val="000000"/>
                        <w:sz w:val="24"/>
                        <w:szCs w:val="24"/>
                        <w:highlight w:val="none"/>
                        <w:lang w:val="en-US" w:eastAsia="zh-CN"/>
                      </w:rPr>
                      <m:t>+j</m:t>
                    </m:r>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yI</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d>
                <m:acc>
                  <m:accPr>
                    <m:chr m:val="̅"/>
                    <m:ctrlPr>
                      <w:rPr>
                        <w:rFonts w:hint="default" w:ascii="Cambria Math" w:hAnsi="Cambria Math" w:eastAsia="宋体" w:cs="Times New Roman"/>
                        <w:color w:val="000000"/>
                        <w:sz w:val="24"/>
                        <w:szCs w:val="24"/>
                        <w:highlight w:val="none"/>
                        <w:lang w:val="en-US" w:eastAsia="zh-CN"/>
                      </w:rPr>
                    </m:ctrlPr>
                  </m:accPr>
                  <m:e>
                    <m:r>
                      <m:rPr>
                        <m:sty m:val="p"/>
                      </m:rPr>
                      <w:rPr>
                        <w:rFonts w:hint="default" w:ascii="Times New Roman" w:hAnsi="Times New Roman" w:eastAsia="宋体" w:cs="Times New Roman"/>
                        <w:color w:val="000000"/>
                        <w:sz w:val="24"/>
                        <w:szCs w:val="24"/>
                        <w:highlight w:val="none"/>
                        <w:lang w:val="en-US" w:eastAsia="zh-CN"/>
                      </w:rPr>
                      <m:t>y</m:t>
                    </m:r>
                    <m:ctrlPr>
                      <w:rPr>
                        <w:rFonts w:hint="default" w:ascii="Cambria Math" w:hAnsi="Cambria Math" w:eastAsia="宋体" w:cs="Times New Roman"/>
                        <w:color w:val="000000"/>
                        <w:sz w:val="24"/>
                        <w:szCs w:val="24"/>
                        <w:highlight w:val="none"/>
                        <w:lang w:val="en-US" w:eastAsia="zh-CN"/>
                      </w:rPr>
                    </m:ctrlPr>
                  </m:e>
                </m:acc>
                <m:r>
                  <m:rPr>
                    <m:sty m:val="p"/>
                  </m:rPr>
                  <w:rPr>
                    <w:rFonts w:hint="default" w:ascii="Times New Roman" w:hAnsi="Times New Roman" w:eastAsia="宋体" w:cs="Times New Roman"/>
                    <w:color w:val="000000"/>
                    <w:sz w:val="24"/>
                    <w:szCs w:val="24"/>
                    <w:highlight w:val="none"/>
                    <w:lang w:val="en-US" w:eastAsia="zh-CN"/>
                  </w:rPr>
                  <m:t>=</m:t>
                </m:r>
                <m:acc>
                  <m:accPr>
                    <m:chr m:val="̅"/>
                    <m:ctrlPr>
                      <w:rPr>
                        <w:rFonts w:hint="default" w:ascii="Cambria Math" w:hAnsi="Cambria Math" w:eastAsia="宋体" w:cs="Times New Roman"/>
                        <w:color w:val="000000"/>
                        <w:sz w:val="24"/>
                        <w:szCs w:val="24"/>
                        <w:highlight w:val="none"/>
                        <w:lang w:val="en-US" w:eastAsia="zh-CN"/>
                      </w:rPr>
                    </m:ctrlPr>
                  </m:accP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acc>
                <m:r>
                  <m:rPr>
                    <m:sty m:val="p"/>
                  </m:rPr>
                  <w:rPr>
                    <w:rFonts w:hint="default" w:ascii="Times New Roman" w:hAnsi="Times New Roman" w:eastAsia="宋体" w:cs="Times New Roman"/>
                    <w:color w:val="000000"/>
                    <w:sz w:val="24"/>
                    <w:szCs w:val="24"/>
                    <w:highlight w:val="none"/>
                    <w:lang w:val="en-US" w:eastAsia="zh-CN"/>
                  </w:rPr>
                  <m:t>+</m:t>
                </m:r>
                <m:acc>
                  <m:accPr>
                    <m:chr m:val="̅"/>
                    <m:ctrlPr>
                      <w:rPr>
                        <w:rFonts w:hint="default" w:ascii="Cambria Math" w:hAnsi="Cambria Math" w:eastAsia="宋体" w:cs="Times New Roman"/>
                        <w:color w:val="000000"/>
                        <w:sz w:val="24"/>
                        <w:szCs w:val="24"/>
                        <w:highlight w:val="none"/>
                        <w:lang w:val="en-US" w:eastAsia="zh-CN"/>
                      </w:rPr>
                    </m:ctrlPr>
                  </m:accPr>
                  <m:e>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m:t>
                        </m:r>
                        <m:ctrlPr>
                          <w:rPr>
                            <w:rFonts w:hint="default" w:ascii="Cambria Math" w:hAnsi="Cambria Math" w:eastAsia="宋体" w:cs="Times New Roman"/>
                            <w:color w:val="000000"/>
                            <w:sz w:val="24"/>
                            <w:szCs w:val="24"/>
                            <w:highlight w:val="none"/>
                            <w:lang w:val="en-US" w:eastAsia="zh-CN"/>
                          </w:rPr>
                        </m:ctrlPr>
                      </m:sub>
                    </m:sSub>
                    <m:ctrlPr>
                      <w:rPr>
                        <w:rFonts w:hint="default" w:ascii="Cambria Math" w:hAnsi="Cambria Math" w:eastAsia="宋体" w:cs="Times New Roman"/>
                        <w:color w:val="000000"/>
                        <w:sz w:val="24"/>
                        <w:szCs w:val="24"/>
                        <w:highlight w:val="none"/>
                        <w:lang w:val="en-US" w:eastAsia="zh-CN"/>
                      </w:rPr>
                    </m:ctrlPr>
                  </m:e>
                </m:acc>
              </m:oMath>
            </m:oMathPara>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式中：</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Para>
              <m:oMath>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m:t>
                    </m:r>
                    <m:ctrlPr>
                      <w:rPr>
                        <w:rFonts w:hint="default" w:ascii="Cambria Math" w:hAnsi="Cambria Math" w:eastAsia="宋体" w:cs="Times New Roman"/>
                        <w:color w:val="000000"/>
                        <w:sz w:val="24"/>
                        <w:szCs w:val="24"/>
                        <w:highlight w:val="none"/>
                        <w:lang w:val="en-US" w:eastAsia="zh-CN"/>
                      </w:rPr>
                    </m:ctrlPr>
                  </m:sub>
                </m:sSub>
                <m:r>
                  <m:rPr>
                    <m:sty m:val="p"/>
                  </m:rPr>
                  <w:rPr>
                    <w:rFonts w:hint="default" w:ascii="Times New Roman" w:hAnsi="Times New Roman" w:eastAsia="宋体" w:cs="Times New Roman"/>
                    <w:color w:val="000000"/>
                    <w:sz w:val="24"/>
                    <w:szCs w:val="24"/>
                    <w:highlight w:val="none"/>
                    <w:lang w:val="en-US" w:eastAsia="zh-CN"/>
                  </w:rPr>
                  <m:t>=</m:t>
                </m:r>
                <m:rad>
                  <m:radPr>
                    <m:degHide m:val="1"/>
                    <m:ctrlPr>
                      <w:rPr>
                        <w:rFonts w:hint="default" w:ascii="Cambria Math" w:hAnsi="Cambria Math" w:eastAsia="宋体" w:cs="Times New Roman"/>
                        <w:color w:val="000000"/>
                        <w:sz w:val="24"/>
                        <w:szCs w:val="24"/>
                        <w:highlight w:val="none"/>
                        <w:lang w:val="en-US" w:eastAsia="zh-CN"/>
                      </w:rPr>
                    </m:ctrlPr>
                  </m:radPr>
                  <m:deg>
                    <m:ctrlPr>
                      <w:rPr>
                        <w:rFonts w:hint="default" w:ascii="Cambria Math" w:hAnsi="Cambria Math" w:eastAsia="宋体" w:cs="Times New Roman"/>
                        <w:color w:val="000000"/>
                        <w:sz w:val="24"/>
                        <w:szCs w:val="24"/>
                        <w:highlight w:val="none"/>
                        <w:lang w:val="en-US" w:eastAsia="zh-CN"/>
                      </w:rPr>
                    </m:ctrlPr>
                  </m:deg>
                  <m:e>
                    <m:sSubSup>
                      <m:sSubSupPr>
                        <m:ctrlPr>
                          <w:rPr>
                            <w:rFonts w:hint="default" w:ascii="Cambria Math" w:hAnsi="Cambria Math" w:eastAsia="宋体" w:cs="Times New Roman"/>
                            <w:color w:val="000000"/>
                            <w:sz w:val="24"/>
                            <w:szCs w:val="24"/>
                            <w:highlight w:val="none"/>
                            <w:lang w:val="en-US" w:eastAsia="zh-CN"/>
                          </w:rPr>
                        </m:ctrlPr>
                      </m:sSubSupPr>
                      <m:e>
                        <m:r>
                          <m:rPr>
                            <m:sty m:val="p"/>
                          </m:rPr>
                          <w:rPr>
                            <w:rFonts w:hint="eastAsia"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xR</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bSup>
                    <m:r>
                      <m:rPr>
                        <m:sty m:val="p"/>
                      </m:rPr>
                      <w:rPr>
                        <w:rFonts w:hint="default" w:ascii="Times New Roman" w:hAnsi="Times New Roman" w:eastAsia="宋体" w:cs="Times New Roman"/>
                        <w:color w:val="000000"/>
                        <w:sz w:val="24"/>
                        <w:szCs w:val="24"/>
                        <w:highlight w:val="none"/>
                        <w:lang w:val="en-US" w:eastAsia="zh-CN"/>
                      </w:rPr>
                      <m:t>+</m:t>
                    </m:r>
                    <m:sSubSup>
                      <m:sSubSupPr>
                        <m:ctrlPr>
                          <w:rPr>
                            <w:rFonts w:hint="default" w:ascii="Cambria Math" w:hAnsi="Cambria Math" w:eastAsia="宋体" w:cs="Times New Roman"/>
                            <w:color w:val="000000"/>
                            <w:sz w:val="24"/>
                            <w:szCs w:val="24"/>
                            <w:highlight w:val="none"/>
                            <w:lang w:val="en-US" w:eastAsia="zh-CN"/>
                          </w:rPr>
                        </m:ctrlPr>
                      </m:sSubSup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xI</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bSup>
                    <m:ctrlPr>
                      <w:rPr>
                        <w:rFonts w:hint="default" w:ascii="Cambria Math" w:hAnsi="Cambria Math" w:eastAsia="宋体" w:cs="Times New Roman"/>
                        <w:color w:val="000000"/>
                        <w:sz w:val="24"/>
                        <w:szCs w:val="24"/>
                        <w:highlight w:val="none"/>
                        <w:lang w:val="en-US" w:eastAsia="zh-CN"/>
                      </w:rPr>
                    </m:ctrlPr>
                  </m:e>
                </m:rad>
              </m:oMath>
            </m:oMathPara>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Para>
              <m:oMath>
                <m:sSub>
                  <m:sSubPr>
                    <m:ctrlPr>
                      <w:rPr>
                        <w:rFonts w:hint="default" w:ascii="Cambria Math" w:hAnsi="Cambria Math" w:eastAsia="宋体" w:cs="Times New Roman"/>
                        <w:color w:val="000000"/>
                        <w:sz w:val="24"/>
                        <w:szCs w:val="24"/>
                        <w:highlight w:val="none"/>
                        <w:lang w:val="en-US" w:eastAsia="zh-CN"/>
                      </w:rPr>
                    </m:ctrlPr>
                  </m:sSub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m:t>
                    </m:r>
                    <m:ctrlPr>
                      <w:rPr>
                        <w:rFonts w:hint="default" w:ascii="Cambria Math" w:hAnsi="Cambria Math" w:eastAsia="宋体" w:cs="Times New Roman"/>
                        <w:color w:val="000000"/>
                        <w:sz w:val="24"/>
                        <w:szCs w:val="24"/>
                        <w:highlight w:val="none"/>
                        <w:lang w:val="en-US" w:eastAsia="zh-CN"/>
                      </w:rPr>
                    </m:ctrlPr>
                  </m:sub>
                </m:sSub>
                <m:r>
                  <m:rPr>
                    <m:sty m:val="p"/>
                  </m:rPr>
                  <w:rPr>
                    <w:rFonts w:hint="default" w:ascii="Times New Roman" w:hAnsi="Times New Roman" w:eastAsia="宋体" w:cs="Times New Roman"/>
                    <w:color w:val="000000"/>
                    <w:sz w:val="24"/>
                    <w:szCs w:val="24"/>
                    <w:highlight w:val="none"/>
                    <w:lang w:val="en-US" w:eastAsia="zh-CN"/>
                  </w:rPr>
                  <m:t>=</m:t>
                </m:r>
                <m:rad>
                  <m:radPr>
                    <m:degHide m:val="1"/>
                    <m:ctrlPr>
                      <w:rPr>
                        <w:rFonts w:hint="default" w:ascii="Cambria Math" w:hAnsi="Cambria Math" w:eastAsia="宋体" w:cs="Times New Roman"/>
                        <w:color w:val="000000"/>
                        <w:sz w:val="24"/>
                        <w:szCs w:val="24"/>
                        <w:highlight w:val="none"/>
                        <w:lang w:val="en-US" w:eastAsia="zh-CN"/>
                      </w:rPr>
                    </m:ctrlPr>
                  </m:radPr>
                  <m:deg>
                    <m:ctrlPr>
                      <w:rPr>
                        <w:rFonts w:hint="default" w:ascii="Cambria Math" w:hAnsi="Cambria Math" w:eastAsia="宋体" w:cs="Times New Roman"/>
                        <w:color w:val="000000"/>
                        <w:sz w:val="24"/>
                        <w:szCs w:val="24"/>
                        <w:highlight w:val="none"/>
                        <w:lang w:val="en-US" w:eastAsia="zh-CN"/>
                      </w:rPr>
                    </m:ctrlPr>
                  </m:deg>
                  <m:e>
                    <m:sSubSup>
                      <m:sSubSupPr>
                        <m:ctrlPr>
                          <w:rPr>
                            <w:rFonts w:hint="default" w:ascii="Cambria Math" w:hAnsi="Cambria Math" w:eastAsia="宋体" w:cs="Times New Roman"/>
                            <w:color w:val="000000"/>
                            <w:sz w:val="24"/>
                            <w:szCs w:val="24"/>
                            <w:highlight w:val="none"/>
                            <w:lang w:val="en-US" w:eastAsia="zh-CN"/>
                          </w:rPr>
                        </m:ctrlPr>
                      </m:sSubSupPr>
                      <m:e>
                        <m:r>
                          <m:rPr>
                            <m:sty m:val="p"/>
                          </m:rPr>
                          <w:rPr>
                            <w:rFonts w:hint="eastAsia"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yR</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bSup>
                    <m:r>
                      <m:rPr>
                        <m:sty m:val="p"/>
                      </m:rPr>
                      <w:rPr>
                        <w:rFonts w:hint="default" w:ascii="Times New Roman" w:hAnsi="Times New Roman" w:eastAsia="宋体" w:cs="Times New Roman"/>
                        <w:color w:val="000000"/>
                        <w:sz w:val="24"/>
                        <w:szCs w:val="24"/>
                        <w:highlight w:val="none"/>
                        <w:lang w:val="en-US" w:eastAsia="zh-CN"/>
                      </w:rPr>
                      <m:t>+</m:t>
                    </m:r>
                    <m:sSubSup>
                      <m:sSubSupPr>
                        <m:ctrlPr>
                          <w:rPr>
                            <w:rFonts w:hint="default" w:ascii="Cambria Math" w:hAnsi="Cambria Math" w:eastAsia="宋体" w:cs="Times New Roman"/>
                            <w:color w:val="000000"/>
                            <w:sz w:val="24"/>
                            <w:szCs w:val="24"/>
                            <w:highlight w:val="none"/>
                            <w:lang w:val="en-US" w:eastAsia="zh-CN"/>
                          </w:rPr>
                        </m:ctrlPr>
                      </m:sSubSupPr>
                      <m:e>
                        <m:r>
                          <m:rPr>
                            <m:sty m:val="p"/>
                          </m:rPr>
                          <w:rPr>
                            <w:rFonts w:hint="default" w:ascii="Times New Roman" w:hAnsi="Times New Roman" w:eastAsia="宋体" w:cs="Times New Roman"/>
                            <w:color w:val="000000"/>
                            <w:sz w:val="24"/>
                            <w:szCs w:val="24"/>
                            <w:highlight w:val="none"/>
                            <w:lang w:val="en-US" w:eastAsia="zh-CN"/>
                          </w:rPr>
                          <m:t>E</m:t>
                        </m:r>
                        <m:ctrlPr>
                          <w:rPr>
                            <w:rFonts w:hint="default" w:ascii="Cambria Math" w:hAnsi="Cambria Math" w:eastAsia="宋体" w:cs="Times New Roman"/>
                            <w:color w:val="000000"/>
                            <w:sz w:val="24"/>
                            <w:szCs w:val="24"/>
                            <w:highlight w:val="none"/>
                            <w:lang w:val="en-US" w:eastAsia="zh-CN"/>
                          </w:rPr>
                        </m:ctrlPr>
                      </m:e>
                      <m:sub>
                        <m:r>
                          <m:rPr>
                            <m:sty m:val="p"/>
                          </m:rPr>
                          <w:rPr>
                            <w:rFonts w:hint="default" w:ascii="Times New Roman" w:hAnsi="Times New Roman" w:eastAsia="宋体" w:cs="Times New Roman"/>
                            <w:color w:val="000000"/>
                            <w:sz w:val="24"/>
                            <w:szCs w:val="24"/>
                            <w:highlight w:val="none"/>
                            <w:lang w:val="en-US" w:eastAsia="zh-CN"/>
                          </w:rPr>
                          <m:t>yI</m:t>
                        </m:r>
                        <m:ctrlPr>
                          <w:rPr>
                            <w:rFonts w:hint="default" w:ascii="Cambria Math" w:hAnsi="Cambria Math" w:eastAsia="宋体" w:cs="Times New Roman"/>
                            <w:color w:val="000000"/>
                            <w:sz w:val="24"/>
                            <w:szCs w:val="24"/>
                            <w:highlight w:val="none"/>
                            <w:lang w:val="en-US" w:eastAsia="zh-CN"/>
                          </w:rPr>
                        </m:ctrlPr>
                      </m:sub>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bSup>
                    <m:ctrlPr>
                      <w:rPr>
                        <w:rFonts w:hint="default" w:ascii="Cambria Math" w:hAnsi="Cambria Math" w:eastAsia="宋体" w:cs="Times New Roman"/>
                        <w:color w:val="000000"/>
                        <w:sz w:val="24"/>
                        <w:szCs w:val="24"/>
                        <w:highlight w:val="none"/>
                        <w:lang w:val="en-US" w:eastAsia="zh-CN"/>
                      </w:rPr>
                    </m:ctrlPr>
                  </m:e>
                </m:rad>
              </m:oMath>
            </m:oMathPara>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（2）工频磁感应强度计算公式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导线下方A点处的磁感应强度计算式如下：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m:oMathPara>
              <m:oMath>
                <m:r>
                  <m:rPr>
                    <m:sty m:val="p"/>
                  </m:rPr>
                  <w:rPr>
                    <w:rFonts w:hint="default" w:ascii="Times New Roman" w:hAnsi="Times New Roman" w:eastAsia="宋体" w:cs="Times New Roman"/>
                    <w:color w:val="000000"/>
                    <w:sz w:val="24"/>
                    <w:szCs w:val="24"/>
                    <w:highlight w:val="none"/>
                    <w:lang w:val="en-US" w:eastAsia="zh-CN"/>
                  </w:rPr>
                  <m:t>H=</m:t>
                </m:r>
                <m:f>
                  <m:fPr>
                    <m:ctrlPr>
                      <w:rPr>
                        <w:rFonts w:hint="default" w:ascii="Cambria Math" w:hAnsi="Cambria Math" w:eastAsia="宋体" w:cs="Times New Roman"/>
                        <w:color w:val="000000"/>
                        <w:sz w:val="24"/>
                        <w:szCs w:val="24"/>
                        <w:highlight w:val="none"/>
                        <w:lang w:val="en-US" w:eastAsia="zh-CN"/>
                      </w:rPr>
                    </m:ctrlPr>
                  </m:fPr>
                  <m:num>
                    <m:r>
                      <m:rPr>
                        <m:sty m:val="p"/>
                      </m:rPr>
                      <w:rPr>
                        <w:rFonts w:hint="default" w:ascii="Times New Roman" w:hAnsi="Times New Roman" w:eastAsia="宋体" w:cs="Times New Roman"/>
                        <w:color w:val="000000"/>
                        <w:sz w:val="24"/>
                        <w:szCs w:val="24"/>
                        <w:highlight w:val="none"/>
                        <w:lang w:val="en-US" w:eastAsia="zh-CN"/>
                      </w:rPr>
                      <m:t>I</m:t>
                    </m:r>
                    <m:ctrlPr>
                      <w:rPr>
                        <w:rFonts w:hint="default" w:ascii="Cambria Math" w:hAnsi="Cambria Math" w:eastAsia="宋体" w:cs="Times New Roman"/>
                        <w:color w:val="000000"/>
                        <w:sz w:val="24"/>
                        <w:szCs w:val="24"/>
                        <w:highlight w:val="none"/>
                        <w:lang w:val="en-US" w:eastAsia="zh-CN"/>
                      </w:rPr>
                    </m:ctrlPr>
                  </m:num>
                  <m:den>
                    <m:r>
                      <m:rPr>
                        <m:sty m:val="p"/>
                      </m:rPr>
                      <w:rPr>
                        <w:rFonts w:hint="default" w:ascii="Times New Roman" w:hAnsi="Times New Roman" w:eastAsia="宋体" w:cs="Times New Roman"/>
                        <w:color w:val="000000"/>
                        <w:sz w:val="24"/>
                        <w:szCs w:val="24"/>
                        <w:highlight w:val="none"/>
                        <w:lang w:val="en-US" w:eastAsia="zh-CN"/>
                      </w:rPr>
                      <m:t>2π</m:t>
                    </m:r>
                    <m:rad>
                      <m:radPr>
                        <m:degHide m:val="1"/>
                        <m:ctrlPr>
                          <w:rPr>
                            <w:rFonts w:hint="default" w:ascii="Cambria Math" w:hAnsi="Cambria Math" w:eastAsia="宋体" w:cs="Times New Roman"/>
                            <w:color w:val="000000"/>
                            <w:sz w:val="24"/>
                            <w:szCs w:val="24"/>
                            <w:highlight w:val="none"/>
                            <w:lang w:val="en-US" w:eastAsia="zh-CN"/>
                          </w:rPr>
                        </m:ctrlPr>
                      </m:radPr>
                      <m:deg>
                        <m:ctrlPr>
                          <w:rPr>
                            <w:rFonts w:hint="default" w:ascii="Cambria Math" w:hAnsi="Cambria Math" w:eastAsia="宋体" w:cs="Times New Roman"/>
                            <w:color w:val="000000"/>
                            <w:sz w:val="24"/>
                            <w:szCs w:val="24"/>
                            <w:highlight w:val="none"/>
                            <w:lang w:val="en-US" w:eastAsia="zh-CN"/>
                          </w:rPr>
                        </m:ctrlPr>
                      </m:deg>
                      <m:e>
                        <m:sSup>
                          <m:sSupPr>
                            <m:ctrlPr>
                              <w:rPr>
                                <w:rFonts w:hint="default" w:ascii="Cambria Math" w:hAnsi="Cambria Math" w:eastAsia="宋体" w:cs="Times New Roman"/>
                                <w:color w:val="000000"/>
                                <w:sz w:val="24"/>
                                <w:szCs w:val="24"/>
                                <w:highlight w:val="none"/>
                                <w:lang w:val="en-US" w:eastAsia="zh-CN"/>
                              </w:rPr>
                            </m:ctrlPr>
                          </m:sSupPr>
                          <m:e>
                            <m:sSup>
                              <m:sSupPr>
                                <m:ctrlPr>
                                  <w:rPr>
                                    <w:rFonts w:hint="default" w:ascii="Cambria Math" w:hAnsi="Cambria Math" w:eastAsia="宋体" w:cs="Times New Roman"/>
                                    <w:color w:val="000000"/>
                                    <w:sz w:val="24"/>
                                    <w:szCs w:val="24"/>
                                    <w:highlight w:val="none"/>
                                    <w:lang w:val="en-US" w:eastAsia="zh-CN"/>
                                  </w:rPr>
                                </m:ctrlPr>
                              </m:sSupPr>
                              <m:e>
                                <m:r>
                                  <m:rPr>
                                    <m:sty m:val="p"/>
                                  </m:rPr>
                                  <w:rPr>
                                    <w:rFonts w:hint="default" w:ascii="Times New Roman" w:hAnsi="Times New Roman" w:eastAsia="宋体" w:cs="Times New Roman"/>
                                    <w:color w:val="000000"/>
                                    <w:sz w:val="24"/>
                                    <w:szCs w:val="24"/>
                                    <w:highlight w:val="none"/>
                                    <w:lang w:val="en-US" w:eastAsia="zh-CN"/>
                                  </w:rPr>
                                  <m:t>h</m:t>
                                </m:r>
                                <m:ctrlPr>
                                  <w:rPr>
                                    <w:rFonts w:hint="default" w:ascii="Cambria Math" w:hAnsi="Cambria Math" w:eastAsia="宋体" w:cs="Times New Roman"/>
                                    <w:color w:val="000000"/>
                                    <w:sz w:val="24"/>
                                    <w:szCs w:val="24"/>
                                    <w:highlight w:val="none"/>
                                    <w:lang w:val="en-US" w:eastAsia="zh-CN"/>
                                  </w:rPr>
                                </m:ctrlPr>
                              </m:e>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p>
                            <m:r>
                              <m:rPr>
                                <m:sty m:val="p"/>
                              </m:rPr>
                              <w:rPr>
                                <w:rFonts w:hint="default" w:ascii="Times New Roman" w:hAnsi="Times New Roman" w:eastAsia="宋体" w:cs="Times New Roman"/>
                                <w:color w:val="000000"/>
                                <w:sz w:val="24"/>
                                <w:szCs w:val="24"/>
                                <w:highlight w:val="none"/>
                                <w:lang w:val="en-US" w:eastAsia="zh-CN"/>
                              </w:rPr>
                              <m:t>+L</m:t>
                            </m:r>
                            <m:ctrlPr>
                              <w:rPr>
                                <w:rFonts w:hint="default" w:ascii="Cambria Math" w:hAnsi="Cambria Math" w:eastAsia="宋体" w:cs="Times New Roman"/>
                                <w:color w:val="000000"/>
                                <w:sz w:val="24"/>
                                <w:szCs w:val="24"/>
                                <w:highlight w:val="none"/>
                                <w:lang w:val="en-US" w:eastAsia="zh-CN"/>
                              </w:rPr>
                            </m:ctrlPr>
                          </m:e>
                          <m:sup>
                            <m:r>
                              <m:rPr>
                                <m:sty m:val="p"/>
                              </m:rPr>
                              <w:rPr>
                                <w:rFonts w:hint="default" w:ascii="Times New Roman" w:hAnsi="Times New Roman" w:eastAsia="宋体" w:cs="Times New Roman"/>
                                <w:color w:val="000000"/>
                                <w:sz w:val="24"/>
                                <w:szCs w:val="24"/>
                                <w:highlight w:val="none"/>
                                <w:lang w:val="en-US" w:eastAsia="zh-CN"/>
                              </w:rPr>
                              <m:t>2</m:t>
                            </m:r>
                            <m:ctrlPr>
                              <w:rPr>
                                <w:rFonts w:hint="default" w:ascii="Cambria Math" w:hAnsi="Cambria Math" w:eastAsia="宋体" w:cs="Times New Roman"/>
                                <w:color w:val="000000"/>
                                <w:sz w:val="24"/>
                                <w:szCs w:val="24"/>
                                <w:highlight w:val="none"/>
                                <w:lang w:val="en-US" w:eastAsia="zh-CN"/>
                              </w:rPr>
                            </m:ctrlPr>
                          </m:sup>
                        </m:sSup>
                        <m:ctrlPr>
                          <w:rPr>
                            <w:rFonts w:hint="default" w:ascii="Cambria Math" w:hAnsi="Cambria Math" w:eastAsia="宋体" w:cs="Times New Roman"/>
                            <w:color w:val="000000"/>
                            <w:sz w:val="24"/>
                            <w:szCs w:val="24"/>
                            <w:highlight w:val="none"/>
                            <w:lang w:val="en-US" w:eastAsia="zh-CN"/>
                          </w:rPr>
                        </m:ctrlPr>
                      </m:e>
                    </m:rad>
                    <m:ctrlPr>
                      <w:rPr>
                        <w:rFonts w:hint="default" w:ascii="Cambria Math" w:hAnsi="Cambria Math" w:eastAsia="宋体" w:cs="Times New Roman"/>
                        <w:color w:val="000000"/>
                        <w:sz w:val="24"/>
                        <w:szCs w:val="24"/>
                        <w:highlight w:val="none"/>
                        <w:lang w:val="en-US" w:eastAsia="zh-CN"/>
                      </w:rPr>
                    </m:ctrlPr>
                  </m:den>
                </m:f>
              </m:oMath>
            </m:oMathPara>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式中：I—导线i中的电流值；</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h—计算A点距导线的垂直高度；</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L—计算A点距导线的水平距离。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val="0"/>
                <w:color w:val="000000"/>
                <w:sz w:val="24"/>
                <w:szCs w:val="24"/>
                <w:highlight w:val="none"/>
                <w:lang w:val="en-US" w:eastAsia="zh-CN"/>
              </w:rPr>
            </w:pPr>
            <w:r>
              <w:rPr>
                <w:rFonts w:hint="eastAsia" w:ascii="Times New Roman" w:hAnsi="Times New Roman" w:eastAsia="宋体" w:cs="Times New Roman"/>
                <w:b w:val="0"/>
                <w:bCs w:val="0"/>
                <w:color w:val="000000"/>
                <w:sz w:val="24"/>
                <w:szCs w:val="24"/>
                <w:highlight w:val="none"/>
                <w:lang w:val="en-US" w:eastAsia="zh-CN"/>
              </w:rPr>
              <w:t>2、</w:t>
            </w:r>
            <w:r>
              <w:rPr>
                <w:rFonts w:hint="default" w:ascii="Times New Roman" w:hAnsi="Times New Roman" w:eastAsia="宋体" w:cs="Times New Roman"/>
                <w:b w:val="0"/>
                <w:bCs w:val="0"/>
                <w:color w:val="000000"/>
                <w:sz w:val="24"/>
                <w:szCs w:val="24"/>
                <w:highlight w:val="none"/>
                <w:lang w:val="en-US" w:eastAsia="zh-CN"/>
              </w:rPr>
              <w:t>工频电磁场预测所需参数选取</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根据本工程的相关设计资料，本项目输电线路使用的直线塔型主要为</w:t>
            </w:r>
            <w:r>
              <w:rPr>
                <w:rFonts w:hint="eastAsia" w:cs="Times New Roman"/>
                <w:color w:val="000000"/>
                <w:sz w:val="24"/>
                <w:szCs w:val="24"/>
                <w:highlight w:val="none"/>
                <w:lang w:val="en-US" w:eastAsia="zh-CN"/>
              </w:rPr>
              <w:t>ZM2</w:t>
            </w:r>
            <w:r>
              <w:rPr>
                <w:rFonts w:hint="eastAsia" w:ascii="Times New Roman" w:hAnsi="Times New Roman" w:eastAsia="宋体" w:cs="Times New Roman"/>
                <w:color w:val="000000"/>
                <w:sz w:val="24"/>
                <w:szCs w:val="24"/>
                <w:highlight w:val="none"/>
                <w:lang w:val="en-US" w:eastAsia="zh-CN"/>
              </w:rPr>
              <w:t>-Z</w:t>
            </w:r>
            <w:r>
              <w:rPr>
                <w:rFonts w:hint="eastAsia" w:cs="Times New Roman"/>
                <w:color w:val="000000"/>
                <w:sz w:val="24"/>
                <w:szCs w:val="24"/>
                <w:highlight w:val="none"/>
                <w:lang w:val="en-US" w:eastAsia="zh-CN"/>
              </w:rPr>
              <w:t>MK</w:t>
            </w:r>
            <w:r>
              <w:rPr>
                <w:rFonts w:hint="default" w:ascii="Times New Roman" w:hAnsi="Times New Roman" w:eastAsia="宋体" w:cs="Times New Roman"/>
                <w:color w:val="000000"/>
                <w:sz w:val="24"/>
                <w:szCs w:val="24"/>
                <w:highlight w:val="none"/>
                <w:lang w:val="en-US" w:eastAsia="zh-CN"/>
              </w:rPr>
              <w:t>，本次预测选取</w:t>
            </w:r>
            <w:r>
              <w:rPr>
                <w:rFonts w:hint="eastAsia" w:ascii="Times New Roman" w:hAnsi="Times New Roman" w:eastAsia="宋体" w:cs="Times New Roman"/>
                <w:color w:val="000000"/>
                <w:sz w:val="24"/>
                <w:szCs w:val="24"/>
                <w:highlight w:val="none"/>
                <w:lang w:val="en-US" w:eastAsia="zh-CN"/>
              </w:rPr>
              <w:t>该</w:t>
            </w:r>
            <w:r>
              <w:rPr>
                <w:rFonts w:hint="default" w:ascii="Times New Roman" w:hAnsi="Times New Roman" w:eastAsia="宋体" w:cs="Times New Roman"/>
                <w:color w:val="000000"/>
                <w:sz w:val="24"/>
                <w:szCs w:val="24"/>
                <w:highlight w:val="none"/>
                <w:lang w:val="en-US" w:eastAsia="zh-CN"/>
              </w:rPr>
              <w:t>塔型进行计算。</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本工程架空线路电磁环境影响预测中，以中心线地面投影为预测坐标原点。理论计算预测输电线路电场强度、磁感应强度时确定有关参数如下：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（1）塔型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本项目电压等级220kV，</w:t>
            </w:r>
            <w:r>
              <w:rPr>
                <w:rFonts w:hint="eastAsia" w:ascii="Times New Roman" w:hAnsi="Times New Roman" w:eastAsia="宋体" w:cs="Times New Roman"/>
                <w:color w:val="000000"/>
                <w:sz w:val="24"/>
                <w:szCs w:val="24"/>
                <w:highlight w:val="none"/>
                <w:lang w:val="en-US" w:eastAsia="zh-CN"/>
              </w:rPr>
              <w:t>均为</w:t>
            </w:r>
            <w:r>
              <w:rPr>
                <w:rFonts w:hint="default" w:ascii="Times New Roman" w:hAnsi="Times New Roman" w:eastAsia="宋体" w:cs="Times New Roman"/>
                <w:color w:val="000000"/>
                <w:sz w:val="24"/>
                <w:szCs w:val="24"/>
                <w:highlight w:val="none"/>
                <w:lang w:val="en-US" w:eastAsia="zh-CN"/>
              </w:rPr>
              <w:t>单回路铁塔架设</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导线选择2×J3/G1A-240/30</w:t>
            </w:r>
            <w:r>
              <w:rPr>
                <w:rFonts w:hint="eastAsia" w:ascii="Times New Roman" w:hAnsi="Times New Roman" w:eastAsia="宋体" w:cs="Times New Roman"/>
                <w:color w:val="000000"/>
                <w:sz w:val="24"/>
                <w:szCs w:val="24"/>
                <w:highlight w:val="none"/>
                <w:lang w:val="en-US" w:eastAsia="zh-CN"/>
              </w:rPr>
              <w:t>。</w:t>
            </w:r>
            <w:r>
              <w:rPr>
                <w:rFonts w:hint="eastAsia" w:cs="Times New Roman"/>
                <w:color w:val="auto"/>
                <w:sz w:val="24"/>
                <w:szCs w:val="24"/>
                <w:highlight w:val="none"/>
                <w:lang w:val="en-US" w:eastAsia="zh-CN"/>
              </w:rPr>
              <w:t>根据企业提供资料，本项目直线塔共4种塔型，</w:t>
            </w:r>
            <w:r>
              <w:rPr>
                <w:rFonts w:hint="eastAsia" w:ascii="Times New Roman" w:hAnsi="Times New Roman" w:eastAsia="宋体" w:cs="Times New Roman"/>
                <w:color w:val="auto"/>
                <w:sz w:val="24"/>
                <w:szCs w:val="24"/>
                <w:highlight w:val="none"/>
                <w:lang w:val="en-US" w:eastAsia="zh-CN"/>
              </w:rPr>
              <w:t>其中Z</w:t>
            </w:r>
            <w:r>
              <w:rPr>
                <w:rFonts w:hint="eastAsia"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lang w:val="en-US" w:eastAsia="zh-CN"/>
              </w:rPr>
              <w:t>1共</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基</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Z</w:t>
            </w:r>
            <w:r>
              <w:rPr>
                <w:rFonts w:hint="eastAsia"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lang w:val="en-US" w:eastAsia="zh-CN"/>
              </w:rPr>
              <w:t>2共</w:t>
            </w:r>
            <w:r>
              <w:rPr>
                <w:rFonts w:hint="eastAsia" w:cs="Times New Roman"/>
                <w:color w:val="auto"/>
                <w:sz w:val="24"/>
                <w:szCs w:val="24"/>
                <w:highlight w:val="none"/>
                <w:lang w:val="en-US" w:eastAsia="zh-CN"/>
              </w:rPr>
              <w:t>21</w:t>
            </w:r>
            <w:r>
              <w:rPr>
                <w:rFonts w:hint="eastAsia" w:ascii="Times New Roman" w:hAnsi="Times New Roman" w:eastAsia="宋体" w:cs="Times New Roman"/>
                <w:color w:val="auto"/>
                <w:sz w:val="24"/>
                <w:szCs w:val="24"/>
                <w:highlight w:val="none"/>
                <w:lang w:val="en-US" w:eastAsia="zh-CN"/>
              </w:rPr>
              <w:t>基，Z</w:t>
            </w:r>
            <w:r>
              <w:rPr>
                <w:rFonts w:hint="eastAsia" w:cs="Times New Roman"/>
                <w:color w:val="auto"/>
                <w:sz w:val="24"/>
                <w:szCs w:val="24"/>
                <w:highlight w:val="none"/>
                <w:lang w:val="en-US" w:eastAsia="zh-CN"/>
              </w:rPr>
              <w:t>M3</w:t>
            </w:r>
            <w:r>
              <w:rPr>
                <w:rFonts w:hint="eastAsia" w:ascii="Times New Roman" w:hAnsi="Times New Roman" w:eastAsia="宋体" w:cs="Times New Roman"/>
                <w:color w:val="auto"/>
                <w:sz w:val="24"/>
                <w:szCs w:val="24"/>
                <w:highlight w:val="none"/>
                <w:lang w:val="en-US" w:eastAsia="zh-CN"/>
              </w:rPr>
              <w:t>共</w:t>
            </w:r>
            <w:r>
              <w:rPr>
                <w:rFonts w:hint="eastAsia" w:cs="Times New Roman"/>
                <w:color w:val="auto"/>
                <w:sz w:val="24"/>
                <w:szCs w:val="24"/>
                <w:highlight w:val="none"/>
                <w:lang w:val="en-US" w:eastAsia="zh-CN"/>
              </w:rPr>
              <w:t>7</w:t>
            </w:r>
            <w:r>
              <w:rPr>
                <w:rFonts w:hint="eastAsia" w:ascii="Times New Roman" w:hAnsi="Times New Roman" w:eastAsia="宋体" w:cs="Times New Roman"/>
                <w:color w:val="auto"/>
                <w:sz w:val="24"/>
                <w:szCs w:val="24"/>
                <w:highlight w:val="none"/>
                <w:lang w:val="en-US" w:eastAsia="zh-CN"/>
              </w:rPr>
              <w:t>基</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Z</w:t>
            </w:r>
            <w:r>
              <w:rPr>
                <w:rFonts w:hint="eastAsia"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lang w:val="en-US" w:eastAsia="zh-CN"/>
              </w:rPr>
              <w:t>K共</w:t>
            </w:r>
            <w:r>
              <w:rPr>
                <w:rFonts w:hint="eastAsia" w:cs="Times New Roman"/>
                <w:color w:val="auto"/>
                <w:sz w:val="24"/>
                <w:szCs w:val="24"/>
                <w:highlight w:val="none"/>
                <w:lang w:val="en-US" w:eastAsia="zh-CN"/>
              </w:rPr>
              <w:t>27</w:t>
            </w:r>
            <w:r>
              <w:rPr>
                <w:rFonts w:hint="eastAsia" w:ascii="Times New Roman" w:hAnsi="Times New Roman" w:eastAsia="宋体" w:cs="Times New Roman"/>
                <w:color w:val="auto"/>
                <w:sz w:val="24"/>
                <w:szCs w:val="24"/>
                <w:highlight w:val="none"/>
                <w:lang w:val="en-US" w:eastAsia="zh-CN"/>
              </w:rPr>
              <w:t>基，共</w:t>
            </w:r>
            <w:r>
              <w:rPr>
                <w:rFonts w:hint="eastAsia" w:cs="Times New Roman"/>
                <w:color w:val="auto"/>
                <w:sz w:val="24"/>
                <w:szCs w:val="24"/>
                <w:highlight w:val="none"/>
                <w:lang w:val="en-US" w:eastAsia="zh-CN"/>
              </w:rPr>
              <w:t>56</w:t>
            </w:r>
            <w:r>
              <w:rPr>
                <w:rFonts w:hint="eastAsia" w:ascii="Times New Roman" w:hAnsi="Times New Roman" w:eastAsia="宋体" w:cs="Times New Roman"/>
                <w:color w:val="auto"/>
                <w:sz w:val="24"/>
                <w:szCs w:val="24"/>
                <w:highlight w:val="none"/>
                <w:lang w:val="en-US" w:eastAsia="zh-CN"/>
              </w:rPr>
              <w:t>基，</w:t>
            </w:r>
            <w:r>
              <w:rPr>
                <w:rFonts w:hint="eastAsia" w:cs="Times New Roman"/>
                <w:color w:val="auto"/>
                <w:sz w:val="24"/>
                <w:szCs w:val="24"/>
                <w:highlight w:val="none"/>
                <w:lang w:val="en-US" w:eastAsia="zh-CN"/>
              </w:rPr>
              <w:t>排列方式均为正三角形排列，且根据平断面段位图可知，本项目ZM2与ZMK塔型的最低线高为9.5m，故</w:t>
            </w:r>
            <w:r>
              <w:rPr>
                <w:rFonts w:hint="default" w:ascii="Times New Roman" w:hAnsi="Times New Roman" w:eastAsia="宋体" w:cs="Times New Roman"/>
                <w:color w:val="auto"/>
                <w:sz w:val="24"/>
                <w:szCs w:val="24"/>
                <w:highlight w:val="none"/>
                <w:lang w:val="en-US" w:eastAsia="zh-CN"/>
              </w:rPr>
              <w:t>本次</w:t>
            </w:r>
            <w:r>
              <w:rPr>
                <w:rFonts w:hint="eastAsia" w:ascii="Times New Roman" w:hAnsi="Times New Roman" w:eastAsia="宋体" w:cs="Times New Roman"/>
                <w:color w:val="auto"/>
                <w:sz w:val="24"/>
                <w:szCs w:val="24"/>
                <w:highlight w:val="none"/>
                <w:lang w:val="en-US" w:eastAsia="zh-CN"/>
              </w:rPr>
              <w:t>对两种塔型均进行预测</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主要塔型见图</w:t>
            </w:r>
            <w:r>
              <w:rPr>
                <w:rFonts w:hint="eastAsia" w:ascii="Times New Roman" w:hAnsi="Times New Roman" w:eastAsia="宋体" w:cs="Times New Roman"/>
                <w:color w:val="000000"/>
                <w:sz w:val="24"/>
                <w:szCs w:val="24"/>
                <w:highlight w:val="none"/>
                <w:lang w:val="en-US" w:eastAsia="zh-CN"/>
              </w:rPr>
              <w:t>7-</w:t>
            </w:r>
            <w:r>
              <w:rPr>
                <w:rFonts w:hint="eastAsia"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lang w:val="en-US" w:eastAsia="zh-CN"/>
              </w:rPr>
              <w:t>。</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90"/>
              <w:gridCol w:w="3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3" w:hRule="atLeast"/>
                <w:jc w:val="center"/>
              </w:trPr>
              <w:tc>
                <w:tcPr>
                  <w:tcW w:w="359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highlight w:val="none"/>
                      <w:vertAlign w:val="baseline"/>
                    </w:rPr>
                  </w:pPr>
                  <w:r>
                    <w:rPr>
                      <w:sz w:val="21"/>
                    </w:rPr>
                    <mc:AlternateContent>
                      <mc:Choice Requires="wps">
                        <w:drawing>
                          <wp:anchor distT="0" distB="0" distL="114300" distR="114300" simplePos="0" relativeHeight="251678720" behindDoc="0" locked="0" layoutInCell="1" allowOverlap="1">
                            <wp:simplePos x="0" y="0"/>
                            <wp:positionH relativeFrom="column">
                              <wp:posOffset>1313815</wp:posOffset>
                            </wp:positionH>
                            <wp:positionV relativeFrom="paragraph">
                              <wp:posOffset>706755</wp:posOffset>
                            </wp:positionV>
                            <wp:extent cx="327660" cy="28829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32766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0000"/>
                                            <w:lang w:val="en-US" w:eastAsia="zh-CN"/>
                                          </w:rPr>
                                        </w:pPr>
                                        <w:r>
                                          <w:rPr>
                                            <w:rFonts w:hint="eastAsia" w:eastAsia="宋体"/>
                                            <w:color w:val="FF0000"/>
                                            <w:lang w:val="en-US" w:eastAsia="zh-CN"/>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3.45pt;margin-top:55.65pt;height:22.7pt;width:25.8pt;z-index:251678720;mso-width-relative:page;mso-height-relative:page;" filled="f" stroked="f" coordsize="21600,21600" o:gfxdata="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OGJ+zbAAAACwEAAA8AAAAAAAAAAQAgAAAAIgAA&#10;AGRycy9kb3ducmV2LnhtbFBLAQIUABQAAAAIAIdO4kDSC1iLPgIAAGkEAAAOAAAAAAAAAAEAIAAA&#10;ACoBAABkcnMvZTJvRG9jLnhtbFBLBQYAAAAABgAGAFkBAADaBQAAAAA=&#10;">
                            <v:fill on="f" focussize="0,0"/>
                            <v:stroke on="f" weight="0.5pt"/>
                            <v:imagedata o:title=""/>
                            <o:lock v:ext="edit" aspectratio="f"/>
                            <v:textbox>
                              <w:txbxContent>
                                <w:p>
                                  <w:pPr>
                                    <w:rPr>
                                      <w:rFonts w:hint="default" w:eastAsia="宋体"/>
                                      <w:color w:val="FF0000"/>
                                      <w:lang w:val="en-US" w:eastAsia="zh-CN"/>
                                    </w:rPr>
                                  </w:pPr>
                                  <w:r>
                                    <w:rPr>
                                      <w:rFonts w:hint="eastAsia" w:eastAsia="宋体"/>
                                      <w:color w:val="FF0000"/>
                                      <w:lang w:val="en-US" w:eastAsia="zh-CN"/>
                                    </w:rPr>
                                    <w:t>C</w:t>
                                  </w:r>
                                </w:p>
                              </w:txbxContent>
                            </v:textbox>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1069975</wp:posOffset>
                            </wp:positionH>
                            <wp:positionV relativeFrom="paragraph">
                              <wp:posOffset>348615</wp:posOffset>
                            </wp:positionV>
                            <wp:extent cx="327660" cy="28829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32766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FF0000"/>
                                            <w:lang w:val="en-US" w:eastAsia="zh-CN"/>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25pt;margin-top:27.45pt;height:22.7pt;width:25.8pt;z-index:251676672;mso-width-relative:page;mso-height-relative:page;" filled="f" stroked="f" coordsize="21600,21600" o:gfxdata="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&#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0LvGItoAAAAKAQAADwAAAAAAAAABACAAAAAiAAAA&#10;ZHJzL2Rvd25yZXYueG1sUEsBAhQAFAAAAAgAh07iQMgUaOc+AgAAaQQAAA4AAAAAAAAAAQAgAAAA&#10;KQ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color w:val="FF0000"/>
                                      <w:lang w:val="en-US" w:eastAsia="zh-CN"/>
                                    </w:rPr>
                                    <w:t>B</w:t>
                                  </w:r>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814070</wp:posOffset>
                            </wp:positionH>
                            <wp:positionV relativeFrom="paragraph">
                              <wp:posOffset>711835</wp:posOffset>
                            </wp:positionV>
                            <wp:extent cx="327660" cy="288290"/>
                            <wp:effectExtent l="0" t="0" r="0" b="0"/>
                            <wp:wrapNone/>
                            <wp:docPr id="144" name="文本框 144"/>
                            <wp:cNvGraphicFramePr/>
                            <a:graphic xmlns:a="http://schemas.openxmlformats.org/drawingml/2006/main">
                              <a:graphicData uri="http://schemas.microsoft.com/office/word/2010/wordprocessingShape">
                                <wps:wsp>
                                  <wps:cNvSpPr txBox="1"/>
                                  <wps:spPr>
                                    <a:xfrm>
                                      <a:off x="2415540" y="2912110"/>
                                      <a:ext cx="32766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color w:val="FF0000"/>
                                            <w:lang w:val="en-US" w:eastAsia="zh-CN"/>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1pt;margin-top:56.05pt;height:22.7pt;width:25.8pt;z-index:251675648;mso-width-relative:page;mso-height-relative:page;" filled="f" stroked="f" coordsize="21600,21600" o:gfxdata="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jOztwNoAAAALAQAADwAAAAAAAAAB&#10;ACAAAAAiAAAAZHJzL2Rvd25yZXYueG1sUEsBAhQAFAAAAAgAh07iQA/qPbtHAgAAdQQAAA4AAAAA&#10;AAAAAQAgAAAAKQEAAGRycy9lMm9Eb2MueG1sUEsFBgAAAAAGAAYAWQEAAOIFAAAAAA==&#10;">
                            <v:fill on="f" focussize="0,0"/>
                            <v:stroke on="f" weight="0.5pt"/>
                            <v:imagedata o:title=""/>
                            <o:lock v:ext="edit" aspectratio="f"/>
                            <v:textbox>
                              <w:txbxContent>
                                <w:p>
                                  <w:pPr>
                                    <w:rPr>
                                      <w:rFonts w:hint="eastAsia" w:eastAsia="宋体"/>
                                      <w:lang w:val="en-US" w:eastAsia="zh-CN"/>
                                    </w:rPr>
                                  </w:pPr>
                                  <w:r>
                                    <w:rPr>
                                      <w:rFonts w:hint="eastAsia"/>
                                      <w:color w:val="FF0000"/>
                                      <w:lang w:val="en-US" w:eastAsia="zh-CN"/>
                                    </w:rPr>
                                    <w:t>A</w:t>
                                  </w:r>
                                </w:p>
                              </w:txbxContent>
                            </v:textbox>
                          </v:shape>
                        </w:pict>
                      </mc:Fallback>
                    </mc:AlternateContent>
                  </w:r>
                  <w:r>
                    <w:rPr>
                      <w:color w:val="000000"/>
                      <w:sz w:val="21"/>
                    </w:rPr>
                    <mc:AlternateContent>
                      <mc:Choice Requires="wps">
                        <w:drawing>
                          <wp:anchor distT="0" distB="0" distL="114300" distR="114300" simplePos="0" relativeHeight="251668480" behindDoc="0" locked="0" layoutInCell="1" allowOverlap="1">
                            <wp:simplePos x="0" y="0"/>
                            <wp:positionH relativeFrom="column">
                              <wp:posOffset>1600835</wp:posOffset>
                            </wp:positionH>
                            <wp:positionV relativeFrom="paragraph">
                              <wp:posOffset>4477385</wp:posOffset>
                            </wp:positionV>
                            <wp:extent cx="503555" cy="238125"/>
                            <wp:effectExtent l="4445" t="4445" r="6350" b="5080"/>
                            <wp:wrapNone/>
                            <wp:docPr id="20" name="文本框 20"/>
                            <wp:cNvGraphicFramePr/>
                            <a:graphic xmlns:a="http://schemas.openxmlformats.org/drawingml/2006/main">
                              <a:graphicData uri="http://schemas.microsoft.com/office/word/2010/wordprocessingShape">
                                <wps:wsp>
                                  <wps:cNvSpPr txBox="1"/>
                                  <wps:spPr>
                                    <a:xfrm>
                                      <a:off x="0" y="0"/>
                                      <a:ext cx="503555" cy="2381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rPr>
                                            <w:rFonts w:hint="default" w:eastAsia="宋体"/>
                                            <w:lang w:val="en-US" w:eastAsia="zh-CN"/>
                                          </w:rPr>
                                        </w:pPr>
                                        <w:r>
                                          <w:rPr>
                                            <w:rFonts w:hint="eastAsia"/>
                                            <w:lang w:val="en-US" w:eastAsia="zh-CN"/>
                                          </w:rPr>
                                          <w:t>ZM2</w:t>
                                        </w:r>
                                      </w:p>
                                    </w:txbxContent>
                                  </wps:txbx>
                                  <wps:bodyPr upright="1"/>
                                </wps:wsp>
                              </a:graphicData>
                            </a:graphic>
                          </wp:anchor>
                        </w:drawing>
                      </mc:Choice>
                      <mc:Fallback>
                        <w:pict>
                          <v:shape id="_x0000_s1026" o:spid="_x0000_s1026" o:spt="202" type="#_x0000_t202" style="position:absolute;left:0pt;margin-left:126.05pt;margin-top:352.55pt;height:18.75pt;width:39.65pt;z-index:251668480;mso-width-relative:page;mso-height-relative:page;" fillcolor="#FFFFFF" filled="t" stroked="t" coordsize="21600,21600" o:gfxdata="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Oujcc2gAAAAsBAAAPAAAAAAAAAAEAIAAA&#10;ACIAAABkcnMvZG93bnJldi54bWxQSwECFAAUAAAACACHTuJArnMJwgoCAAA3BAAADgAAAAAAAAAB&#10;ACAAAAApAQAAZHJzL2Uyb0RvYy54bWxQSwUGAAAAAAYABgBZAQAApQUAAAAA&#10;">
                            <v:fill on="t" focussize="0,0"/>
                            <v:stroke color="#000000" joinstyle="miter"/>
                            <v:imagedata o:title=""/>
                            <o:lock v:ext="edit" aspectratio="f"/>
                            <v:textbox>
                              <w:txbxContent>
                                <w:p>
                                  <w:pPr>
                                    <w:ind w:left="0" w:leftChars="0" w:firstLine="0" w:firstLineChars="0"/>
                                    <w:rPr>
                                      <w:rFonts w:hint="default" w:eastAsia="宋体"/>
                                      <w:lang w:val="en-US" w:eastAsia="zh-CN"/>
                                    </w:rPr>
                                  </w:pPr>
                                  <w:r>
                                    <w:rPr>
                                      <w:rFonts w:hint="eastAsia"/>
                                      <w:lang w:val="en-US" w:eastAsia="zh-CN"/>
                                    </w:rPr>
                                    <w:t>ZM2</w:t>
                                  </w:r>
                                </w:p>
                              </w:txbxContent>
                            </v:textbox>
                          </v:shape>
                        </w:pict>
                      </mc:Fallback>
                    </mc:AlternateContent>
                  </w:r>
                  <w:r>
                    <w:drawing>
                      <wp:inline distT="0" distB="0" distL="114300" distR="114300">
                        <wp:extent cx="1688465" cy="4779010"/>
                        <wp:effectExtent l="0" t="0" r="6985" b="254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24"/>
                                <a:stretch>
                                  <a:fillRect/>
                                </a:stretch>
                              </pic:blipFill>
                              <pic:spPr>
                                <a:xfrm>
                                  <a:off x="0" y="0"/>
                                  <a:ext cx="1688465" cy="4779010"/>
                                </a:xfrm>
                                <a:prstGeom prst="rect">
                                  <a:avLst/>
                                </a:prstGeom>
                                <a:noFill/>
                                <a:ln>
                                  <a:noFill/>
                                </a:ln>
                              </pic:spPr>
                            </pic:pic>
                          </a:graphicData>
                        </a:graphic>
                      </wp:inline>
                    </w:drawing>
                  </w:r>
                </w:p>
              </w:tc>
              <w:tc>
                <w:tcPr>
                  <w:tcW w:w="359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sz w:val="21"/>
                    </w:rPr>
                  </w:pPr>
                  <w:r>
                    <w:rPr>
                      <w:sz w:val="21"/>
                    </w:rPr>
                    <mc:AlternateContent>
                      <mc:Choice Requires="wps">
                        <w:drawing>
                          <wp:anchor distT="0" distB="0" distL="114300" distR="114300" simplePos="0" relativeHeight="251679744" behindDoc="0" locked="0" layoutInCell="1" allowOverlap="1">
                            <wp:simplePos x="0" y="0"/>
                            <wp:positionH relativeFrom="column">
                              <wp:posOffset>1222375</wp:posOffset>
                            </wp:positionH>
                            <wp:positionV relativeFrom="paragraph">
                              <wp:posOffset>495935</wp:posOffset>
                            </wp:positionV>
                            <wp:extent cx="327660" cy="288290"/>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32766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FF0000"/>
                                            <w:lang w:val="en-US" w:eastAsia="zh-CN"/>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25pt;margin-top:39.05pt;height:22.7pt;width:25.8pt;z-index:251679744;mso-width-relative:page;mso-height-relative:page;" filled="f" stroked="f" coordsize="21600,21600" o:gfxdata="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&#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I7zcI2gAAAAoBAAAPAAAAAAAAAAEAIAAAACIAAABk&#10;cnMvZG93bnJldi54bWxQSwECFAAUAAAACACHTuJAWF+hYj0CAABpBAAADgAAAAAAAAABACAAAAAp&#10;AQAAZHJzL2Uyb0RvYy54bWxQSwUGAAAAAAYABgBZAQAA2AUAAAAA&#10;">
                            <v:fill on="f" focussize="0,0"/>
                            <v:stroke on="f" weight="0.5pt"/>
                            <v:imagedata o:title=""/>
                            <o:lock v:ext="edit" aspectratio="f"/>
                            <v:textbox>
                              <w:txbxContent>
                                <w:p>
                                  <w:pPr>
                                    <w:rPr>
                                      <w:rFonts w:hint="default" w:eastAsia="宋体"/>
                                      <w:lang w:val="en-US" w:eastAsia="zh-CN"/>
                                    </w:rPr>
                                  </w:pPr>
                                  <w:r>
                                    <w:rPr>
                                      <w:rFonts w:hint="eastAsia"/>
                                      <w:color w:val="FF0000"/>
                                      <w:lang w:val="en-US" w:eastAsia="zh-CN"/>
                                    </w:rPr>
                                    <w:t>C</w:t>
                                  </w:r>
                                </w:p>
                              </w:txbxContent>
                            </v:textbox>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1041400</wp:posOffset>
                            </wp:positionH>
                            <wp:positionV relativeFrom="paragraph">
                              <wp:posOffset>234315</wp:posOffset>
                            </wp:positionV>
                            <wp:extent cx="327660" cy="28829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32766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FF0000"/>
                                            <w:lang w:val="en-US" w:eastAsia="zh-CN"/>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2pt;margin-top:18.45pt;height:22.7pt;width:25.8pt;z-index:251680768;mso-width-relative:page;mso-height-relative:page;" filled="f" stroked="f" coordsize="21600,21600" o:gfxdata="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&#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hR1WdoAAAAJAQAADwAAAAAAAAABACAAAAAiAAAA&#10;ZHJzL2Rvd25yZXYueG1sUEsBAhQAFAAAAAgAh07iQNVQuVQ+AgAAaQQAAA4AAAAAAAAAAQAgAAAA&#10;KQ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color w:val="FF0000"/>
                                      <w:lang w:val="en-US" w:eastAsia="zh-CN"/>
                                    </w:rPr>
                                    <w:t>B</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847090</wp:posOffset>
                            </wp:positionH>
                            <wp:positionV relativeFrom="paragraph">
                              <wp:posOffset>492760</wp:posOffset>
                            </wp:positionV>
                            <wp:extent cx="327660" cy="28829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32766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color w:val="FF0000"/>
                                            <w:lang w:val="en-US" w:eastAsia="zh-CN"/>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7pt;margin-top:38.8pt;height:22.7pt;width:25.8pt;z-index:251677696;mso-width-relative:page;mso-height-relative:page;" filled="f" stroked="f" coordsize="21600,21600" o:gfxdata="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&#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3Fe6NoAAAAKAQAADwAAAAAAAAABACAAAAAiAAAA&#10;ZHJzL2Rvd25yZXYueG1sUEsBAhQAFAAAAAgAh07iQF8EQL0+AgAAaQQAAA4AAAAAAAAAAQAgAAAA&#10;KQEAAGRycy9lMm9Eb2MueG1sUEsFBgAAAAAGAAYAWQEAANkFAAAAAA==&#10;">
                            <v:fill on="f" focussize="0,0"/>
                            <v:stroke on="f" weight="0.5pt"/>
                            <v:imagedata o:title=""/>
                            <o:lock v:ext="edit" aspectratio="f"/>
                            <v:textbox>
                              <w:txbxContent>
                                <w:p>
                                  <w:pPr>
                                    <w:rPr>
                                      <w:rFonts w:hint="eastAsia" w:eastAsia="宋体"/>
                                      <w:lang w:val="en-US" w:eastAsia="zh-CN"/>
                                    </w:rPr>
                                  </w:pPr>
                                  <w:r>
                                    <w:rPr>
                                      <w:rFonts w:hint="eastAsia"/>
                                      <w:color w:val="FF0000"/>
                                      <w:lang w:val="en-US" w:eastAsia="zh-CN"/>
                                    </w:rPr>
                                    <w:t>A</w:t>
                                  </w:r>
                                </w:p>
                              </w:txbxContent>
                            </v:textbox>
                          </v:shape>
                        </w:pict>
                      </mc:Fallback>
                    </mc:AlternateContent>
                  </w:r>
                  <w:r>
                    <w:rPr>
                      <w:color w:val="000000"/>
                      <w:sz w:val="21"/>
                    </w:rPr>
                    <mc:AlternateContent>
                      <mc:Choice Requires="wps">
                        <w:drawing>
                          <wp:anchor distT="0" distB="0" distL="114300" distR="114300" simplePos="0" relativeHeight="251667456" behindDoc="0" locked="0" layoutInCell="1" allowOverlap="1">
                            <wp:simplePos x="0" y="0"/>
                            <wp:positionH relativeFrom="column">
                              <wp:posOffset>1615440</wp:posOffset>
                            </wp:positionH>
                            <wp:positionV relativeFrom="paragraph">
                              <wp:posOffset>4455160</wp:posOffset>
                            </wp:positionV>
                            <wp:extent cx="519430" cy="238125"/>
                            <wp:effectExtent l="4445" t="5080" r="9525" b="4445"/>
                            <wp:wrapNone/>
                            <wp:docPr id="24" name="文本框 24"/>
                            <wp:cNvGraphicFramePr/>
                            <a:graphic xmlns:a="http://schemas.openxmlformats.org/drawingml/2006/main">
                              <a:graphicData uri="http://schemas.microsoft.com/office/word/2010/wordprocessingShape">
                                <wps:wsp>
                                  <wps:cNvSpPr txBox="1"/>
                                  <wps:spPr>
                                    <a:xfrm>
                                      <a:off x="0" y="0"/>
                                      <a:ext cx="519430" cy="2381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rPr>
                                            <w:rFonts w:hint="default" w:eastAsia="宋体"/>
                                            <w:lang w:val="en-US" w:eastAsia="zh-CN"/>
                                          </w:rPr>
                                        </w:pPr>
                                        <w:r>
                                          <w:rPr>
                                            <w:rFonts w:hint="eastAsia"/>
                                            <w:lang w:val="en-US" w:eastAsia="zh-CN"/>
                                          </w:rPr>
                                          <w:t>ZMK</w:t>
                                        </w:r>
                                      </w:p>
                                    </w:txbxContent>
                                  </wps:txbx>
                                  <wps:bodyPr upright="1"/>
                                </wps:wsp>
                              </a:graphicData>
                            </a:graphic>
                          </wp:anchor>
                        </w:drawing>
                      </mc:Choice>
                      <mc:Fallback>
                        <w:pict>
                          <v:shape id="_x0000_s1026" o:spid="_x0000_s1026" o:spt="202" type="#_x0000_t202" style="position:absolute;left:0pt;margin-left:127.2pt;margin-top:350.8pt;height:18.75pt;width:40.9pt;z-index:251667456;mso-width-relative:page;mso-height-relative:page;" fillcolor="#FFFFFF" filled="t" stroked="t" coordsize="21600,21600" o:gfxdata="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3E9YtoAAAALAQAADwAAAAAAAAABACAA&#10;AAAiAAAAZHJzL2Rvd25yZXYueG1sUEsBAhQAFAAAAAgAh07iQLDtKC0LAgAANwQAAA4AAAAAAAAA&#10;AQAgAAAAKQEAAGRycy9lMm9Eb2MueG1sUEsFBgAAAAAGAAYAWQEAAKYFAAAAAA==&#10;">
                            <v:fill on="t" focussize="0,0"/>
                            <v:stroke color="#000000" joinstyle="miter"/>
                            <v:imagedata o:title=""/>
                            <o:lock v:ext="edit" aspectratio="f"/>
                            <v:textbox>
                              <w:txbxContent>
                                <w:p>
                                  <w:pPr>
                                    <w:ind w:left="0" w:leftChars="0" w:firstLine="0" w:firstLineChars="0"/>
                                    <w:rPr>
                                      <w:rFonts w:hint="default" w:eastAsia="宋体"/>
                                      <w:lang w:val="en-US" w:eastAsia="zh-CN"/>
                                    </w:rPr>
                                  </w:pPr>
                                  <w:r>
                                    <w:rPr>
                                      <w:rFonts w:hint="eastAsia"/>
                                      <w:lang w:val="en-US" w:eastAsia="zh-CN"/>
                                    </w:rPr>
                                    <w:t>ZMK</w:t>
                                  </w:r>
                                </w:p>
                              </w:txbxContent>
                            </v:textbox>
                          </v:shape>
                        </w:pict>
                      </mc:Fallback>
                    </mc:AlternateContent>
                  </w:r>
                  <w:r>
                    <w:drawing>
                      <wp:inline distT="0" distB="0" distL="114300" distR="114300">
                        <wp:extent cx="1387475" cy="4838700"/>
                        <wp:effectExtent l="0" t="0" r="3175" b="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25"/>
                                <a:stretch>
                                  <a:fillRect/>
                                </a:stretch>
                              </pic:blipFill>
                              <pic:spPr>
                                <a:xfrm>
                                  <a:off x="0" y="0"/>
                                  <a:ext cx="1387475" cy="4838700"/>
                                </a:xfrm>
                                <a:prstGeom prst="rect">
                                  <a:avLst/>
                                </a:prstGeom>
                                <a:noFill/>
                                <a:ln>
                                  <a:noFill/>
                                </a:ln>
                              </pic:spPr>
                            </pic:pic>
                          </a:graphicData>
                        </a:graphic>
                      </wp:inline>
                    </w:drawing>
                  </w:r>
                </w:p>
              </w:tc>
            </w:tr>
          </w:tbl>
          <w:p>
            <w:pPr>
              <w:adjustRightInd w:val="0"/>
              <w:snapToGrid w:val="0"/>
              <w:spacing w:line="360" w:lineRule="auto"/>
              <w:jc w:val="center"/>
              <w:rPr>
                <w:rFonts w:hint="default" w:eastAsia="宋体" w:cs="宋体"/>
                <w:b/>
                <w:color w:val="000000"/>
                <w:szCs w:val="21"/>
                <w:highlight w:val="none"/>
                <w:lang w:val="en-US" w:eastAsia="zh-CN"/>
              </w:rPr>
            </w:pPr>
            <w:r>
              <w:rPr>
                <w:rFonts w:hint="eastAsia" w:cs="宋体"/>
                <w:b/>
                <w:color w:val="000000"/>
                <w:szCs w:val="21"/>
                <w:highlight w:val="none"/>
              </w:rPr>
              <w:t>图</w:t>
            </w:r>
            <w:r>
              <w:rPr>
                <w:rFonts w:hint="eastAsia" w:cs="宋体"/>
                <w:b/>
                <w:color w:val="000000"/>
                <w:szCs w:val="21"/>
                <w:highlight w:val="none"/>
                <w:lang w:val="en-US" w:eastAsia="zh-CN"/>
              </w:rPr>
              <w:t>7-1</w:t>
            </w:r>
            <w:r>
              <w:rPr>
                <w:rFonts w:hint="eastAsia" w:cs="宋体"/>
                <w:b/>
                <w:bCs/>
                <w:color w:val="000000"/>
                <w:szCs w:val="21"/>
                <w:highlight w:val="none"/>
                <w:lang w:val="en-US" w:eastAsia="zh-CN"/>
              </w:rPr>
              <w:t>本工程塔型图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根据《110kV～750kV架空输电线路设计规范》（GB 50545-2010）</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220kV线路距离非居民区最低线高</w:t>
            </w:r>
            <w:r>
              <w:rPr>
                <w:rFonts w:hint="eastAsia" w:ascii="Times New Roman" w:hAnsi="Times New Roman" w:eastAsia="宋体" w:cs="Times New Roman"/>
                <w:color w:val="000000"/>
                <w:sz w:val="24"/>
                <w:szCs w:val="24"/>
                <w:highlight w:val="none"/>
                <w:lang w:val="en-US" w:eastAsia="zh-CN"/>
              </w:rPr>
              <w:t>6.5</w:t>
            </w:r>
            <w:r>
              <w:rPr>
                <w:rFonts w:hint="default" w:ascii="Times New Roman" w:hAnsi="Times New Roman" w:eastAsia="宋体" w:cs="Times New Roman"/>
                <w:color w:val="000000"/>
                <w:sz w:val="24"/>
                <w:szCs w:val="24"/>
                <w:highlight w:val="none"/>
                <w:lang w:val="en-US" w:eastAsia="zh-CN"/>
              </w:rPr>
              <w:t>m，距离居民区最低线高</w:t>
            </w:r>
            <w:r>
              <w:rPr>
                <w:rFonts w:hint="eastAsia" w:ascii="Times New Roman" w:hAnsi="Times New Roman" w:eastAsia="宋体" w:cs="Times New Roman"/>
                <w:color w:val="000000"/>
                <w:sz w:val="24"/>
                <w:szCs w:val="24"/>
                <w:highlight w:val="none"/>
                <w:lang w:val="en-US" w:eastAsia="zh-CN"/>
              </w:rPr>
              <w:t>7.5</w:t>
            </w:r>
            <w:r>
              <w:rPr>
                <w:rFonts w:hint="default" w:ascii="Times New Roman" w:hAnsi="Times New Roman" w:eastAsia="宋体" w:cs="Times New Roman"/>
                <w:color w:val="000000"/>
                <w:sz w:val="24"/>
                <w:szCs w:val="24"/>
                <w:highlight w:val="none"/>
                <w:lang w:val="en-US" w:eastAsia="zh-CN"/>
              </w:rPr>
              <w:t>m</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w:t>
            </w:r>
            <w:r>
              <w:rPr>
                <w:rFonts w:hint="eastAsia" w:cs="Times New Roman"/>
                <w:color w:val="auto"/>
                <w:sz w:val="24"/>
                <w:szCs w:val="24"/>
                <w:highlight w:val="none"/>
                <w:lang w:val="en-US" w:eastAsia="zh-CN"/>
              </w:rPr>
              <w:t>根据企业提供的平断面段位图可知，本项目ZM2与ZMK塔型的最低线高为9.5m，本次计算从最不利角度考虑，</w:t>
            </w:r>
            <w:r>
              <w:rPr>
                <w:rFonts w:hint="default" w:ascii="Times New Roman" w:hAnsi="Times New Roman" w:eastAsia="宋体" w:cs="Times New Roman"/>
                <w:color w:val="auto"/>
                <w:sz w:val="24"/>
                <w:szCs w:val="24"/>
                <w:highlight w:val="none"/>
                <w:lang w:val="en-US" w:eastAsia="zh-CN"/>
              </w:rPr>
              <w:t>最低线高选取</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m进行预测</w:t>
            </w:r>
            <w:r>
              <w:rPr>
                <w:rFonts w:hint="default" w:ascii="Times New Roman" w:hAnsi="Times New Roman" w:eastAsia="宋体" w:cs="Times New Roman"/>
                <w:color w:val="000000"/>
                <w:sz w:val="24"/>
                <w:szCs w:val="24"/>
                <w:highlight w:val="none"/>
                <w:lang w:val="en-US" w:eastAsia="zh-CN"/>
              </w:rPr>
              <w:t>。以输电线路中心地表投影为坐标原点，以垂直线路走向为X坐标方向，计算范围为输电线路中心至边导线外40m。</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（2）工频电磁场预测所需参数选取</w:t>
            </w:r>
          </w:p>
          <w:p>
            <w:pPr>
              <w:spacing w:line="240" w:lineRule="auto"/>
              <w:ind w:left="0" w:leftChars="0" w:firstLine="422" w:firstLineChars="200"/>
              <w:jc w:val="center"/>
              <w:rPr>
                <w:rFonts w:hint="default" w:ascii="Times New Roman" w:hAnsi="Times New Roman" w:eastAsia="宋体" w:cs="Times New Roman"/>
                <w:b/>
                <w:bCs/>
                <w:color w:val="000000"/>
                <w:highlight w:val="none"/>
                <w:lang w:val="en-US" w:eastAsia="zh-CN"/>
              </w:rPr>
            </w:pPr>
          </w:p>
          <w:p>
            <w:pPr>
              <w:spacing w:line="240" w:lineRule="auto"/>
              <w:ind w:left="0" w:leftChars="0" w:firstLine="422" w:firstLineChars="20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eastAsia="宋体" w:cs="Times New Roman"/>
                <w:b/>
                <w:bCs/>
                <w:color w:val="000000"/>
                <w:highlight w:val="none"/>
                <w:lang w:val="en-US" w:eastAsia="zh-CN"/>
              </w:rPr>
              <w:t>表</w:t>
            </w:r>
            <w:r>
              <w:rPr>
                <w:rFonts w:hint="eastAsia" w:ascii="Times New Roman" w:hAnsi="Times New Roman" w:eastAsia="宋体" w:cs="Times New Roman"/>
                <w:b/>
                <w:bCs/>
                <w:color w:val="000000"/>
                <w:highlight w:val="none"/>
                <w:lang w:val="en-US" w:eastAsia="zh-CN"/>
              </w:rPr>
              <w:t>7-7  本项目输电线路预测断面预测参数</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7"/>
              <w:gridCol w:w="3132"/>
              <w:gridCol w:w="31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塔型</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Z</w:t>
                  </w:r>
                  <w:r>
                    <w:rPr>
                      <w:rFonts w:hint="eastAsia" w:cs="Times New Roman"/>
                      <w:color w:val="000000"/>
                      <w:kern w:val="24"/>
                      <w:sz w:val="21"/>
                      <w:szCs w:val="21"/>
                      <w:highlight w:val="none"/>
                      <w:vertAlign w:val="baseline"/>
                      <w:lang w:val="en-US" w:eastAsia="zh-CN"/>
                    </w:rPr>
                    <w:t>M</w:t>
                  </w:r>
                  <w:r>
                    <w:rPr>
                      <w:rFonts w:hint="eastAsia" w:ascii="Times New Roman" w:hAnsi="Times New Roman" w:eastAsia="宋体" w:cs="Times New Roman"/>
                      <w:color w:val="000000"/>
                      <w:kern w:val="24"/>
                      <w:sz w:val="21"/>
                      <w:szCs w:val="21"/>
                      <w:highlight w:val="none"/>
                      <w:vertAlign w:val="baseline"/>
                      <w:lang w:val="en-US" w:eastAsia="zh-CN"/>
                    </w:rPr>
                    <w:t>2</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Z</w:t>
                  </w:r>
                  <w:r>
                    <w:rPr>
                      <w:rFonts w:hint="eastAsia" w:cs="Times New Roman"/>
                      <w:color w:val="000000"/>
                      <w:kern w:val="24"/>
                      <w:sz w:val="21"/>
                      <w:szCs w:val="21"/>
                      <w:highlight w:val="none"/>
                      <w:vertAlign w:val="baseline"/>
                      <w:lang w:val="en-US" w:eastAsia="zh-CN"/>
                    </w:rPr>
                    <w:t>M</w:t>
                  </w:r>
                  <w:r>
                    <w:rPr>
                      <w:rFonts w:hint="eastAsia" w:ascii="Times New Roman" w:hAnsi="Times New Roman" w:eastAsia="宋体" w:cs="Times New Roman"/>
                      <w:color w:val="000000"/>
                      <w:kern w:val="24"/>
                      <w:sz w:val="21"/>
                      <w:szCs w:val="21"/>
                      <w:highlight w:val="none"/>
                      <w:vertAlign w:val="baseline"/>
                      <w:lang w:val="en-US" w:eastAsia="zh-CN"/>
                    </w:rPr>
                    <w:t>K</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default" w:ascii="Times New Roman" w:hAnsi="Times New Roman" w:eastAsia="宋体" w:cs="Times New Roman"/>
                      <w:color w:val="000000"/>
                      <w:kern w:val="24"/>
                      <w:sz w:val="21"/>
                      <w:szCs w:val="21"/>
                      <w:highlight w:val="none"/>
                      <w:vertAlign w:val="baseline"/>
                      <w:lang w:val="en-US" w:eastAsia="zh-CN"/>
                    </w:rPr>
                    <w:t>电压等级</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22</w:t>
                  </w:r>
                  <w:r>
                    <w:rPr>
                      <w:rFonts w:hint="default" w:ascii="Times New Roman" w:hAnsi="Times New Roman" w:eastAsia="宋体" w:cs="Times New Roman"/>
                      <w:color w:val="000000"/>
                      <w:kern w:val="24"/>
                      <w:sz w:val="21"/>
                      <w:szCs w:val="21"/>
                      <w:highlight w:val="none"/>
                      <w:vertAlign w:val="baseline"/>
                      <w:lang w:val="en-US" w:eastAsia="zh-CN"/>
                    </w:rPr>
                    <w:t>0kV</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22</w:t>
                  </w:r>
                  <w:r>
                    <w:rPr>
                      <w:rFonts w:hint="default" w:ascii="Times New Roman" w:hAnsi="Times New Roman" w:eastAsia="宋体" w:cs="Times New Roman"/>
                      <w:color w:val="000000"/>
                      <w:kern w:val="24"/>
                      <w:sz w:val="21"/>
                      <w:szCs w:val="21"/>
                      <w:highlight w:val="none"/>
                      <w:vertAlign w:val="baseline"/>
                      <w:lang w:val="en-US" w:eastAsia="zh-CN"/>
                    </w:rPr>
                    <w:t>0kV</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default" w:ascii="Times New Roman" w:hAnsi="Times New Roman" w:eastAsia="宋体" w:cs="Times New Roman"/>
                      <w:color w:val="000000"/>
                      <w:kern w:val="24"/>
                      <w:sz w:val="21"/>
                      <w:szCs w:val="21"/>
                      <w:highlight w:val="none"/>
                      <w:vertAlign w:val="baseline"/>
                      <w:lang w:val="en-US" w:eastAsia="zh-CN"/>
                    </w:rPr>
                    <w:t>悬挂方式</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单回路</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单回路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导线型号</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default" w:ascii="Times New Roman" w:hAnsi="Times New Roman" w:eastAsia="宋体" w:cs="Times New Roman"/>
                      <w:color w:val="000000"/>
                      <w:kern w:val="24"/>
                      <w:sz w:val="21"/>
                      <w:szCs w:val="21"/>
                      <w:highlight w:val="none"/>
                      <w:vertAlign w:val="baseline"/>
                      <w:lang w:val="en-US" w:eastAsia="zh-CN"/>
                    </w:rPr>
                    <w:t>2×J3/G1A-240/30钢芯铝绞线</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default" w:ascii="Times New Roman" w:hAnsi="Times New Roman" w:eastAsia="宋体" w:cs="Times New Roman"/>
                      <w:color w:val="000000"/>
                      <w:kern w:val="24"/>
                      <w:sz w:val="21"/>
                      <w:szCs w:val="21"/>
                      <w:highlight w:val="none"/>
                      <w:vertAlign w:val="baseline"/>
                      <w:lang w:val="en-US" w:eastAsia="zh-CN"/>
                    </w:rPr>
                    <w:t>2×J3/G1A-240/30钢芯铝绞线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4"/>
                      <w:sz w:val="21"/>
                      <w:szCs w:val="21"/>
                      <w:highlight w:val="none"/>
                      <w:vertAlign w:val="baseline"/>
                      <w:lang w:val="en-US" w:eastAsia="zh-CN"/>
                    </w:rPr>
                  </w:pPr>
                  <w:r>
                    <w:rPr>
                      <w:rFonts w:hint="eastAsia" w:ascii="Times New Roman" w:hAnsi="Times New Roman" w:eastAsia="宋体" w:cs="Times New Roman"/>
                      <w:color w:val="auto"/>
                      <w:kern w:val="24"/>
                      <w:sz w:val="21"/>
                      <w:szCs w:val="21"/>
                      <w:highlight w:val="none"/>
                      <w:vertAlign w:val="baseline"/>
                      <w:lang w:val="en-US" w:eastAsia="zh-CN"/>
                    </w:rPr>
                    <w:t>线间距</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4"/>
                      <w:sz w:val="21"/>
                      <w:szCs w:val="21"/>
                      <w:highlight w:val="none"/>
                      <w:vertAlign w:val="baseline"/>
                      <w:lang w:val="en-US" w:eastAsia="zh-CN"/>
                    </w:rPr>
                  </w:pPr>
                  <w:r>
                    <w:rPr>
                      <w:rFonts w:hint="eastAsia" w:ascii="Times New Roman" w:hAnsi="Times New Roman" w:cs="Times New Roman"/>
                      <w:color w:val="auto"/>
                      <w:kern w:val="24"/>
                      <w:sz w:val="21"/>
                      <w:szCs w:val="21"/>
                      <w:highlight w:val="none"/>
                      <w:vertAlign w:val="baseline"/>
                      <w:lang w:val="en-US" w:eastAsia="zh-CN"/>
                    </w:rPr>
                    <w:t>A-B</w:t>
                  </w:r>
                  <w:r>
                    <w:rPr>
                      <w:rFonts w:hint="default" w:ascii="Times New Roman" w:hAnsi="Times New Roman" w:eastAsia="宋体" w:cs="Times New Roman"/>
                      <w:color w:val="auto"/>
                      <w:kern w:val="24"/>
                      <w:sz w:val="21"/>
                      <w:szCs w:val="21"/>
                      <w:highlight w:val="none"/>
                      <w:vertAlign w:val="baseline"/>
                      <w:lang w:val="en-US" w:eastAsia="zh-CN"/>
                    </w:rPr>
                    <w:t>水平距离:5</w:t>
                  </w:r>
                  <w:r>
                    <w:rPr>
                      <w:rFonts w:hint="default" w:ascii="Times New Roman" w:hAnsi="Times New Roman" w:cs="Times New Roman"/>
                      <w:color w:val="auto"/>
                      <w:kern w:val="24"/>
                      <w:sz w:val="21"/>
                      <w:szCs w:val="21"/>
                      <w:highlight w:val="none"/>
                      <w:vertAlign w:val="baseline"/>
                      <w:lang w:val="en-US" w:eastAsia="zh-CN"/>
                    </w:rPr>
                    <w:t>.3</w:t>
                  </w:r>
                  <w:r>
                    <w:rPr>
                      <w:rFonts w:hint="default" w:ascii="Times New Roman" w:hAnsi="Times New Roman" w:eastAsia="宋体" w:cs="Times New Roman"/>
                      <w:color w:val="auto"/>
                      <w:kern w:val="24"/>
                      <w:sz w:val="21"/>
                      <w:szCs w:val="21"/>
                      <w:highlight w:val="none"/>
                      <w:vertAlign w:val="baseline"/>
                      <w:lang w:val="en-US" w:eastAsia="zh-CN"/>
                    </w:rPr>
                    <w:t>m</w:t>
                  </w:r>
                  <w:r>
                    <w:rPr>
                      <w:rFonts w:hint="default" w:ascii="Times New Roman" w:hAnsi="Times New Roman" w:cs="Times New Roman"/>
                      <w:color w:val="auto"/>
                      <w:kern w:val="24"/>
                      <w:sz w:val="21"/>
                      <w:szCs w:val="21"/>
                      <w:highlight w:val="none"/>
                      <w:vertAlign w:val="baseline"/>
                      <w:lang w:val="en-US" w:eastAsia="zh-CN"/>
                    </w:rPr>
                    <w:t>；</w:t>
                  </w:r>
                  <w:r>
                    <w:rPr>
                      <w:rFonts w:hint="eastAsia" w:ascii="Times New Roman" w:hAnsi="Times New Roman" w:cs="Times New Roman"/>
                      <w:color w:val="auto"/>
                      <w:kern w:val="24"/>
                      <w:sz w:val="21"/>
                      <w:szCs w:val="21"/>
                      <w:highlight w:val="none"/>
                      <w:vertAlign w:val="baseline"/>
                      <w:lang w:val="en-US" w:eastAsia="zh-CN"/>
                    </w:rPr>
                    <w:t>A-B</w:t>
                  </w:r>
                  <w:r>
                    <w:rPr>
                      <w:rFonts w:hint="default" w:ascii="Times New Roman" w:hAnsi="Times New Roman" w:eastAsia="宋体" w:cs="Times New Roman"/>
                      <w:color w:val="auto"/>
                      <w:kern w:val="24"/>
                      <w:sz w:val="21"/>
                      <w:szCs w:val="21"/>
                      <w:highlight w:val="none"/>
                      <w:vertAlign w:val="baseline"/>
                      <w:lang w:val="en-US" w:eastAsia="zh-CN"/>
                    </w:rPr>
                    <w:t>垂直距离:5</w:t>
                  </w:r>
                  <w:r>
                    <w:rPr>
                      <w:rFonts w:hint="default" w:ascii="Times New Roman" w:hAnsi="Times New Roman" w:cs="Times New Roman"/>
                      <w:color w:val="auto"/>
                      <w:kern w:val="24"/>
                      <w:sz w:val="21"/>
                      <w:szCs w:val="21"/>
                      <w:highlight w:val="none"/>
                      <w:vertAlign w:val="baseline"/>
                      <w:lang w:val="en-US" w:eastAsia="zh-CN"/>
                    </w:rPr>
                    <w:t>.9</w:t>
                  </w:r>
                  <w:r>
                    <w:rPr>
                      <w:rFonts w:hint="default" w:ascii="Times New Roman" w:hAnsi="Times New Roman" w:eastAsia="宋体" w:cs="Times New Roman"/>
                      <w:color w:val="auto"/>
                      <w:kern w:val="24"/>
                      <w:sz w:val="21"/>
                      <w:szCs w:val="21"/>
                      <w:highlight w:val="none"/>
                      <w:vertAlign w:val="baseline"/>
                      <w:lang w:val="en-US" w:eastAsia="zh-CN"/>
                    </w:rPr>
                    <w:t>m</w:t>
                  </w:r>
                  <w:r>
                    <w:rPr>
                      <w:rFonts w:hint="default" w:ascii="Times New Roman" w:hAnsi="Times New Roman" w:cs="Times New Roman"/>
                      <w:color w:val="auto"/>
                      <w:kern w:val="24"/>
                      <w:sz w:val="21"/>
                      <w:szCs w:val="21"/>
                      <w:highlight w:val="none"/>
                      <w:vertAlign w:val="baseline"/>
                      <w:lang w:val="en-US" w:eastAsia="zh-CN"/>
                    </w:rPr>
                    <w:t>；</w:t>
                  </w:r>
                  <w:r>
                    <w:rPr>
                      <w:rFonts w:hint="eastAsia" w:ascii="Times New Roman" w:hAnsi="Times New Roman" w:cs="Times New Roman"/>
                      <w:color w:val="auto"/>
                      <w:kern w:val="24"/>
                      <w:sz w:val="21"/>
                      <w:szCs w:val="21"/>
                      <w:highlight w:val="none"/>
                      <w:vertAlign w:val="baseline"/>
                      <w:lang w:val="en-US" w:eastAsia="zh-CN"/>
                    </w:rPr>
                    <w:t>C-B</w:t>
                  </w:r>
                  <w:r>
                    <w:rPr>
                      <w:rFonts w:hint="default" w:ascii="Times New Roman" w:hAnsi="Times New Roman" w:eastAsia="宋体" w:cs="Times New Roman"/>
                      <w:color w:val="auto"/>
                      <w:kern w:val="24"/>
                      <w:sz w:val="21"/>
                      <w:szCs w:val="21"/>
                      <w:highlight w:val="none"/>
                      <w:vertAlign w:val="baseline"/>
                      <w:lang w:val="en-US" w:eastAsia="zh-CN"/>
                    </w:rPr>
                    <w:t>水平距离:5</w:t>
                  </w:r>
                  <w:r>
                    <w:rPr>
                      <w:rFonts w:hint="default" w:ascii="Times New Roman" w:hAnsi="Times New Roman" w:cs="Times New Roman"/>
                      <w:color w:val="auto"/>
                      <w:kern w:val="24"/>
                      <w:sz w:val="21"/>
                      <w:szCs w:val="21"/>
                      <w:highlight w:val="none"/>
                      <w:vertAlign w:val="baseline"/>
                      <w:lang w:val="en-US" w:eastAsia="zh-CN"/>
                    </w:rPr>
                    <w:t>.3</w:t>
                  </w:r>
                  <w:r>
                    <w:rPr>
                      <w:rFonts w:hint="default" w:ascii="Times New Roman" w:hAnsi="Times New Roman" w:eastAsia="宋体" w:cs="Times New Roman"/>
                      <w:color w:val="auto"/>
                      <w:kern w:val="24"/>
                      <w:sz w:val="21"/>
                      <w:szCs w:val="21"/>
                      <w:highlight w:val="none"/>
                      <w:vertAlign w:val="baseline"/>
                      <w:lang w:val="en-US" w:eastAsia="zh-CN"/>
                    </w:rPr>
                    <w:t>m</w:t>
                  </w:r>
                  <w:r>
                    <w:rPr>
                      <w:rFonts w:hint="eastAsia" w:ascii="Times New Roman" w:hAnsi="Times New Roman" w:eastAsia="宋体" w:cs="Times New Roman"/>
                      <w:color w:val="auto"/>
                      <w:kern w:val="24"/>
                      <w:sz w:val="21"/>
                      <w:szCs w:val="21"/>
                      <w:highlight w:val="none"/>
                      <w:vertAlign w:val="baseline"/>
                      <w:lang w:val="en-US" w:eastAsia="zh-CN"/>
                    </w:rPr>
                    <w:t>；</w:t>
                  </w:r>
                  <w:r>
                    <w:rPr>
                      <w:rFonts w:hint="eastAsia" w:ascii="Times New Roman" w:hAnsi="Times New Roman" w:cs="Times New Roman"/>
                      <w:color w:val="auto"/>
                      <w:kern w:val="24"/>
                      <w:sz w:val="21"/>
                      <w:szCs w:val="21"/>
                      <w:highlight w:val="none"/>
                      <w:vertAlign w:val="baseline"/>
                      <w:lang w:val="en-US" w:eastAsia="zh-CN"/>
                    </w:rPr>
                    <w:t>C-B</w:t>
                  </w:r>
                  <w:r>
                    <w:rPr>
                      <w:rFonts w:hint="default" w:ascii="Times New Roman" w:hAnsi="Times New Roman" w:eastAsia="宋体" w:cs="Times New Roman"/>
                      <w:color w:val="auto"/>
                      <w:kern w:val="24"/>
                      <w:sz w:val="21"/>
                      <w:szCs w:val="21"/>
                      <w:highlight w:val="none"/>
                      <w:vertAlign w:val="baseline"/>
                      <w:lang w:val="en-US" w:eastAsia="zh-CN"/>
                    </w:rPr>
                    <w:t>垂直距离:5</w:t>
                  </w:r>
                  <w:r>
                    <w:rPr>
                      <w:rFonts w:hint="default" w:ascii="Times New Roman" w:hAnsi="Times New Roman" w:cs="Times New Roman"/>
                      <w:color w:val="auto"/>
                      <w:kern w:val="24"/>
                      <w:sz w:val="21"/>
                      <w:szCs w:val="21"/>
                      <w:highlight w:val="none"/>
                      <w:vertAlign w:val="baseline"/>
                      <w:lang w:val="en-US" w:eastAsia="zh-CN"/>
                    </w:rPr>
                    <w:t>.9</w:t>
                  </w:r>
                  <w:r>
                    <w:rPr>
                      <w:rFonts w:hint="default" w:ascii="Times New Roman" w:hAnsi="Times New Roman" w:eastAsia="宋体" w:cs="Times New Roman"/>
                      <w:color w:val="auto"/>
                      <w:kern w:val="24"/>
                      <w:sz w:val="21"/>
                      <w:szCs w:val="21"/>
                      <w:highlight w:val="none"/>
                      <w:vertAlign w:val="baseline"/>
                      <w:lang w:val="en-US" w:eastAsia="zh-CN"/>
                    </w:rPr>
                    <w:t>m</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4"/>
                      <w:sz w:val="21"/>
                      <w:szCs w:val="21"/>
                      <w:highlight w:val="none"/>
                      <w:vertAlign w:val="baseline"/>
                      <w:lang w:val="en-US" w:eastAsia="zh-CN"/>
                    </w:rPr>
                  </w:pPr>
                  <w:r>
                    <w:rPr>
                      <w:rFonts w:hint="eastAsia" w:ascii="Times New Roman" w:hAnsi="Times New Roman" w:cs="Times New Roman"/>
                      <w:color w:val="auto"/>
                      <w:kern w:val="24"/>
                      <w:sz w:val="21"/>
                      <w:szCs w:val="21"/>
                      <w:highlight w:val="none"/>
                      <w:vertAlign w:val="baseline"/>
                      <w:lang w:val="en-US" w:eastAsia="zh-CN"/>
                    </w:rPr>
                    <w:t>A-B</w:t>
                  </w:r>
                  <w:r>
                    <w:rPr>
                      <w:rFonts w:hint="default" w:ascii="Times New Roman" w:hAnsi="Times New Roman" w:eastAsia="宋体" w:cs="Times New Roman"/>
                      <w:color w:val="auto"/>
                      <w:kern w:val="24"/>
                      <w:sz w:val="21"/>
                      <w:szCs w:val="21"/>
                      <w:highlight w:val="none"/>
                      <w:vertAlign w:val="baseline"/>
                      <w:lang w:val="en-US" w:eastAsia="zh-CN"/>
                    </w:rPr>
                    <w:t>水平距离:</w:t>
                  </w:r>
                  <w:r>
                    <w:rPr>
                      <w:rFonts w:hint="eastAsia" w:ascii="Times New Roman" w:hAnsi="Times New Roman" w:eastAsia="宋体" w:cs="Times New Roman"/>
                      <w:color w:val="auto"/>
                      <w:kern w:val="24"/>
                      <w:sz w:val="21"/>
                      <w:szCs w:val="21"/>
                      <w:highlight w:val="none"/>
                      <w:vertAlign w:val="baseline"/>
                      <w:lang w:val="en-US" w:eastAsia="zh-CN"/>
                    </w:rPr>
                    <w:t>5.0</w:t>
                  </w:r>
                  <w:r>
                    <w:rPr>
                      <w:rFonts w:hint="default" w:ascii="Times New Roman" w:hAnsi="Times New Roman" w:eastAsia="宋体" w:cs="Times New Roman"/>
                      <w:color w:val="auto"/>
                      <w:kern w:val="24"/>
                      <w:sz w:val="21"/>
                      <w:szCs w:val="21"/>
                      <w:highlight w:val="none"/>
                      <w:vertAlign w:val="baseline"/>
                      <w:lang w:val="en-US" w:eastAsia="zh-CN"/>
                    </w:rPr>
                    <w:t>m</w:t>
                  </w:r>
                  <w:r>
                    <w:rPr>
                      <w:rFonts w:hint="default" w:ascii="Times New Roman" w:hAnsi="Times New Roman" w:cs="Times New Roman"/>
                      <w:color w:val="auto"/>
                      <w:kern w:val="24"/>
                      <w:sz w:val="21"/>
                      <w:szCs w:val="21"/>
                      <w:highlight w:val="none"/>
                      <w:vertAlign w:val="baseline"/>
                      <w:lang w:val="en-US" w:eastAsia="zh-CN"/>
                    </w:rPr>
                    <w:t>；</w:t>
                  </w:r>
                  <w:r>
                    <w:rPr>
                      <w:rFonts w:hint="eastAsia" w:ascii="Times New Roman" w:hAnsi="Times New Roman" w:cs="Times New Roman"/>
                      <w:color w:val="auto"/>
                      <w:kern w:val="24"/>
                      <w:sz w:val="21"/>
                      <w:szCs w:val="21"/>
                      <w:highlight w:val="none"/>
                      <w:vertAlign w:val="baseline"/>
                      <w:lang w:val="en-US" w:eastAsia="zh-CN"/>
                    </w:rPr>
                    <w:t>A-B</w:t>
                  </w:r>
                  <w:r>
                    <w:rPr>
                      <w:rFonts w:hint="default" w:ascii="Times New Roman" w:hAnsi="Times New Roman" w:eastAsia="宋体" w:cs="Times New Roman"/>
                      <w:color w:val="auto"/>
                      <w:kern w:val="24"/>
                      <w:sz w:val="21"/>
                      <w:szCs w:val="21"/>
                      <w:highlight w:val="none"/>
                      <w:vertAlign w:val="baseline"/>
                      <w:lang w:val="en-US" w:eastAsia="zh-CN"/>
                    </w:rPr>
                    <w:t>垂直距离:</w:t>
                  </w:r>
                  <w:r>
                    <w:rPr>
                      <w:rFonts w:hint="eastAsia" w:ascii="Times New Roman" w:hAnsi="Times New Roman" w:eastAsia="宋体" w:cs="Times New Roman"/>
                      <w:color w:val="auto"/>
                      <w:kern w:val="24"/>
                      <w:sz w:val="21"/>
                      <w:szCs w:val="21"/>
                      <w:highlight w:val="none"/>
                      <w:vertAlign w:val="baseline"/>
                      <w:lang w:val="en-US" w:eastAsia="zh-CN"/>
                    </w:rPr>
                    <w:t>6.5</w:t>
                  </w:r>
                  <w:r>
                    <w:rPr>
                      <w:rFonts w:hint="default" w:ascii="Times New Roman" w:hAnsi="Times New Roman" w:eastAsia="宋体" w:cs="Times New Roman"/>
                      <w:color w:val="auto"/>
                      <w:kern w:val="24"/>
                      <w:sz w:val="21"/>
                      <w:szCs w:val="21"/>
                      <w:highlight w:val="none"/>
                      <w:vertAlign w:val="baseline"/>
                      <w:lang w:val="en-US" w:eastAsia="zh-CN"/>
                    </w:rPr>
                    <w:t>m</w:t>
                  </w:r>
                  <w:r>
                    <w:rPr>
                      <w:rFonts w:hint="default" w:ascii="Times New Roman" w:hAnsi="Times New Roman" w:cs="Times New Roman"/>
                      <w:color w:val="auto"/>
                      <w:kern w:val="24"/>
                      <w:sz w:val="21"/>
                      <w:szCs w:val="21"/>
                      <w:highlight w:val="none"/>
                      <w:vertAlign w:val="baseline"/>
                      <w:lang w:val="en-US" w:eastAsia="zh-CN"/>
                    </w:rPr>
                    <w:t>；</w:t>
                  </w:r>
                  <w:r>
                    <w:rPr>
                      <w:rFonts w:hint="eastAsia" w:ascii="Times New Roman" w:hAnsi="Times New Roman" w:cs="Times New Roman"/>
                      <w:color w:val="auto"/>
                      <w:kern w:val="24"/>
                      <w:sz w:val="21"/>
                      <w:szCs w:val="21"/>
                      <w:highlight w:val="none"/>
                      <w:vertAlign w:val="baseline"/>
                      <w:lang w:val="en-US" w:eastAsia="zh-CN"/>
                    </w:rPr>
                    <w:t>C-B</w:t>
                  </w:r>
                  <w:r>
                    <w:rPr>
                      <w:rFonts w:hint="default" w:ascii="Times New Roman" w:hAnsi="Times New Roman" w:eastAsia="宋体" w:cs="Times New Roman"/>
                      <w:color w:val="auto"/>
                      <w:kern w:val="24"/>
                      <w:sz w:val="21"/>
                      <w:szCs w:val="21"/>
                      <w:highlight w:val="none"/>
                      <w:vertAlign w:val="baseline"/>
                      <w:lang w:val="en-US" w:eastAsia="zh-CN"/>
                    </w:rPr>
                    <w:t>水平距离:5</w:t>
                  </w:r>
                  <w:r>
                    <w:rPr>
                      <w:rFonts w:hint="default" w:ascii="Times New Roman" w:hAnsi="Times New Roman" w:cs="Times New Roman"/>
                      <w:color w:val="auto"/>
                      <w:kern w:val="24"/>
                      <w:sz w:val="21"/>
                      <w:szCs w:val="21"/>
                      <w:highlight w:val="none"/>
                      <w:vertAlign w:val="baseline"/>
                      <w:lang w:val="en-US" w:eastAsia="zh-CN"/>
                    </w:rPr>
                    <w:t>.</w:t>
                  </w:r>
                  <w:r>
                    <w:rPr>
                      <w:rFonts w:hint="eastAsia" w:ascii="Times New Roman" w:hAnsi="Times New Roman" w:cs="Times New Roman"/>
                      <w:color w:val="auto"/>
                      <w:kern w:val="24"/>
                      <w:sz w:val="21"/>
                      <w:szCs w:val="21"/>
                      <w:highlight w:val="none"/>
                      <w:vertAlign w:val="baseline"/>
                      <w:lang w:val="en-US" w:eastAsia="zh-CN"/>
                    </w:rPr>
                    <w:t>0</w:t>
                  </w:r>
                  <w:r>
                    <w:rPr>
                      <w:rFonts w:hint="default" w:ascii="Times New Roman" w:hAnsi="Times New Roman" w:eastAsia="宋体" w:cs="Times New Roman"/>
                      <w:color w:val="auto"/>
                      <w:kern w:val="24"/>
                      <w:sz w:val="21"/>
                      <w:szCs w:val="21"/>
                      <w:highlight w:val="none"/>
                      <w:vertAlign w:val="baseline"/>
                      <w:lang w:val="en-US" w:eastAsia="zh-CN"/>
                    </w:rPr>
                    <w:t>m</w:t>
                  </w:r>
                  <w:r>
                    <w:rPr>
                      <w:rFonts w:hint="eastAsia" w:ascii="Times New Roman" w:hAnsi="Times New Roman" w:eastAsia="宋体" w:cs="Times New Roman"/>
                      <w:color w:val="auto"/>
                      <w:kern w:val="24"/>
                      <w:sz w:val="21"/>
                      <w:szCs w:val="21"/>
                      <w:highlight w:val="none"/>
                      <w:vertAlign w:val="baseline"/>
                      <w:lang w:val="en-US" w:eastAsia="zh-CN"/>
                    </w:rPr>
                    <w:t>；</w:t>
                  </w:r>
                  <w:r>
                    <w:rPr>
                      <w:rFonts w:hint="eastAsia" w:ascii="Times New Roman" w:hAnsi="Times New Roman" w:cs="Times New Roman"/>
                      <w:color w:val="auto"/>
                      <w:kern w:val="24"/>
                      <w:sz w:val="21"/>
                      <w:szCs w:val="21"/>
                      <w:highlight w:val="none"/>
                      <w:vertAlign w:val="baseline"/>
                      <w:lang w:val="en-US" w:eastAsia="zh-CN"/>
                    </w:rPr>
                    <w:t>C-B</w:t>
                  </w:r>
                  <w:r>
                    <w:rPr>
                      <w:rFonts w:hint="default" w:ascii="Times New Roman" w:hAnsi="Times New Roman" w:eastAsia="宋体" w:cs="Times New Roman"/>
                      <w:color w:val="auto"/>
                      <w:kern w:val="24"/>
                      <w:sz w:val="21"/>
                      <w:szCs w:val="21"/>
                      <w:highlight w:val="none"/>
                      <w:vertAlign w:val="baseline"/>
                      <w:lang w:val="en-US" w:eastAsia="zh-CN"/>
                    </w:rPr>
                    <w:t>垂直距离:</w:t>
                  </w:r>
                  <w:r>
                    <w:rPr>
                      <w:rFonts w:hint="eastAsia" w:ascii="Times New Roman" w:hAnsi="Times New Roman" w:eastAsia="宋体" w:cs="Times New Roman"/>
                      <w:color w:val="auto"/>
                      <w:kern w:val="24"/>
                      <w:sz w:val="21"/>
                      <w:szCs w:val="21"/>
                      <w:highlight w:val="none"/>
                      <w:vertAlign w:val="baseline"/>
                      <w:lang w:val="en-US" w:eastAsia="zh-CN"/>
                    </w:rPr>
                    <w:t>6.5</w:t>
                  </w:r>
                  <w:r>
                    <w:rPr>
                      <w:rFonts w:hint="default" w:ascii="Times New Roman" w:hAnsi="Times New Roman" w:eastAsia="宋体" w:cs="Times New Roman"/>
                      <w:color w:val="auto"/>
                      <w:kern w:val="24"/>
                      <w:sz w:val="21"/>
                      <w:szCs w:val="21"/>
                      <w:highlight w:val="none"/>
                      <w:vertAlign w:val="baseli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4"/>
                      <w:sz w:val="21"/>
                      <w:szCs w:val="21"/>
                      <w:highlight w:val="none"/>
                      <w:vertAlign w:val="baseline"/>
                      <w:lang w:val="en-US" w:eastAsia="zh-CN"/>
                    </w:rPr>
                  </w:pPr>
                  <w:r>
                    <w:rPr>
                      <w:rFonts w:hint="eastAsia" w:ascii="Times New Roman" w:hAnsi="Times New Roman" w:eastAsia="宋体" w:cs="Times New Roman"/>
                      <w:color w:val="auto"/>
                      <w:kern w:val="24"/>
                      <w:sz w:val="21"/>
                      <w:szCs w:val="21"/>
                      <w:highlight w:val="none"/>
                      <w:vertAlign w:val="baseline"/>
                      <w:lang w:val="en-US" w:eastAsia="zh-CN"/>
                    </w:rPr>
                    <w:t>最小垂直距离</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4"/>
                      <w:sz w:val="21"/>
                      <w:szCs w:val="21"/>
                      <w:highlight w:val="none"/>
                      <w:vertAlign w:val="baseline"/>
                      <w:lang w:val="en-US" w:eastAsia="zh-CN"/>
                    </w:rPr>
                  </w:pPr>
                  <w:r>
                    <w:rPr>
                      <w:rFonts w:hint="eastAsia" w:cs="Times New Roman"/>
                      <w:color w:val="auto"/>
                      <w:kern w:val="24"/>
                      <w:sz w:val="21"/>
                      <w:szCs w:val="21"/>
                      <w:highlight w:val="none"/>
                      <w:vertAlign w:val="baseline"/>
                      <w:lang w:val="en-US" w:eastAsia="zh-CN"/>
                    </w:rPr>
                    <w:t>9.5</w:t>
                  </w:r>
                  <w:r>
                    <w:rPr>
                      <w:rFonts w:hint="eastAsia" w:ascii="Times New Roman" w:hAnsi="Times New Roman" w:eastAsia="宋体" w:cs="Times New Roman"/>
                      <w:color w:val="auto"/>
                      <w:kern w:val="24"/>
                      <w:sz w:val="21"/>
                      <w:szCs w:val="21"/>
                      <w:highlight w:val="none"/>
                      <w:vertAlign w:val="baseline"/>
                      <w:lang w:val="en-US" w:eastAsia="zh-CN"/>
                    </w:rPr>
                    <w:t>m</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4"/>
                      <w:sz w:val="21"/>
                      <w:szCs w:val="21"/>
                      <w:highlight w:val="none"/>
                      <w:vertAlign w:val="baseline"/>
                      <w:lang w:val="en-US" w:eastAsia="zh-CN"/>
                    </w:rPr>
                  </w:pPr>
                  <w:r>
                    <w:rPr>
                      <w:rFonts w:hint="eastAsia" w:cs="Times New Roman"/>
                      <w:color w:val="auto"/>
                      <w:kern w:val="24"/>
                      <w:sz w:val="21"/>
                      <w:szCs w:val="21"/>
                      <w:highlight w:val="none"/>
                      <w:vertAlign w:val="baseline"/>
                      <w:lang w:val="en-US" w:eastAsia="zh-CN"/>
                    </w:rPr>
                    <w:t>9.5</w:t>
                  </w:r>
                  <w:r>
                    <w:rPr>
                      <w:rFonts w:hint="eastAsia" w:ascii="Times New Roman" w:hAnsi="Times New Roman" w:eastAsia="宋体" w:cs="Times New Roman"/>
                      <w:color w:val="auto"/>
                      <w:kern w:val="24"/>
                      <w:sz w:val="21"/>
                      <w:szCs w:val="21"/>
                      <w:highlight w:val="none"/>
                      <w:vertAlign w:val="baseli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4"/>
                      <w:sz w:val="21"/>
                      <w:szCs w:val="21"/>
                      <w:highlight w:val="none"/>
                      <w:vertAlign w:val="baseline"/>
                      <w:lang w:val="en-US" w:eastAsia="zh-CN"/>
                    </w:rPr>
                  </w:pPr>
                  <w:r>
                    <w:rPr>
                      <w:rFonts w:hint="eastAsia" w:ascii="Times New Roman" w:hAnsi="Times New Roman" w:eastAsia="宋体" w:cs="Times New Roman"/>
                      <w:color w:val="auto"/>
                      <w:kern w:val="24"/>
                      <w:sz w:val="21"/>
                      <w:szCs w:val="21"/>
                      <w:highlight w:val="none"/>
                      <w:vertAlign w:val="baseline"/>
                      <w:lang w:val="en-US" w:eastAsia="zh-CN"/>
                    </w:rPr>
                    <w:t>极限传输容量</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4"/>
                      <w:sz w:val="21"/>
                      <w:szCs w:val="21"/>
                      <w:highlight w:val="none"/>
                      <w:vertAlign w:val="baseline"/>
                      <w:lang w:val="en-US" w:eastAsia="zh-CN"/>
                    </w:rPr>
                  </w:pPr>
                  <w:r>
                    <w:rPr>
                      <w:rFonts w:hint="eastAsia" w:ascii="Times New Roman" w:hAnsi="Times New Roman" w:eastAsia="宋体" w:cs="Times New Roman"/>
                      <w:color w:val="auto"/>
                      <w:kern w:val="24"/>
                      <w:sz w:val="21"/>
                      <w:szCs w:val="21"/>
                      <w:highlight w:val="none"/>
                      <w:vertAlign w:val="baseline"/>
                      <w:lang w:val="en-US" w:eastAsia="zh-CN"/>
                    </w:rPr>
                    <w:t>46</w:t>
                  </w:r>
                  <w:r>
                    <w:rPr>
                      <w:rFonts w:hint="eastAsia" w:cs="Times New Roman"/>
                      <w:color w:val="auto"/>
                      <w:kern w:val="24"/>
                      <w:sz w:val="21"/>
                      <w:szCs w:val="21"/>
                      <w:highlight w:val="none"/>
                      <w:vertAlign w:val="baseline"/>
                      <w:lang w:val="en-US" w:eastAsia="zh-CN"/>
                    </w:rPr>
                    <w:t>4</w:t>
                  </w:r>
                  <w:r>
                    <w:rPr>
                      <w:rFonts w:hint="eastAsia" w:ascii="Times New Roman" w:hAnsi="Times New Roman" w:eastAsia="宋体" w:cs="Times New Roman"/>
                      <w:color w:val="auto"/>
                      <w:kern w:val="24"/>
                      <w:sz w:val="21"/>
                      <w:szCs w:val="21"/>
                      <w:highlight w:val="none"/>
                      <w:vertAlign w:val="baseline"/>
                      <w:lang w:val="en-US" w:eastAsia="zh-CN"/>
                    </w:rPr>
                    <w:t>MVA</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4"/>
                      <w:sz w:val="21"/>
                      <w:szCs w:val="21"/>
                      <w:highlight w:val="none"/>
                      <w:vertAlign w:val="baseline"/>
                      <w:lang w:val="en-US" w:eastAsia="zh-CN"/>
                    </w:rPr>
                  </w:pPr>
                  <w:r>
                    <w:rPr>
                      <w:rFonts w:hint="eastAsia" w:ascii="Times New Roman" w:hAnsi="Times New Roman" w:eastAsia="宋体" w:cs="Times New Roman"/>
                      <w:color w:val="auto"/>
                      <w:kern w:val="24"/>
                      <w:sz w:val="21"/>
                      <w:szCs w:val="21"/>
                      <w:highlight w:val="none"/>
                      <w:vertAlign w:val="baseline"/>
                      <w:lang w:val="en-US" w:eastAsia="zh-CN"/>
                    </w:rPr>
                    <w:t>46</w:t>
                  </w:r>
                  <w:r>
                    <w:rPr>
                      <w:rFonts w:hint="eastAsia" w:cs="Times New Roman"/>
                      <w:color w:val="auto"/>
                      <w:kern w:val="24"/>
                      <w:sz w:val="21"/>
                      <w:szCs w:val="21"/>
                      <w:highlight w:val="none"/>
                      <w:vertAlign w:val="baseline"/>
                      <w:lang w:val="en-US" w:eastAsia="zh-CN"/>
                    </w:rPr>
                    <w:t>4</w:t>
                  </w:r>
                  <w:r>
                    <w:rPr>
                      <w:rFonts w:hint="eastAsia" w:ascii="Times New Roman" w:hAnsi="Times New Roman" w:eastAsia="宋体" w:cs="Times New Roman"/>
                      <w:color w:val="auto"/>
                      <w:kern w:val="24"/>
                      <w:sz w:val="21"/>
                      <w:szCs w:val="21"/>
                      <w:highlight w:val="none"/>
                      <w:vertAlign w:val="baseline"/>
                      <w:lang w:val="en-US" w:eastAsia="zh-CN"/>
                    </w:rPr>
                    <w:t>MVA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4"/>
                      <w:sz w:val="21"/>
                      <w:szCs w:val="21"/>
                      <w:highlight w:val="none"/>
                      <w:vertAlign w:val="baseline"/>
                      <w:lang w:val="en-US" w:eastAsia="zh-CN"/>
                    </w:rPr>
                  </w:pPr>
                  <w:r>
                    <w:rPr>
                      <w:rFonts w:hint="eastAsia" w:ascii="Times New Roman" w:hAnsi="Times New Roman" w:eastAsia="宋体" w:cs="Times New Roman"/>
                      <w:color w:val="auto"/>
                      <w:kern w:val="24"/>
                      <w:sz w:val="21"/>
                      <w:szCs w:val="21"/>
                      <w:highlight w:val="none"/>
                      <w:vertAlign w:val="baseline"/>
                      <w:lang w:val="en-US" w:eastAsia="zh-CN"/>
                    </w:rPr>
                    <w:t>导线分裂数（n）</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4"/>
                      <w:sz w:val="21"/>
                      <w:szCs w:val="21"/>
                      <w:highlight w:val="none"/>
                      <w:vertAlign w:val="baseline"/>
                      <w:lang w:val="en-US" w:eastAsia="zh-CN"/>
                    </w:rPr>
                  </w:pPr>
                  <w:r>
                    <w:rPr>
                      <w:rFonts w:hint="eastAsia" w:cs="Times New Roman"/>
                      <w:color w:val="auto"/>
                      <w:kern w:val="24"/>
                      <w:sz w:val="21"/>
                      <w:szCs w:val="21"/>
                      <w:highlight w:val="none"/>
                      <w:vertAlign w:val="baseline"/>
                      <w:lang w:val="en-US" w:eastAsia="zh-CN"/>
                    </w:rPr>
                    <w:t>2</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4"/>
                      <w:sz w:val="21"/>
                      <w:szCs w:val="21"/>
                      <w:highlight w:val="none"/>
                      <w:vertAlign w:val="baseline"/>
                      <w:lang w:val="en-US" w:eastAsia="zh-CN"/>
                    </w:rPr>
                  </w:pPr>
                  <w:r>
                    <w:rPr>
                      <w:rFonts w:hint="eastAsia" w:cs="Times New Roman"/>
                      <w:color w:val="auto"/>
                      <w:kern w:val="24"/>
                      <w:sz w:val="21"/>
                      <w:szCs w:val="21"/>
                      <w:highlight w:val="none"/>
                      <w:vertAlign w:val="baseli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4"/>
                      <w:sz w:val="21"/>
                      <w:szCs w:val="21"/>
                      <w:highlight w:val="none"/>
                      <w:vertAlign w:val="baseline"/>
                      <w:lang w:val="en-US" w:eastAsia="zh-CN"/>
                    </w:rPr>
                  </w:pPr>
                  <w:r>
                    <w:rPr>
                      <w:rFonts w:hint="eastAsia" w:cs="Times New Roman"/>
                      <w:color w:val="auto"/>
                      <w:kern w:val="24"/>
                      <w:sz w:val="21"/>
                      <w:szCs w:val="21"/>
                      <w:highlight w:val="none"/>
                      <w:vertAlign w:val="baseline"/>
                      <w:lang w:val="en-US" w:eastAsia="zh-CN"/>
                    </w:rPr>
                    <w:t>分裂间距</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cs="Times New Roman"/>
                      <w:color w:val="auto"/>
                      <w:kern w:val="24"/>
                      <w:sz w:val="21"/>
                      <w:szCs w:val="21"/>
                      <w:highlight w:val="none"/>
                      <w:vertAlign w:val="baseline"/>
                      <w:lang w:val="en-US" w:eastAsia="zh-CN"/>
                    </w:rPr>
                  </w:pPr>
                  <w:r>
                    <w:rPr>
                      <w:rFonts w:hint="eastAsia" w:cs="Times New Roman"/>
                      <w:color w:val="auto"/>
                      <w:kern w:val="24"/>
                      <w:sz w:val="21"/>
                      <w:szCs w:val="21"/>
                      <w:highlight w:val="none"/>
                      <w:vertAlign w:val="baseline"/>
                      <w:lang w:val="en-US" w:eastAsia="zh-CN"/>
                    </w:rPr>
                    <w:t>0.457m</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cs="Times New Roman"/>
                      <w:color w:val="auto"/>
                      <w:kern w:val="24"/>
                      <w:sz w:val="21"/>
                      <w:szCs w:val="21"/>
                      <w:highlight w:val="none"/>
                      <w:vertAlign w:val="baseline"/>
                      <w:lang w:val="en-US" w:eastAsia="zh-CN"/>
                    </w:rPr>
                  </w:pPr>
                  <w:r>
                    <w:rPr>
                      <w:rFonts w:hint="eastAsia" w:cs="Times New Roman"/>
                      <w:color w:val="auto"/>
                      <w:kern w:val="24"/>
                      <w:sz w:val="21"/>
                      <w:szCs w:val="21"/>
                      <w:highlight w:val="none"/>
                      <w:vertAlign w:val="baseline"/>
                      <w:lang w:val="en-US" w:eastAsia="zh-CN"/>
                    </w:rPr>
                    <w:t>0.457m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排列方式</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eastAsia" w:cs="Times New Roman"/>
                      <w:color w:val="000000"/>
                      <w:kern w:val="24"/>
                      <w:sz w:val="21"/>
                      <w:szCs w:val="21"/>
                      <w:highlight w:val="none"/>
                      <w:vertAlign w:val="baseline"/>
                      <w:lang w:val="en-US" w:eastAsia="zh-CN"/>
                    </w:rPr>
                    <w:t>正三角形</w:t>
                  </w:r>
                  <w:r>
                    <w:rPr>
                      <w:rFonts w:hint="eastAsia" w:ascii="Times New Roman" w:hAnsi="Times New Roman" w:eastAsia="宋体" w:cs="Times New Roman"/>
                      <w:color w:val="000000"/>
                      <w:kern w:val="24"/>
                      <w:sz w:val="21"/>
                      <w:szCs w:val="21"/>
                      <w:highlight w:val="none"/>
                      <w:vertAlign w:val="baseline"/>
                      <w:lang w:val="en-US" w:eastAsia="zh-CN"/>
                    </w:rPr>
                    <w:t>排列</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eastAsia" w:cs="Times New Roman"/>
                      <w:color w:val="000000"/>
                      <w:kern w:val="24"/>
                      <w:sz w:val="21"/>
                      <w:szCs w:val="21"/>
                      <w:highlight w:val="none"/>
                      <w:vertAlign w:val="baseline"/>
                      <w:lang w:val="en-US" w:eastAsia="zh-CN"/>
                    </w:rPr>
                    <w:t>正三角形</w:t>
                  </w:r>
                  <w:r>
                    <w:rPr>
                      <w:rFonts w:hint="eastAsia" w:ascii="Times New Roman" w:hAnsi="Times New Roman" w:eastAsia="宋体" w:cs="Times New Roman"/>
                      <w:color w:val="000000"/>
                      <w:kern w:val="24"/>
                      <w:sz w:val="21"/>
                      <w:szCs w:val="21"/>
                      <w:highlight w:val="none"/>
                      <w:vertAlign w:val="baseline"/>
                      <w:lang w:val="en-US" w:eastAsia="zh-CN"/>
                    </w:rPr>
                    <w:t>排列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default" w:ascii="Times New Roman" w:hAnsi="Times New Roman" w:eastAsia="宋体" w:cs="Times New Roman"/>
                      <w:color w:val="000000"/>
                      <w:kern w:val="24"/>
                      <w:sz w:val="21"/>
                      <w:szCs w:val="21"/>
                      <w:highlight w:val="none"/>
                      <w:vertAlign w:val="baseline"/>
                      <w:lang w:val="en-US" w:eastAsia="zh-CN"/>
                    </w:rPr>
                    <w:t>导线截面积</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eastAsia" w:cs="Times New Roman"/>
                      <w:color w:val="000000"/>
                      <w:kern w:val="24"/>
                      <w:sz w:val="21"/>
                      <w:szCs w:val="21"/>
                      <w:highlight w:val="none"/>
                      <w:vertAlign w:val="baseline"/>
                      <w:lang w:val="en-US" w:eastAsia="zh-CN"/>
                    </w:rPr>
                    <w:t>344.9</w:t>
                  </w:r>
                  <w:r>
                    <w:rPr>
                      <w:rFonts w:hint="eastAsia" w:ascii="Times New Roman" w:hAnsi="Times New Roman" w:eastAsia="宋体" w:cs="Times New Roman"/>
                      <w:color w:val="000000"/>
                      <w:kern w:val="24"/>
                      <w:sz w:val="21"/>
                      <w:szCs w:val="21"/>
                      <w:highlight w:val="none"/>
                      <w:vertAlign w:val="baseline"/>
                      <w:lang w:val="en-US" w:eastAsia="zh-CN"/>
                    </w:rPr>
                    <w:t>mm</w:t>
                  </w:r>
                  <w:r>
                    <w:rPr>
                      <w:rFonts w:hint="eastAsia" w:ascii="Times New Roman" w:hAnsi="Times New Roman" w:eastAsia="宋体" w:cs="Times New Roman"/>
                      <w:color w:val="000000"/>
                      <w:kern w:val="24"/>
                      <w:sz w:val="21"/>
                      <w:szCs w:val="21"/>
                      <w:highlight w:val="none"/>
                      <w:vertAlign w:val="superscript"/>
                      <w:lang w:val="en-US" w:eastAsia="zh-CN"/>
                    </w:rPr>
                    <w:t>2</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eastAsia" w:cs="Times New Roman"/>
                      <w:color w:val="000000"/>
                      <w:kern w:val="24"/>
                      <w:sz w:val="21"/>
                      <w:szCs w:val="21"/>
                      <w:highlight w:val="none"/>
                      <w:vertAlign w:val="baseline"/>
                      <w:lang w:val="en-US" w:eastAsia="zh-CN"/>
                    </w:rPr>
                    <w:t>344.9</w:t>
                  </w:r>
                  <w:r>
                    <w:rPr>
                      <w:rFonts w:hint="eastAsia" w:ascii="Times New Roman" w:hAnsi="Times New Roman" w:eastAsia="宋体" w:cs="Times New Roman"/>
                      <w:color w:val="000000"/>
                      <w:kern w:val="24"/>
                      <w:sz w:val="21"/>
                      <w:szCs w:val="21"/>
                      <w:highlight w:val="none"/>
                      <w:vertAlign w:val="baseline"/>
                      <w:lang w:val="en-US" w:eastAsia="zh-CN"/>
                    </w:rPr>
                    <w:t>mm</w:t>
                  </w:r>
                  <w:r>
                    <w:rPr>
                      <w:rFonts w:hint="eastAsia" w:ascii="Times New Roman" w:hAnsi="Times New Roman" w:eastAsia="宋体" w:cs="Times New Roman"/>
                      <w:color w:val="000000"/>
                      <w:kern w:val="24"/>
                      <w:sz w:val="21"/>
                      <w:szCs w:val="21"/>
                      <w:highlight w:val="none"/>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default" w:ascii="Times New Roman" w:hAnsi="Times New Roman" w:eastAsia="宋体" w:cs="Times New Roman"/>
                      <w:color w:val="000000"/>
                      <w:kern w:val="24"/>
                      <w:sz w:val="21"/>
                      <w:szCs w:val="21"/>
                      <w:highlight w:val="none"/>
                      <w:vertAlign w:val="baseline"/>
                      <w:lang w:val="en-US" w:eastAsia="zh-CN"/>
                    </w:rPr>
                    <w:t>导线外径</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21.6</w:t>
                  </w:r>
                  <w:r>
                    <w:rPr>
                      <w:rFonts w:hint="default" w:ascii="Times New Roman" w:hAnsi="Times New Roman" w:eastAsia="宋体" w:cs="Times New Roman"/>
                      <w:color w:val="000000"/>
                      <w:kern w:val="24"/>
                      <w:sz w:val="21"/>
                      <w:szCs w:val="21"/>
                      <w:highlight w:val="none"/>
                      <w:vertAlign w:val="baseline"/>
                      <w:lang w:val="en-US" w:eastAsia="zh-CN"/>
                    </w:rPr>
                    <w:t>mm</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21.6</w:t>
                  </w:r>
                  <w:r>
                    <w:rPr>
                      <w:rFonts w:hint="default" w:ascii="Times New Roman" w:hAnsi="Times New Roman" w:eastAsia="宋体" w:cs="Times New Roman"/>
                      <w:color w:val="000000"/>
                      <w:kern w:val="24"/>
                      <w:sz w:val="21"/>
                      <w:szCs w:val="21"/>
                      <w:highlight w:val="none"/>
                      <w:vertAlign w:val="baseline"/>
                      <w:lang w:val="en-US" w:eastAsia="zh-CN"/>
                    </w:rPr>
                    <w:t>mm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电流</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eastAsia" w:cs="Times New Roman"/>
                      <w:color w:val="000000"/>
                      <w:kern w:val="24"/>
                      <w:sz w:val="21"/>
                      <w:szCs w:val="21"/>
                      <w:highlight w:val="none"/>
                      <w:vertAlign w:val="baseline"/>
                      <w:lang w:val="en-US" w:eastAsia="zh-CN"/>
                    </w:rPr>
                    <w:t>700</w:t>
                  </w:r>
                  <w:r>
                    <w:rPr>
                      <w:rFonts w:hint="eastAsia" w:ascii="Times New Roman" w:hAnsi="Times New Roman" w:eastAsia="宋体" w:cs="Times New Roman"/>
                      <w:color w:val="000000"/>
                      <w:kern w:val="24"/>
                      <w:sz w:val="21"/>
                      <w:szCs w:val="21"/>
                      <w:highlight w:val="none"/>
                      <w:vertAlign w:val="baseline"/>
                      <w:lang w:val="en-US" w:eastAsia="zh-CN"/>
                    </w:rPr>
                    <w:t>（A）</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cs="Times New Roman"/>
                      <w:color w:val="000000"/>
                      <w:kern w:val="24"/>
                      <w:sz w:val="21"/>
                      <w:szCs w:val="21"/>
                      <w:highlight w:val="none"/>
                      <w:vertAlign w:val="baseline"/>
                      <w:lang w:val="en-US" w:eastAsia="zh-CN"/>
                    </w:rPr>
                    <w:t>700</w:t>
                  </w:r>
                  <w:r>
                    <w:rPr>
                      <w:rFonts w:hint="eastAsia" w:ascii="Times New Roman" w:hAnsi="Times New Roman" w:eastAsia="宋体" w:cs="Times New Roman"/>
                      <w:color w:val="000000"/>
                      <w:kern w:val="24"/>
                      <w:sz w:val="21"/>
                      <w:szCs w:val="21"/>
                      <w:highlight w:val="none"/>
                      <w:vertAlign w:val="baseline"/>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0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eastAsia" w:ascii="Times New Roman" w:hAnsi="Times New Roman" w:eastAsia="宋体" w:cs="Times New Roman"/>
                      <w:color w:val="000000"/>
                      <w:kern w:val="24"/>
                      <w:sz w:val="21"/>
                      <w:szCs w:val="21"/>
                      <w:highlight w:val="none"/>
                      <w:vertAlign w:val="baseline"/>
                      <w:lang w:val="en-US" w:eastAsia="zh-CN"/>
                    </w:rPr>
                    <w:t>预测</w:t>
                  </w:r>
                  <w:r>
                    <w:rPr>
                      <w:rFonts w:hint="default" w:ascii="Times New Roman" w:hAnsi="Times New Roman" w:eastAsia="宋体" w:cs="Times New Roman"/>
                      <w:color w:val="000000"/>
                      <w:kern w:val="24"/>
                      <w:sz w:val="21"/>
                      <w:szCs w:val="21"/>
                      <w:highlight w:val="none"/>
                      <w:vertAlign w:val="baseline"/>
                      <w:lang w:val="en-US" w:eastAsia="zh-CN"/>
                    </w:rPr>
                    <w:t>范围</w:t>
                  </w:r>
                </w:p>
              </w:tc>
              <w:tc>
                <w:tcPr>
                  <w:tcW w:w="19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4"/>
                      <w:sz w:val="21"/>
                      <w:szCs w:val="21"/>
                      <w:highlight w:val="none"/>
                      <w:vertAlign w:val="baseline"/>
                      <w:lang w:val="en-US" w:eastAsia="zh-CN"/>
                    </w:rPr>
                  </w:pPr>
                  <w:r>
                    <w:rPr>
                      <w:rFonts w:hint="default" w:ascii="Times New Roman" w:hAnsi="Times New Roman" w:eastAsia="宋体" w:cs="Times New Roman"/>
                      <w:color w:val="000000"/>
                      <w:kern w:val="24"/>
                      <w:sz w:val="21"/>
                      <w:szCs w:val="21"/>
                      <w:highlight w:val="none"/>
                      <w:vertAlign w:val="baseline"/>
                      <w:lang w:val="en-US" w:eastAsia="zh-CN"/>
                    </w:rPr>
                    <w:t>水平方向：线投影中心0</w:t>
                  </w:r>
                  <w:r>
                    <w:rPr>
                      <w:rFonts w:hint="eastAsia" w:ascii="Times New Roman" w:hAnsi="Times New Roman" w:eastAsia="宋体" w:cs="Times New Roman"/>
                      <w:color w:val="000000"/>
                      <w:kern w:val="24"/>
                      <w:sz w:val="21"/>
                      <w:szCs w:val="21"/>
                      <w:highlight w:val="none"/>
                      <w:vertAlign w:val="baseline"/>
                      <w:lang w:val="en-US" w:eastAsia="zh-CN"/>
                    </w:rPr>
                    <w:t>m</w:t>
                  </w:r>
                  <w:r>
                    <w:rPr>
                      <w:rFonts w:hint="default" w:ascii="Times New Roman" w:hAnsi="Times New Roman" w:eastAsia="宋体" w:cs="Times New Roman"/>
                      <w:color w:val="000000"/>
                      <w:kern w:val="24"/>
                      <w:sz w:val="21"/>
                      <w:szCs w:val="21"/>
                      <w:highlight w:val="none"/>
                      <w:vertAlign w:val="baseline"/>
                      <w:lang w:val="en-US" w:eastAsia="zh-CN"/>
                    </w:rPr>
                    <w:t>起</w:t>
                  </w:r>
                  <w:r>
                    <w:rPr>
                      <w:rFonts w:hint="eastAsia" w:ascii="Times New Roman" w:hAnsi="Times New Roman" w:eastAsia="宋体" w:cs="Times New Roman"/>
                      <w:color w:val="000000"/>
                      <w:kern w:val="24"/>
                      <w:sz w:val="21"/>
                      <w:szCs w:val="21"/>
                      <w:highlight w:val="none"/>
                      <w:vertAlign w:val="baseline"/>
                      <w:lang w:val="en-US" w:eastAsia="zh-CN"/>
                    </w:rPr>
                    <w:t>至线路</w:t>
                  </w:r>
                  <w:r>
                    <w:rPr>
                      <w:rFonts w:hint="default" w:ascii="Times New Roman" w:hAnsi="Times New Roman" w:eastAsia="宋体" w:cs="Times New Roman"/>
                      <w:color w:val="000000"/>
                      <w:kern w:val="24"/>
                      <w:sz w:val="21"/>
                      <w:szCs w:val="21"/>
                      <w:highlight w:val="none"/>
                      <w:vertAlign w:val="baseline"/>
                      <w:lang w:val="en-US" w:eastAsia="zh-CN"/>
                    </w:rPr>
                    <w:t>两侧</w:t>
                  </w:r>
                  <w:r>
                    <w:rPr>
                      <w:rFonts w:hint="eastAsia" w:ascii="Times New Roman" w:hAnsi="Times New Roman" w:eastAsia="宋体" w:cs="Times New Roman"/>
                      <w:color w:val="000000"/>
                      <w:kern w:val="24"/>
                      <w:sz w:val="21"/>
                      <w:szCs w:val="21"/>
                      <w:highlight w:val="none"/>
                      <w:vertAlign w:val="baseline"/>
                      <w:lang w:val="en-US" w:eastAsia="zh-CN"/>
                    </w:rPr>
                    <w:t>40m</w:t>
                  </w:r>
                  <w:r>
                    <w:rPr>
                      <w:rFonts w:hint="default" w:ascii="Times New Roman" w:hAnsi="Times New Roman" w:eastAsia="宋体" w:cs="Times New Roman"/>
                      <w:color w:val="000000"/>
                      <w:kern w:val="24"/>
                      <w:sz w:val="21"/>
                      <w:szCs w:val="21"/>
                      <w:highlight w:val="none"/>
                      <w:vertAlign w:val="baseline"/>
                      <w:lang w:val="en-US" w:eastAsia="zh-CN"/>
                    </w:rPr>
                    <w:t>，间距1</w:t>
                  </w:r>
                  <w:r>
                    <w:rPr>
                      <w:rFonts w:hint="eastAsia" w:ascii="Times New Roman" w:hAnsi="Times New Roman" w:eastAsia="宋体" w:cs="Times New Roman"/>
                      <w:color w:val="000000"/>
                      <w:kern w:val="24"/>
                      <w:sz w:val="21"/>
                      <w:szCs w:val="21"/>
                      <w:highlight w:val="none"/>
                      <w:vertAlign w:val="baseline"/>
                      <w:lang w:val="en-US" w:eastAsia="zh-CN"/>
                    </w:rPr>
                    <w:t>m</w:t>
                  </w:r>
                  <w:r>
                    <w:rPr>
                      <w:rFonts w:hint="default" w:ascii="Times New Roman" w:hAnsi="Times New Roman" w:eastAsia="宋体" w:cs="Times New Roman"/>
                      <w:color w:val="000000"/>
                      <w:kern w:val="24"/>
                      <w:sz w:val="21"/>
                      <w:szCs w:val="21"/>
                      <w:highlight w:val="none"/>
                      <w:vertAlign w:val="baseline"/>
                      <w:lang w:val="en-US" w:eastAsia="zh-CN"/>
                    </w:rPr>
                    <w:t>垂直方向：距地面1.5</w:t>
                  </w:r>
                  <w:r>
                    <w:rPr>
                      <w:rFonts w:hint="eastAsia" w:ascii="Times New Roman" w:hAnsi="Times New Roman" w:eastAsia="宋体" w:cs="Times New Roman"/>
                      <w:color w:val="000000"/>
                      <w:kern w:val="24"/>
                      <w:sz w:val="21"/>
                      <w:szCs w:val="21"/>
                      <w:highlight w:val="none"/>
                      <w:vertAlign w:val="baseline"/>
                      <w:lang w:val="en-US" w:eastAsia="zh-CN"/>
                    </w:rPr>
                    <w:t>m</w:t>
                  </w:r>
                </w:p>
              </w:tc>
              <w:tc>
                <w:tcPr>
                  <w:tcW w:w="1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4"/>
                      <w:sz w:val="21"/>
                      <w:szCs w:val="21"/>
                      <w:highlight w:val="none"/>
                      <w:vertAlign w:val="baseline"/>
                      <w:lang w:val="en-US" w:eastAsia="zh-CN"/>
                    </w:rPr>
                  </w:pPr>
                  <w:r>
                    <w:rPr>
                      <w:rFonts w:hint="default" w:ascii="Times New Roman" w:hAnsi="Times New Roman" w:eastAsia="宋体" w:cs="Times New Roman"/>
                      <w:color w:val="000000"/>
                      <w:kern w:val="24"/>
                      <w:sz w:val="21"/>
                      <w:szCs w:val="21"/>
                      <w:highlight w:val="none"/>
                      <w:vertAlign w:val="baseline"/>
                      <w:lang w:val="en-US" w:eastAsia="zh-CN"/>
                    </w:rPr>
                    <w:t>水平方向：线投影中心0</w:t>
                  </w:r>
                  <w:r>
                    <w:rPr>
                      <w:rFonts w:hint="eastAsia" w:ascii="Times New Roman" w:hAnsi="Times New Roman" w:eastAsia="宋体" w:cs="Times New Roman"/>
                      <w:color w:val="000000"/>
                      <w:kern w:val="24"/>
                      <w:sz w:val="21"/>
                      <w:szCs w:val="21"/>
                      <w:highlight w:val="none"/>
                      <w:vertAlign w:val="baseline"/>
                      <w:lang w:val="en-US" w:eastAsia="zh-CN"/>
                    </w:rPr>
                    <w:t>m</w:t>
                  </w:r>
                  <w:r>
                    <w:rPr>
                      <w:rFonts w:hint="default" w:ascii="Times New Roman" w:hAnsi="Times New Roman" w:eastAsia="宋体" w:cs="Times New Roman"/>
                      <w:color w:val="000000"/>
                      <w:kern w:val="24"/>
                      <w:sz w:val="21"/>
                      <w:szCs w:val="21"/>
                      <w:highlight w:val="none"/>
                      <w:vertAlign w:val="baseline"/>
                      <w:lang w:val="en-US" w:eastAsia="zh-CN"/>
                    </w:rPr>
                    <w:t>起</w:t>
                  </w:r>
                  <w:r>
                    <w:rPr>
                      <w:rFonts w:hint="eastAsia" w:ascii="Times New Roman" w:hAnsi="Times New Roman" w:eastAsia="宋体" w:cs="Times New Roman"/>
                      <w:color w:val="000000"/>
                      <w:kern w:val="24"/>
                      <w:sz w:val="21"/>
                      <w:szCs w:val="21"/>
                      <w:highlight w:val="none"/>
                      <w:vertAlign w:val="baseline"/>
                      <w:lang w:val="en-US" w:eastAsia="zh-CN"/>
                    </w:rPr>
                    <w:t>至线路</w:t>
                  </w:r>
                  <w:r>
                    <w:rPr>
                      <w:rFonts w:hint="default" w:ascii="Times New Roman" w:hAnsi="Times New Roman" w:eastAsia="宋体" w:cs="Times New Roman"/>
                      <w:color w:val="000000"/>
                      <w:kern w:val="24"/>
                      <w:sz w:val="21"/>
                      <w:szCs w:val="21"/>
                      <w:highlight w:val="none"/>
                      <w:vertAlign w:val="baseline"/>
                      <w:lang w:val="en-US" w:eastAsia="zh-CN"/>
                    </w:rPr>
                    <w:t>两侧</w:t>
                  </w:r>
                  <w:r>
                    <w:rPr>
                      <w:rFonts w:hint="eastAsia" w:ascii="Times New Roman" w:hAnsi="Times New Roman" w:eastAsia="宋体" w:cs="Times New Roman"/>
                      <w:color w:val="000000"/>
                      <w:kern w:val="24"/>
                      <w:sz w:val="21"/>
                      <w:szCs w:val="21"/>
                      <w:highlight w:val="none"/>
                      <w:vertAlign w:val="baseline"/>
                      <w:lang w:val="en-US" w:eastAsia="zh-CN"/>
                    </w:rPr>
                    <w:t>40m</w:t>
                  </w:r>
                  <w:r>
                    <w:rPr>
                      <w:rFonts w:hint="default" w:ascii="Times New Roman" w:hAnsi="Times New Roman" w:eastAsia="宋体" w:cs="Times New Roman"/>
                      <w:color w:val="000000"/>
                      <w:kern w:val="24"/>
                      <w:sz w:val="21"/>
                      <w:szCs w:val="21"/>
                      <w:highlight w:val="none"/>
                      <w:vertAlign w:val="baseline"/>
                      <w:lang w:val="en-US" w:eastAsia="zh-CN"/>
                    </w:rPr>
                    <w:t>，间距1</w:t>
                  </w:r>
                  <w:r>
                    <w:rPr>
                      <w:rFonts w:hint="eastAsia" w:ascii="Times New Roman" w:hAnsi="Times New Roman" w:eastAsia="宋体" w:cs="Times New Roman"/>
                      <w:color w:val="000000"/>
                      <w:kern w:val="24"/>
                      <w:sz w:val="21"/>
                      <w:szCs w:val="21"/>
                      <w:highlight w:val="none"/>
                      <w:vertAlign w:val="baseline"/>
                      <w:lang w:val="en-US" w:eastAsia="zh-CN"/>
                    </w:rPr>
                    <w:t>m</w:t>
                  </w:r>
                  <w:r>
                    <w:rPr>
                      <w:rFonts w:hint="default" w:ascii="Times New Roman" w:hAnsi="Times New Roman" w:eastAsia="宋体" w:cs="Times New Roman"/>
                      <w:color w:val="000000"/>
                      <w:kern w:val="24"/>
                      <w:sz w:val="21"/>
                      <w:szCs w:val="21"/>
                      <w:highlight w:val="none"/>
                      <w:vertAlign w:val="baseline"/>
                      <w:lang w:val="en-US" w:eastAsia="zh-CN"/>
                    </w:rPr>
                    <w:t>垂直方向：距地面1.5</w:t>
                  </w:r>
                  <w:r>
                    <w:rPr>
                      <w:rFonts w:hint="eastAsia" w:ascii="Times New Roman" w:hAnsi="Times New Roman" w:eastAsia="宋体" w:cs="Times New Roman"/>
                      <w:color w:val="000000"/>
                      <w:kern w:val="24"/>
                      <w:sz w:val="21"/>
                      <w:szCs w:val="21"/>
                      <w:highlight w:val="none"/>
                      <w:vertAlign w:val="baseline"/>
                      <w:lang w:val="en-US" w:eastAsia="zh-CN"/>
                    </w:rPr>
                    <w:t>m</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lang w:val="en-US" w:eastAsia="zh-CN"/>
              </w:rPr>
              <w:t>预测结果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在输电线路的截面上建立平面坐标系。当线路为单回时，以线路走廊截面与线路中心在地面投影的交点为坐标系的原点O（0</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0），X为水平方向、Y为垂直方向，单位为m。项目</w:t>
            </w:r>
            <w:r>
              <w:rPr>
                <w:rFonts w:hint="eastAsia" w:ascii="Times New Roman" w:hAnsi="Times New Roman" w:eastAsia="宋体" w:cs="Times New Roman"/>
                <w:color w:val="000000"/>
                <w:sz w:val="24"/>
                <w:szCs w:val="24"/>
                <w:highlight w:val="none"/>
                <w:lang w:val="en-US" w:eastAsia="zh-CN"/>
              </w:rPr>
              <w:t>22</w:t>
            </w:r>
            <w:r>
              <w:rPr>
                <w:rFonts w:hint="default" w:ascii="Times New Roman" w:hAnsi="Times New Roman" w:eastAsia="宋体" w:cs="Times New Roman"/>
                <w:color w:val="000000"/>
                <w:sz w:val="24"/>
                <w:szCs w:val="24"/>
                <w:highlight w:val="none"/>
                <w:lang w:val="en-US" w:eastAsia="zh-CN"/>
              </w:rPr>
              <w:t>0kV单回线路产生的工频电场强度、工频磁感应强度计算预测结果见表</w:t>
            </w:r>
            <w:r>
              <w:rPr>
                <w:rFonts w:hint="eastAsia" w:ascii="Times New Roman" w:hAnsi="Times New Roman" w:eastAsia="宋体" w:cs="Times New Roman"/>
                <w:color w:val="000000"/>
                <w:sz w:val="24"/>
                <w:szCs w:val="24"/>
                <w:highlight w:val="none"/>
                <w:lang w:val="en-US" w:eastAsia="zh-CN"/>
              </w:rPr>
              <w:t>7-8</w:t>
            </w:r>
            <w:r>
              <w:rPr>
                <w:rFonts w:hint="default" w:ascii="Times New Roman" w:hAnsi="Times New Roman" w:eastAsia="宋体" w:cs="Times New Roman"/>
                <w:color w:val="000000"/>
                <w:sz w:val="24"/>
                <w:szCs w:val="24"/>
                <w:highlight w:val="none"/>
                <w:lang w:val="en-US" w:eastAsia="zh-CN"/>
              </w:rPr>
              <w:t>。根据计算结果绘制的工频电场强度、工频磁感应强度分布趋势图见图</w:t>
            </w:r>
            <w:r>
              <w:rPr>
                <w:rFonts w:hint="eastAsia" w:ascii="Times New Roman" w:hAnsi="Times New Roman" w:eastAsia="宋体" w:cs="Times New Roman"/>
                <w:color w:val="000000"/>
                <w:sz w:val="24"/>
                <w:szCs w:val="24"/>
                <w:highlight w:val="none"/>
                <w:lang w:val="en-US" w:eastAsia="zh-CN"/>
              </w:rPr>
              <w:t>7-2、7-3、7-4.、7-5</w:t>
            </w:r>
            <w:r>
              <w:rPr>
                <w:rFonts w:hint="default" w:ascii="Times New Roman" w:hAnsi="Times New Roman" w:eastAsia="宋体" w:cs="Times New Roman"/>
                <w:color w:val="000000"/>
                <w:sz w:val="24"/>
                <w:szCs w:val="24"/>
                <w:highlight w:val="none"/>
                <w:lang w:val="en-US" w:eastAsia="zh-CN"/>
              </w:rPr>
              <w:t>。</w:t>
            </w:r>
          </w:p>
          <w:p>
            <w:pPr>
              <w:spacing w:line="240" w:lineRule="auto"/>
              <w:ind w:left="0" w:leftChars="0" w:firstLine="422" w:firstLineChars="200"/>
              <w:jc w:val="center"/>
              <w:rPr>
                <w:rFonts w:hint="default" w:ascii="Times New Roman" w:hAnsi="Times New Roman" w:eastAsia="宋体" w:cs="Times New Roman"/>
                <w:b/>
                <w:bCs/>
                <w:color w:val="000000"/>
                <w:highlight w:val="none"/>
                <w:lang w:val="en-US" w:eastAsia="zh-CN"/>
              </w:rPr>
            </w:pPr>
            <w:r>
              <w:rPr>
                <w:rFonts w:hint="eastAsia" w:ascii="Times New Roman" w:hAnsi="Times New Roman" w:eastAsia="宋体" w:cs="Times New Roman"/>
                <w:b/>
                <w:bCs/>
                <w:color w:val="000000"/>
                <w:highlight w:val="none"/>
                <w:lang w:val="en-US" w:eastAsia="zh-CN"/>
              </w:rPr>
              <w:t>表7-8  220kV单回线路工频电场强度和工频磁感应强度预测结果</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4"/>
              <w:gridCol w:w="1520"/>
              <w:gridCol w:w="1508"/>
              <w:gridCol w:w="1552"/>
              <w:gridCol w:w="1431"/>
              <w:gridCol w:w="14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39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序号</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预测塔型</w:t>
                  </w:r>
                </w:p>
              </w:tc>
              <w:tc>
                <w:tcPr>
                  <w:tcW w:w="189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Z</w:t>
                  </w:r>
                  <w:r>
                    <w:rPr>
                      <w:rFonts w:hint="eastAsia" w:cs="Times New Roman"/>
                      <w:color w:val="000000"/>
                      <w:sz w:val="21"/>
                      <w:szCs w:val="21"/>
                      <w:highlight w:val="none"/>
                      <w:lang w:val="en-US" w:eastAsia="zh-CN"/>
                    </w:rPr>
                    <w:t>M</w:t>
                  </w:r>
                  <w:r>
                    <w:rPr>
                      <w:rFonts w:hint="eastAsia" w:ascii="Times New Roman" w:hAnsi="Times New Roman" w:eastAsia="宋体" w:cs="Times New Roman"/>
                      <w:color w:val="000000"/>
                      <w:sz w:val="21"/>
                      <w:szCs w:val="21"/>
                      <w:highlight w:val="none"/>
                      <w:lang w:val="en-US" w:eastAsia="zh-CN"/>
                    </w:rPr>
                    <w:t>2</w:t>
                  </w:r>
                </w:p>
              </w:tc>
              <w:tc>
                <w:tcPr>
                  <w:tcW w:w="177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Z</w:t>
                  </w:r>
                  <w:r>
                    <w:rPr>
                      <w:rFonts w:hint="eastAsia" w:cs="Times New Roman"/>
                      <w:color w:val="000000"/>
                      <w:sz w:val="21"/>
                      <w:szCs w:val="21"/>
                      <w:highlight w:val="none"/>
                      <w:lang w:val="en-US" w:eastAsia="zh-CN"/>
                    </w:rPr>
                    <w:t>M</w:t>
                  </w:r>
                  <w:r>
                    <w:rPr>
                      <w:rFonts w:hint="eastAsia" w:ascii="Times New Roman" w:hAnsi="Times New Roman" w:eastAsia="宋体" w:cs="Times New Roman"/>
                      <w:color w:val="000000"/>
                      <w:sz w:val="21"/>
                      <w:szCs w:val="21"/>
                      <w:highlight w:val="none"/>
                      <w:lang w:val="en-US" w:eastAsia="zh-CN"/>
                    </w:rPr>
                    <w:t>K</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39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最小垂直距离</w:t>
                  </w:r>
                </w:p>
              </w:tc>
              <w:tc>
                <w:tcPr>
                  <w:tcW w:w="189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220kV线路：</w:t>
                  </w:r>
                  <w:r>
                    <w:rPr>
                      <w:rFonts w:hint="eastAsia" w:cs="Times New Roman"/>
                      <w:color w:val="000000"/>
                      <w:sz w:val="21"/>
                      <w:szCs w:val="21"/>
                      <w:highlight w:val="none"/>
                      <w:lang w:val="en-US" w:eastAsia="zh-CN"/>
                    </w:rPr>
                    <w:t>9.5</w:t>
                  </w:r>
                  <w:r>
                    <w:rPr>
                      <w:rFonts w:hint="eastAsia" w:ascii="Times New Roman" w:hAnsi="Times New Roman" w:eastAsia="宋体" w:cs="Times New Roman"/>
                      <w:color w:val="000000"/>
                      <w:sz w:val="21"/>
                      <w:szCs w:val="21"/>
                      <w:highlight w:val="none"/>
                      <w:lang w:val="en-US" w:eastAsia="zh-CN"/>
                    </w:rPr>
                    <w:t>m（非居民区）</w:t>
                  </w:r>
                </w:p>
              </w:tc>
              <w:tc>
                <w:tcPr>
                  <w:tcW w:w="177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220kV线路：</w:t>
                  </w:r>
                  <w:r>
                    <w:rPr>
                      <w:rFonts w:hint="eastAsia" w:cs="Times New Roman"/>
                      <w:color w:val="000000"/>
                      <w:sz w:val="21"/>
                      <w:szCs w:val="21"/>
                      <w:highlight w:val="none"/>
                      <w:lang w:val="en-US" w:eastAsia="zh-CN"/>
                    </w:rPr>
                    <w:t>9.5</w:t>
                  </w:r>
                  <w:r>
                    <w:rPr>
                      <w:rFonts w:hint="eastAsia" w:ascii="Times New Roman" w:hAnsi="Times New Roman" w:eastAsia="宋体" w:cs="Times New Roman"/>
                      <w:color w:val="000000"/>
                      <w:sz w:val="21"/>
                      <w:szCs w:val="21"/>
                      <w:highlight w:val="none"/>
                      <w:lang w:val="en-US" w:eastAsia="zh-CN"/>
                    </w:rPr>
                    <w:t>m（非居民区）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39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预测点坐标</w:t>
                  </w:r>
                </w:p>
              </w:tc>
              <w:tc>
                <w:tcPr>
                  <w:tcW w:w="9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工频电场强度（kV/m）</w:t>
                  </w:r>
                </w:p>
              </w:tc>
              <w:tc>
                <w:tcPr>
                  <w:tcW w:w="9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工频磁感应强度</w:t>
                  </w:r>
                  <w:r>
                    <w:rPr>
                      <w:rFonts w:hint="eastAsia" w:ascii="Times New Roman" w:hAnsi="Times New Roman" w:eastAsia="宋体" w:cs="Times New Roman"/>
                      <w:color w:val="000000"/>
                      <w:sz w:val="21"/>
                      <w:szCs w:val="21"/>
                      <w:highlight w:val="none"/>
                      <w:lang w:val="en-US" w:eastAsia="zh-CN"/>
                    </w:rPr>
                    <w:t>（</w:t>
                  </w:r>
                  <w:r>
                    <w:rPr>
                      <w:rFonts w:hint="default" w:ascii="Times New Roman" w:hAnsi="Times New Roman" w:eastAsia="宋体" w:cs="Times New Roman"/>
                      <w:color w:val="000000"/>
                      <w:sz w:val="21"/>
                      <w:szCs w:val="21"/>
                      <w:highlight w:val="none"/>
                      <w:lang w:val="en-US" w:eastAsia="zh-CN"/>
                    </w:rPr>
                    <w:t>μT</w:t>
                  </w:r>
                  <w:r>
                    <w:rPr>
                      <w:rFonts w:hint="eastAsia" w:ascii="Times New Roman" w:hAnsi="Times New Roman" w:eastAsia="宋体" w:cs="Times New Roman"/>
                      <w:color w:val="000000"/>
                      <w:sz w:val="21"/>
                      <w:szCs w:val="21"/>
                      <w:highlight w:val="none"/>
                      <w:lang w:val="en-US" w:eastAsia="zh-CN"/>
                    </w:rPr>
                    <w:t>）</w:t>
                  </w:r>
                </w:p>
              </w:tc>
              <w:tc>
                <w:tcPr>
                  <w:tcW w:w="8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工频电场强度（</w:t>
                  </w:r>
                  <w:r>
                    <w:rPr>
                      <w:rFonts w:hint="eastAsia" w:cs="Times New Roman"/>
                      <w:color w:val="000000"/>
                      <w:sz w:val="21"/>
                      <w:szCs w:val="21"/>
                      <w:highlight w:val="none"/>
                      <w:lang w:val="en-US" w:eastAsia="zh-CN"/>
                    </w:rPr>
                    <w:t>k</w:t>
                  </w:r>
                  <w:r>
                    <w:rPr>
                      <w:rFonts w:hint="eastAsia" w:ascii="Times New Roman" w:hAnsi="Times New Roman" w:eastAsia="宋体" w:cs="Times New Roman"/>
                      <w:color w:val="000000"/>
                      <w:sz w:val="21"/>
                      <w:szCs w:val="21"/>
                      <w:highlight w:val="none"/>
                      <w:lang w:val="en-US" w:eastAsia="zh-CN"/>
                    </w:rPr>
                    <w:t>V</w:t>
                  </w:r>
                  <w:r>
                    <w:rPr>
                      <w:rFonts w:hint="default" w:ascii="Times New Roman" w:hAnsi="Times New Roman" w:eastAsia="宋体" w:cs="Times New Roman"/>
                      <w:color w:val="000000"/>
                      <w:sz w:val="21"/>
                      <w:szCs w:val="21"/>
                      <w:highlight w:val="none"/>
                      <w:lang w:val="en-US" w:eastAsia="zh-CN"/>
                    </w:rPr>
                    <w:t>/m）</w:t>
                  </w:r>
                </w:p>
              </w:tc>
              <w:tc>
                <w:tcPr>
                  <w:tcW w:w="8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工频磁感应强度</w:t>
                  </w:r>
                  <w:r>
                    <w:rPr>
                      <w:rFonts w:hint="eastAsia" w:ascii="Times New Roman" w:hAnsi="Times New Roman" w:eastAsia="宋体" w:cs="Times New Roman"/>
                      <w:color w:val="000000"/>
                      <w:sz w:val="21"/>
                      <w:szCs w:val="21"/>
                      <w:highlight w:val="none"/>
                      <w:lang w:val="en-US" w:eastAsia="zh-CN"/>
                    </w:rPr>
                    <w:t>（</w:t>
                  </w:r>
                  <w:r>
                    <w:rPr>
                      <w:rFonts w:hint="default" w:ascii="Times New Roman" w:hAnsi="Times New Roman" w:eastAsia="宋体" w:cs="Times New Roman"/>
                      <w:color w:val="000000"/>
                      <w:sz w:val="21"/>
                      <w:szCs w:val="21"/>
                      <w:highlight w:val="none"/>
                      <w:lang w:val="en-US" w:eastAsia="zh-CN"/>
                    </w:rPr>
                    <w:t>μT</w:t>
                  </w:r>
                  <w:r>
                    <w:rPr>
                      <w:rFonts w:hint="eastAsia" w:ascii="Times New Roman" w:hAnsi="Times New Roman" w:eastAsia="宋体" w:cs="Times New Roman"/>
                      <w:color w:val="00000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(-40,1.5)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0.174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6.023</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0.178</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6.737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(-39,1.5)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0.184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6.176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0.188</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6.925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(-38,1.5)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0.195</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6.336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0.198</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7.123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(-37,1.5)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0.207</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6.505</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0.209</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7.333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(-36,1.5)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0.220</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6.683</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0.221</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7.555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(-35,1.5)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0.234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6.871</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0.235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7.790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(-34,1.5)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0.250</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7.070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0.249</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8.040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(-33,1.5)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0.268</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7.280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0.266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8.306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(-32,1.5)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0.287</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7.503</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0.284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8.589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(-31,1.5)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0.309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7.739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0.304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8.891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11</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(-30,1.5)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0.334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7.990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0.327</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9.214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12</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(-29,1.5)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0.362</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8.258</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0.353</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9.560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13</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(-28,1.5)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0.393</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8.544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0.381</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9.932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14</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(-27,1.5)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0.429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8.849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0.414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10.331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(-26,1.5)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0.469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9.176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0.452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10.762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16</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(-25,1.5)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0.516</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9.526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0.495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11.227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17</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(-24,1.5)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0.569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9.903</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0.544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11.731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18</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(-23,1.5)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0.631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10.309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0.601</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12.278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19</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(-22,1.5)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0.702</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10.746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0.666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12.872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(-21,1.5)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0.785</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11.218</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0.743</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13.519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21</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0.881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11.729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0.832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14.226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22</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(-19,1.5)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0.992</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12.282</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0.935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14.998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23</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(-18,1.5)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1.121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12.881</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1.056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15.843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24</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(-17,1.5)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1.271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13.529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1.197</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16.768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25</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(-16,1.5)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1.444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14.228</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1.360</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17.780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26</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1.643</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14.982</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1.549</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18.884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27</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(-14,1.5)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1.869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15.787</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1.764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20.083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28</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(-13,1.5)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2.120</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16.641</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2.005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21.375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29</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(-12,1.5)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2.395</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17.530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2.272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22.750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30</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(-11,1.5)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2.683</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18.434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2.555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24.183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31</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2.969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19.324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2.843</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25.634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32</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3.231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20.152</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3.115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27.038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33</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3.438</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20.866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3.341</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28.304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34</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3.554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21.408</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3.488</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29.326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35</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3.547</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21.734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3.522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29.995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36</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3.400</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21.832</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3.422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30.229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37</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3.116</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21.734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3.187</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29.995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38</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2.728</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21.510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2.846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29.326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39</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2.302</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21.254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2.464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28.304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40</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1.946</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21.057</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2.146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27.038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41</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1.801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20.983</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2.017</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25.634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42</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1.946</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21.057</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2.146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24.183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2.302</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21.254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2.464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22.750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44</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2.728</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21.510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2.846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21.375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45</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3.116</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21.734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3.187</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20.083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46</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3.400</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21.832</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3.422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18.884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47</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3.547</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21.734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3.522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17.780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48</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3.554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21.408</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3.488</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16.768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49</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3.438</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20.866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3.341</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15.843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50</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3.231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20.152</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3.115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14.998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51</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2.969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19.324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2.843</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14.226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52</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(11,1.5)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2.683</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18.434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2.555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13.519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53</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(12,1.5)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2.395</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17.530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2.272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12.872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54</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(13,1.5)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2.120</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16.641</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2.005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12.278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55</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(14,1.5)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1.869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15.787</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1.764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11.731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56</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1.643</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14.982</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1.549</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11.227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57</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(16,1.5)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1.444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14.228</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1.360</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10.762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58</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(17,1.5)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1.271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13.529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1.197</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10.331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59</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(18,1.5)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1.121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12.881</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1.056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9.932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60</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(19,1.5)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0.992</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12.282</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0.935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9.560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61</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0.881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11.729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0.832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9.214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62</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(21,1.5)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0.785</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11.218</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0.743</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8.891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63</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(22,1.5)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0.702</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10.746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0.666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8.589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64</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(23,1.5)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0.631</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10.309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0.601</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8.306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65</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(24,1.5)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0.569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9.903</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0.544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8.040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66</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(25,1.5)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0.516</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9.526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0.495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7.790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67</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(26,1.5)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0.469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9.176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0.452</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7.555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68</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(27,1.5)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0.429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8.849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0.414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7.333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69</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(28,1.5)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0.393</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8.544</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0.381</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7.123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70</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(29,1.5)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0.362</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8.258</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0.353</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6.925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71</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(30,1.5)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0.334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7.990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0.327</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6.737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72</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(31,1.5)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0.309</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7.739</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0.304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6.559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73</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(32,1.5)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0.287</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7.503</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0.284</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6.390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74</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(33,1.5)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0.268</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7.280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0.266</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6.229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75</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(34,1.5)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0.250</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7.070</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0.249</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6.076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76</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(35,1.5)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0.234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6.871</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0.235</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5.930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77</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(36,1.5)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0.220</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6.683</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0.221</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5.791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78</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(37,1.5)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0.207</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6.505</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0.209</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5.658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79</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(38,1.5)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0.195</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6.336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0.198</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5.531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80</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(39,1.5)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0.184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6.176</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0.188</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5.409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3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81</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w:t>
                  </w:r>
                  <w:r>
                    <w:rPr>
                      <w:rFonts w:hint="eastAsia" w:ascii="Times New Roman" w:hAnsi="Times New Roman" w:eastAsia="宋体" w:cs="Times New Roman"/>
                      <w:color w:val="000000"/>
                      <w:sz w:val="21"/>
                      <w:szCs w:val="21"/>
                      <w:highlight w:val="none"/>
                      <w:lang w:val="en-US" w:eastAsia="zh-CN"/>
                    </w:rPr>
                    <w:t>40</w:t>
                  </w:r>
                  <w:r>
                    <w:rPr>
                      <w:rFonts w:hint="default" w:ascii="Times New Roman" w:hAnsi="Times New Roman" w:eastAsia="宋体" w:cs="Times New Roman"/>
                      <w:color w:val="000000"/>
                      <w:sz w:val="21"/>
                      <w:szCs w:val="21"/>
                      <w:highlight w:val="none"/>
                      <w:lang w:val="en-US" w:eastAsia="zh-CN"/>
                    </w:rPr>
                    <w:t>,1.5)</w:t>
                  </w:r>
                </w:p>
              </w:tc>
              <w:tc>
                <w:tcPr>
                  <w:tcW w:w="1508" w:type="dxa"/>
                  <w:tcBorders>
                    <w:tl2br w:val="nil"/>
                    <w:tr2bl w:val="nil"/>
                  </w:tcBorders>
                  <w:noWrap w:val="0"/>
                  <w:vAlign w:val="top"/>
                </w:tcPr>
                <w:p>
                  <w:pPr>
                    <w:jc w:val="center"/>
                    <w:rPr>
                      <w:rFonts w:hint="default" w:ascii="Times New Roman" w:hAnsi="Times New Roman" w:eastAsia="宋体" w:cs="Times New Roman"/>
                      <w:color w:val="000000"/>
                      <w:sz w:val="21"/>
                      <w:szCs w:val="21"/>
                      <w:highlight w:val="none"/>
                      <w:lang w:val="en-US" w:eastAsia="zh-CN"/>
                    </w:rPr>
                  </w:pPr>
                  <w:r>
                    <w:rPr>
                      <w:rFonts w:hint="eastAsia"/>
                      <w:vertAlign w:val="baseline"/>
                      <w:lang w:eastAsia="zh-CN"/>
                    </w:rPr>
                    <w:t>0.174</w:t>
                  </w:r>
                </w:p>
              </w:tc>
              <w:tc>
                <w:tcPr>
                  <w:tcW w:w="1552" w:type="dxa"/>
                  <w:tcBorders>
                    <w:tl2br w:val="nil"/>
                    <w:tr2bl w:val="nil"/>
                  </w:tcBorders>
                  <w:noWrap w:val="0"/>
                  <w:vAlign w:val="top"/>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6.023</w:t>
                  </w:r>
                </w:p>
              </w:tc>
              <w:tc>
                <w:tcPr>
                  <w:tcW w:w="1431"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0.178</w:t>
                  </w:r>
                </w:p>
              </w:tc>
              <w:tc>
                <w:tcPr>
                  <w:tcW w:w="1436" w:type="dxa"/>
                  <w:tcBorders>
                    <w:tl2br w:val="nil"/>
                    <w:tr2bl w:val="nil"/>
                  </w:tcBorders>
                  <w:noWrap w:val="0"/>
                  <w:vAlign w:val="top"/>
                </w:tcPr>
                <w:p>
                  <w:pPr>
                    <w:jc w:val="center"/>
                    <w:rPr>
                      <w:rFonts w:hint="eastAsia" w:ascii="Times New Roman" w:hAnsi="Times New Roman" w:eastAsia="宋体" w:cs="Times New Roman"/>
                      <w:color w:val="000000"/>
                      <w:sz w:val="21"/>
                      <w:szCs w:val="21"/>
                      <w:highlight w:val="none"/>
                      <w:lang w:val="en-US" w:eastAsia="zh-CN"/>
                    </w:rPr>
                  </w:pPr>
                  <w:r>
                    <w:rPr>
                      <w:rFonts w:hint="eastAsia"/>
                      <w:vertAlign w:val="baseline"/>
                      <w:lang w:eastAsia="zh-CN"/>
                    </w:rPr>
                    <w:t>5.293</w:t>
                  </w:r>
                </w:p>
              </w:tc>
            </w:tr>
          </w:tbl>
          <w:p>
            <w:pPr>
              <w:ind w:left="0" w:leftChars="0" w:firstLine="0" w:firstLineChars="0"/>
              <w:jc w:val="center"/>
              <w:rPr>
                <w:color w:val="000000"/>
              </w:rPr>
            </w:pPr>
            <w:r>
              <w:drawing>
                <wp:inline distT="0" distB="0" distL="114300" distR="114300">
                  <wp:extent cx="4781550" cy="3401060"/>
                  <wp:effectExtent l="4445" t="4445" r="14605" b="23495"/>
                  <wp:docPr id="61" name="图表 2" descr="7b0a202020202263686172745265734964223a20223230343734373531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Style w:val="45"/>
                <w:rFonts w:hint="default" w:ascii="Times New Roman" w:hAnsi="Times New Roman" w:eastAsia="宋体" w:cs="Times New Roman"/>
                <w:color w:val="000000"/>
                <w:sz w:val="21"/>
                <w:szCs w:val="21"/>
                <w:highlight w:val="none"/>
              </w:rPr>
            </w:pPr>
            <w:r>
              <w:rPr>
                <w:rFonts w:hint="eastAsia" w:cs="宋体"/>
                <w:b/>
                <w:color w:val="000000"/>
                <w:szCs w:val="21"/>
              </w:rPr>
              <w:t>图</w:t>
            </w:r>
            <w:r>
              <w:rPr>
                <w:rFonts w:hint="eastAsia" w:cs="宋体"/>
                <w:b/>
                <w:color w:val="000000"/>
                <w:szCs w:val="21"/>
                <w:lang w:val="en-US" w:eastAsia="zh-CN"/>
              </w:rPr>
              <w:t>7-2</w:t>
            </w:r>
            <w:r>
              <w:rPr>
                <w:rFonts w:cs="宋体"/>
                <w:b/>
                <w:color w:val="000000"/>
                <w:szCs w:val="21"/>
              </w:rPr>
              <w:t xml:space="preserve"> 本项目</w:t>
            </w:r>
            <w:r>
              <w:rPr>
                <w:rFonts w:hint="eastAsia" w:cs="宋体"/>
                <w:b/>
                <w:color w:val="000000"/>
                <w:szCs w:val="21"/>
                <w:lang w:val="en-US" w:eastAsia="zh-CN"/>
              </w:rPr>
              <w:t>22</w:t>
            </w:r>
            <w:r>
              <w:rPr>
                <w:rFonts w:cs="宋体"/>
                <w:b/>
                <w:color w:val="000000"/>
                <w:szCs w:val="21"/>
              </w:rPr>
              <w:t>0kV</w:t>
            </w:r>
            <w:r>
              <w:rPr>
                <w:rFonts w:hint="eastAsia" w:cs="宋体"/>
                <w:b/>
                <w:color w:val="000000"/>
                <w:szCs w:val="21"/>
              </w:rPr>
              <w:t>单回</w:t>
            </w:r>
            <w:r>
              <w:rPr>
                <w:rFonts w:cs="宋体"/>
                <w:b/>
                <w:color w:val="000000"/>
                <w:szCs w:val="21"/>
              </w:rPr>
              <w:t>架空线路</w:t>
            </w:r>
            <w:r>
              <w:rPr>
                <w:rFonts w:hint="eastAsia" w:cs="宋体"/>
                <w:b/>
                <w:color w:val="000000"/>
                <w:szCs w:val="21"/>
                <w:lang w:val="en-US" w:eastAsia="zh-CN"/>
              </w:rPr>
              <w:t>塔型（ZM2）工频电场数据</w:t>
            </w:r>
            <w:r>
              <w:rPr>
                <w:rFonts w:cs="宋体"/>
                <w:b/>
                <w:color w:val="000000"/>
                <w:szCs w:val="21"/>
              </w:rPr>
              <w:t>分布趋势图</w:t>
            </w:r>
          </w:p>
          <w:p>
            <w:pPr>
              <w:ind w:left="420" w:leftChars="0" w:hanging="420" w:hangingChars="200"/>
              <w:jc w:val="center"/>
              <w:rPr>
                <w:color w:val="000000"/>
              </w:rPr>
            </w:pPr>
            <w:r>
              <w:drawing>
                <wp:inline distT="0" distB="0" distL="114300" distR="114300">
                  <wp:extent cx="4737100" cy="2982595"/>
                  <wp:effectExtent l="4445" t="4445" r="20955" b="22860"/>
                  <wp:docPr id="63" name="图表 8" descr="7b0a202020202263686172745265734964223a20223230343734373531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宋体"/>
                <w:b/>
                <w:color w:val="000000"/>
                <w:szCs w:val="21"/>
              </w:rPr>
            </w:pPr>
            <w:r>
              <w:rPr>
                <w:rFonts w:hint="eastAsia" w:cs="宋体"/>
                <w:b/>
                <w:color w:val="000000"/>
                <w:szCs w:val="21"/>
              </w:rPr>
              <w:t>图</w:t>
            </w:r>
            <w:r>
              <w:rPr>
                <w:rFonts w:hint="eastAsia" w:cs="宋体"/>
                <w:b/>
                <w:color w:val="000000"/>
                <w:szCs w:val="21"/>
                <w:lang w:val="en-US" w:eastAsia="zh-CN"/>
              </w:rPr>
              <w:t>7-3</w:t>
            </w:r>
            <w:r>
              <w:rPr>
                <w:rFonts w:cs="宋体"/>
                <w:b/>
                <w:color w:val="000000"/>
                <w:szCs w:val="21"/>
              </w:rPr>
              <w:t xml:space="preserve"> 本项目</w:t>
            </w:r>
            <w:r>
              <w:rPr>
                <w:rFonts w:hint="eastAsia" w:cs="宋体"/>
                <w:b/>
                <w:color w:val="000000"/>
                <w:szCs w:val="21"/>
                <w:lang w:val="en-US" w:eastAsia="zh-CN"/>
              </w:rPr>
              <w:t>22</w:t>
            </w:r>
            <w:r>
              <w:rPr>
                <w:rFonts w:cs="宋体"/>
                <w:b/>
                <w:color w:val="000000"/>
                <w:szCs w:val="21"/>
              </w:rPr>
              <w:t>0kV</w:t>
            </w:r>
            <w:r>
              <w:rPr>
                <w:rFonts w:hint="eastAsia" w:cs="宋体"/>
                <w:b/>
                <w:color w:val="000000"/>
                <w:szCs w:val="21"/>
              </w:rPr>
              <w:t>单回</w:t>
            </w:r>
            <w:r>
              <w:rPr>
                <w:rFonts w:cs="宋体"/>
                <w:b/>
                <w:color w:val="000000"/>
                <w:szCs w:val="21"/>
              </w:rPr>
              <w:t>架空线路</w:t>
            </w:r>
            <w:r>
              <w:rPr>
                <w:rFonts w:hint="eastAsia" w:cs="宋体"/>
                <w:b/>
                <w:color w:val="000000"/>
                <w:szCs w:val="21"/>
                <w:lang w:val="en-US" w:eastAsia="zh-CN"/>
              </w:rPr>
              <w:t>塔型（ZM2）电磁数据</w:t>
            </w:r>
            <w:r>
              <w:rPr>
                <w:rFonts w:cs="宋体"/>
                <w:b/>
                <w:color w:val="000000"/>
                <w:szCs w:val="21"/>
              </w:rPr>
              <w:t>分布趋势图</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rPr>
            </w:pPr>
            <w:r>
              <w:drawing>
                <wp:inline distT="0" distB="0" distL="114300" distR="114300">
                  <wp:extent cx="4826000" cy="3523615"/>
                  <wp:effectExtent l="4445" t="4445" r="8255" b="15240"/>
                  <wp:docPr id="2" name="图表 1" descr="7b0a202020202263686172745265734964223a20223230343734373531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rPr>
            </w:pPr>
            <w:r>
              <w:rPr>
                <w:rFonts w:hint="eastAsia" w:cs="宋体"/>
                <w:b/>
                <w:color w:val="000000"/>
                <w:szCs w:val="21"/>
              </w:rPr>
              <w:t>图</w:t>
            </w:r>
            <w:r>
              <w:rPr>
                <w:rFonts w:hint="eastAsia" w:cs="宋体"/>
                <w:b/>
                <w:color w:val="000000"/>
                <w:szCs w:val="21"/>
                <w:lang w:val="en-US" w:eastAsia="zh-CN"/>
              </w:rPr>
              <w:t>7-4</w:t>
            </w:r>
            <w:r>
              <w:rPr>
                <w:rFonts w:cs="宋体"/>
                <w:b/>
                <w:color w:val="000000"/>
                <w:szCs w:val="21"/>
              </w:rPr>
              <w:t>本项目</w:t>
            </w:r>
            <w:r>
              <w:rPr>
                <w:rFonts w:hint="eastAsia" w:cs="宋体"/>
                <w:b/>
                <w:color w:val="000000"/>
                <w:szCs w:val="21"/>
                <w:lang w:val="en-US" w:eastAsia="zh-CN"/>
              </w:rPr>
              <w:t>22</w:t>
            </w:r>
            <w:r>
              <w:rPr>
                <w:rFonts w:cs="宋体"/>
                <w:b/>
                <w:color w:val="000000"/>
                <w:szCs w:val="21"/>
              </w:rPr>
              <w:t>0kV</w:t>
            </w:r>
            <w:r>
              <w:rPr>
                <w:rFonts w:hint="eastAsia" w:cs="宋体"/>
                <w:b/>
                <w:color w:val="000000"/>
                <w:szCs w:val="21"/>
              </w:rPr>
              <w:t>单回</w:t>
            </w:r>
            <w:r>
              <w:rPr>
                <w:rFonts w:cs="宋体"/>
                <w:b/>
                <w:color w:val="000000"/>
                <w:szCs w:val="21"/>
              </w:rPr>
              <w:t>架空线路</w:t>
            </w:r>
            <w:r>
              <w:rPr>
                <w:rFonts w:hint="eastAsia" w:cs="宋体"/>
                <w:b/>
                <w:color w:val="000000"/>
                <w:szCs w:val="21"/>
                <w:lang w:val="en-US" w:eastAsia="zh-CN"/>
              </w:rPr>
              <w:t>塔型（ZMK）工频电场数据</w:t>
            </w:r>
            <w:r>
              <w:rPr>
                <w:rFonts w:cs="宋体"/>
                <w:b/>
                <w:color w:val="000000"/>
                <w:szCs w:val="21"/>
              </w:rPr>
              <w:t>分布趋势图</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宋体"/>
                <w:b/>
                <w:color w:val="000000"/>
                <w:szCs w:val="21"/>
              </w:rPr>
            </w:pPr>
            <w:r>
              <w:drawing>
                <wp:inline distT="0" distB="0" distL="114300" distR="114300">
                  <wp:extent cx="4826000" cy="3019425"/>
                  <wp:effectExtent l="4445" t="4445" r="8255" b="5080"/>
                  <wp:docPr id="64" name="图表 2" descr="7b0a202020202263686172745265734964223a20223230343734373531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Style w:val="45"/>
                <w:rFonts w:hint="default" w:ascii="Times New Roman" w:hAnsi="Times New Roman" w:eastAsia="宋体" w:cs="Times New Roman"/>
                <w:color w:val="000000"/>
                <w:sz w:val="21"/>
                <w:szCs w:val="21"/>
                <w:highlight w:val="none"/>
              </w:rPr>
            </w:pPr>
            <w:r>
              <w:rPr>
                <w:rFonts w:hint="eastAsia" w:cs="宋体"/>
                <w:b/>
                <w:color w:val="000000"/>
                <w:szCs w:val="21"/>
              </w:rPr>
              <w:t>图</w:t>
            </w:r>
            <w:r>
              <w:rPr>
                <w:rFonts w:hint="eastAsia" w:cs="宋体"/>
                <w:b/>
                <w:color w:val="000000"/>
                <w:szCs w:val="21"/>
                <w:lang w:val="en-US" w:eastAsia="zh-CN"/>
              </w:rPr>
              <w:t>7-5</w:t>
            </w:r>
            <w:r>
              <w:rPr>
                <w:rFonts w:cs="宋体"/>
                <w:b/>
                <w:color w:val="000000"/>
                <w:szCs w:val="21"/>
              </w:rPr>
              <w:t xml:space="preserve"> 本项目</w:t>
            </w:r>
            <w:r>
              <w:rPr>
                <w:rFonts w:hint="eastAsia" w:cs="宋体"/>
                <w:b/>
                <w:color w:val="000000"/>
                <w:szCs w:val="21"/>
                <w:lang w:val="en-US" w:eastAsia="zh-CN"/>
              </w:rPr>
              <w:t>22</w:t>
            </w:r>
            <w:r>
              <w:rPr>
                <w:rFonts w:cs="宋体"/>
                <w:b/>
                <w:color w:val="000000"/>
                <w:szCs w:val="21"/>
              </w:rPr>
              <w:t>0kV</w:t>
            </w:r>
            <w:r>
              <w:rPr>
                <w:rFonts w:hint="eastAsia" w:cs="宋体"/>
                <w:b/>
                <w:color w:val="000000"/>
                <w:szCs w:val="21"/>
              </w:rPr>
              <w:t>单回</w:t>
            </w:r>
            <w:r>
              <w:rPr>
                <w:rFonts w:cs="宋体"/>
                <w:b/>
                <w:color w:val="000000"/>
                <w:szCs w:val="21"/>
              </w:rPr>
              <w:t>架空线路</w:t>
            </w:r>
            <w:r>
              <w:rPr>
                <w:rFonts w:hint="eastAsia" w:cs="宋体"/>
                <w:b/>
                <w:color w:val="000000"/>
                <w:szCs w:val="21"/>
                <w:lang w:val="en-US" w:eastAsia="zh-CN"/>
              </w:rPr>
              <w:t>塔型（ZMK）电磁数据</w:t>
            </w:r>
            <w:r>
              <w:rPr>
                <w:rFonts w:cs="宋体"/>
                <w:b/>
                <w:color w:val="000000"/>
                <w:szCs w:val="21"/>
              </w:rPr>
              <w:t>分布趋势图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根据上表和上图可预测，当线路最小垂直距离距地面高度时，本项目评价范围内，单回架空线路建成后的工频电场强度在</w:t>
            </w:r>
            <w:r>
              <w:rPr>
                <w:rFonts w:hint="eastAsia" w:cs="Times New Roman"/>
                <w:color w:val="000000"/>
                <w:sz w:val="24"/>
                <w:szCs w:val="24"/>
                <w:highlight w:val="none"/>
                <w:lang w:val="en-US" w:eastAsia="zh-CN"/>
              </w:rPr>
              <w:t>0.174k</w:t>
            </w:r>
            <w:r>
              <w:rPr>
                <w:rFonts w:hint="default" w:ascii="Times New Roman" w:hAnsi="Times New Roman" w:eastAsia="宋体" w:cs="Times New Roman"/>
                <w:color w:val="000000"/>
                <w:sz w:val="24"/>
                <w:szCs w:val="24"/>
                <w:highlight w:val="none"/>
                <w:lang w:val="en-US" w:eastAsia="zh-CN"/>
              </w:rPr>
              <w:t>V/m-</w:t>
            </w:r>
            <w:r>
              <w:rPr>
                <w:rFonts w:hint="eastAsia" w:cs="Times New Roman"/>
                <w:color w:val="000000"/>
                <w:sz w:val="24"/>
                <w:szCs w:val="24"/>
                <w:highlight w:val="none"/>
                <w:lang w:val="en-US" w:eastAsia="zh-CN"/>
              </w:rPr>
              <w:t>3.54k</w:t>
            </w:r>
            <w:r>
              <w:rPr>
                <w:rFonts w:hint="default" w:ascii="Times New Roman" w:hAnsi="Times New Roman" w:eastAsia="宋体" w:cs="Times New Roman"/>
                <w:color w:val="000000"/>
                <w:sz w:val="24"/>
                <w:szCs w:val="24"/>
                <w:highlight w:val="none"/>
                <w:lang w:val="en-US" w:eastAsia="zh-CN"/>
              </w:rPr>
              <w:t>V/m之间，工频磁感应强度在</w:t>
            </w:r>
            <w:r>
              <w:rPr>
                <w:rFonts w:hint="eastAsia" w:cs="Times New Roman"/>
                <w:color w:val="000000"/>
                <w:sz w:val="24"/>
                <w:szCs w:val="24"/>
                <w:highlight w:val="none"/>
                <w:lang w:val="en-US" w:eastAsia="zh-CN"/>
              </w:rPr>
              <w:t>6.023</w:t>
            </w:r>
            <w:r>
              <w:rPr>
                <w:rFonts w:hint="default" w:ascii="Times New Roman" w:hAnsi="Times New Roman" w:eastAsia="宋体" w:cs="Times New Roman"/>
                <w:color w:val="000000"/>
                <w:sz w:val="24"/>
                <w:szCs w:val="24"/>
                <w:highlight w:val="none"/>
                <w:lang w:val="en-US" w:eastAsia="zh-CN"/>
              </w:rPr>
              <w:t>μT-</w:t>
            </w:r>
            <w:r>
              <w:rPr>
                <w:rFonts w:hint="eastAsia" w:cs="Times New Roman"/>
                <w:color w:val="000000"/>
                <w:sz w:val="24"/>
                <w:szCs w:val="24"/>
                <w:highlight w:val="none"/>
                <w:lang w:val="en-US" w:eastAsia="zh-CN"/>
              </w:rPr>
              <w:t>30.229</w:t>
            </w:r>
            <w:r>
              <w:rPr>
                <w:rFonts w:hint="default" w:ascii="Times New Roman" w:hAnsi="Times New Roman" w:eastAsia="宋体" w:cs="Times New Roman"/>
                <w:color w:val="000000"/>
                <w:sz w:val="24"/>
                <w:szCs w:val="24"/>
                <w:highlight w:val="none"/>
                <w:lang w:val="en-US" w:eastAsia="zh-CN"/>
              </w:rPr>
              <w:t>μT之间，可以满足工频电场强度4000V/m，工频磁感应强度100uT的公众曝露控制限值要求。</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eastAsia="宋体" w:cs="Times New Roman"/>
                <w:color w:val="000000"/>
                <w:sz w:val="24"/>
                <w:szCs w:val="24"/>
                <w:highlight w:val="none"/>
                <w:lang w:val="en-US" w:eastAsia="zh-CN"/>
              </w:rPr>
            </w:pPr>
            <w:r>
              <w:rPr>
                <w:color w:val="000000"/>
                <w:sz w:val="21"/>
              </w:rPr>
              <mc:AlternateContent>
                <mc:Choice Requires="wps">
                  <w:drawing>
                    <wp:anchor distT="0" distB="0" distL="114300" distR="114300" simplePos="0" relativeHeight="251663360" behindDoc="0" locked="0" layoutInCell="1" allowOverlap="1">
                      <wp:simplePos x="0" y="0"/>
                      <wp:positionH relativeFrom="column">
                        <wp:posOffset>1774190</wp:posOffset>
                      </wp:positionH>
                      <wp:positionV relativeFrom="paragraph">
                        <wp:posOffset>2504440</wp:posOffset>
                      </wp:positionV>
                      <wp:extent cx="2047875" cy="32575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2047875" cy="325755"/>
                              </a:xfrm>
                              <a:prstGeom prst="rect">
                                <a:avLst/>
                              </a:prstGeom>
                              <a:noFill/>
                              <a:ln>
                                <a:noFill/>
                              </a:ln>
                            </wps:spPr>
                            <wps:txbx>
                              <w:txbxContent>
                                <w:p>
                                  <w:pPr>
                                    <w:rPr>
                                      <w:rFonts w:hint="eastAsia"/>
                                      <w:b/>
                                      <w:bCs/>
                                      <w:lang w:val="en-US" w:eastAsia="zh-CN"/>
                                    </w:rPr>
                                  </w:pPr>
                                  <w:r>
                                    <w:rPr>
                                      <w:rFonts w:hint="eastAsia"/>
                                      <w:b/>
                                      <w:bCs/>
                                      <w:lang w:val="en-US" w:eastAsia="zh-CN"/>
                                    </w:rPr>
                                    <w:t>线路走廊中心距离(m)</w:t>
                                  </w:r>
                                </w:p>
                              </w:txbxContent>
                            </wps:txbx>
                            <wps:bodyPr upright="1"/>
                          </wps:wsp>
                        </a:graphicData>
                      </a:graphic>
                    </wp:anchor>
                  </w:drawing>
                </mc:Choice>
                <mc:Fallback>
                  <w:pict>
                    <v:shape id="_x0000_s1026" o:spid="_x0000_s1026" o:spt="202" type="#_x0000_t202" style="position:absolute;left:0pt;margin-left:139.7pt;margin-top:197.2pt;height:25.65pt;width:161.25pt;z-index:251663360;mso-width-relative:page;mso-height-relative:page;" filled="f" stroked="f" coordsize="21600,21600" o:gfxdata="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BA9vc&#10;2QAAAAsBAAAPAAAAAAAAAAEAIAAAACIAAABkcnMvZG93bnJldi54bWxQSwECFAAUAAAACACHTuJA&#10;QYqfRK4BAABQAwAADgAAAAAAAAABACAAAAAoAQAAZHJzL2Uyb0RvYy54bWxQSwUGAAAAAAYABgBZ&#10;AQAASAUAAAAA&#10;">
                      <v:fill on="f" focussize="0,0"/>
                      <v:stroke on="f"/>
                      <v:imagedata o:title=""/>
                      <o:lock v:ext="edit" aspectratio="f"/>
                      <v:textbox>
                        <w:txbxContent>
                          <w:p>
                            <w:pPr>
                              <w:rPr>
                                <w:rFonts w:hint="eastAsia"/>
                                <w:b/>
                                <w:bCs/>
                                <w:lang w:val="en-US" w:eastAsia="zh-CN"/>
                              </w:rPr>
                            </w:pPr>
                            <w:r>
                              <w:rPr>
                                <w:rFonts w:hint="eastAsia"/>
                                <w:b/>
                                <w:bCs/>
                                <w:lang w:val="en-US" w:eastAsia="zh-CN"/>
                              </w:rPr>
                              <w:t>线路走廊中心距离(m)</w:t>
                            </w:r>
                          </w:p>
                        </w:txbxContent>
                      </v:textbox>
                    </v:shape>
                  </w:pict>
                </mc:Fallback>
              </mc:AlternateContent>
            </w:r>
            <w:r>
              <w:rPr>
                <w:rFonts w:hint="eastAsia" w:ascii="Times New Roman" w:hAnsi="Times New Roman" w:eastAsia="宋体" w:cs="Times New Roman"/>
                <w:color w:val="000000"/>
                <w:sz w:val="24"/>
                <w:szCs w:val="24"/>
                <w:highlight w:val="none"/>
                <w:lang w:val="en-US" w:eastAsia="zh-CN"/>
              </w:rPr>
              <w:t>本项目典型线路段的电磁环境预测达标等值线图如下：</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0" w:firstLineChars="0"/>
              <w:jc w:val="center"/>
              <w:textAlignment w:val="auto"/>
              <w:rPr>
                <w:color w:val="000000"/>
              </w:rPr>
            </w:pPr>
            <w:r>
              <w:rPr>
                <w:color w:val="000000"/>
                <w:sz w:val="21"/>
              </w:rPr>
              <mc:AlternateContent>
                <mc:Choice Requires="wps">
                  <w:drawing>
                    <wp:anchor distT="0" distB="0" distL="114300" distR="114300" simplePos="0" relativeHeight="251661312" behindDoc="0" locked="0" layoutInCell="1" allowOverlap="1">
                      <wp:simplePos x="0" y="0"/>
                      <wp:positionH relativeFrom="column">
                        <wp:posOffset>31750</wp:posOffset>
                      </wp:positionH>
                      <wp:positionV relativeFrom="paragraph">
                        <wp:posOffset>94615</wp:posOffset>
                      </wp:positionV>
                      <wp:extent cx="362585" cy="106553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362585" cy="1065530"/>
                              </a:xfrm>
                              <a:prstGeom prst="rect">
                                <a:avLst/>
                              </a:prstGeom>
                              <a:noFill/>
                              <a:ln>
                                <a:noFill/>
                              </a:ln>
                            </wps:spPr>
                            <wps:txbx>
                              <w:txbxContent>
                                <w:p>
                                  <w:pP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距地面高度（m）</w:t>
                                  </w:r>
                                </w:p>
                              </w:txbxContent>
                            </wps:txbx>
                            <wps:bodyPr vert="eaVert" upright="1"/>
                          </wps:wsp>
                        </a:graphicData>
                      </a:graphic>
                    </wp:anchor>
                  </w:drawing>
                </mc:Choice>
                <mc:Fallback>
                  <w:pict>
                    <v:shape id="_x0000_s1026" o:spid="_x0000_s1026" o:spt="202" type="#_x0000_t202" style="position:absolute;left:0pt;margin-left:2.5pt;margin-top:7.45pt;height:83.9pt;width:28.55pt;z-index:251661312;mso-width-relative:page;mso-height-relative:page;" filled="f" stroked="f" coordsize="21600,21600" o:gfxdata="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HohO4XYAAAABwEAAA8AAAAAAAAAAQAgAAAAIgAAAGRycy9kb3ducmV2LnhtbFBLAQIUABQA&#10;AAAIAIdO4kDstt4RtwEAAF4DAAAOAAAAAAAAAAEAIAAAACcBAABkcnMvZTJvRG9jLnhtbFBLBQYA&#10;AAAABgAGAFkBAABQBQAAAAA=&#10;">
                      <v:fill on="f" focussize="0,0"/>
                      <v:stroke on="f"/>
                      <v:imagedata o:title=""/>
                      <o:lock v:ext="edit" aspectratio="f"/>
                      <v:textbox style="layout-flow:vertical-ideographic;">
                        <w:txbxContent>
                          <w:p>
                            <w:pP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距地面高度（m）</w:t>
                            </w:r>
                          </w:p>
                        </w:txbxContent>
                      </v:textbox>
                    </v:shape>
                  </w:pict>
                </mc:Fallback>
              </mc:AlternateContent>
            </w:r>
            <w:r>
              <w:rPr>
                <w:color w:val="000000"/>
                <w:sz w:val="21"/>
              </w:rPr>
              <mc:AlternateContent>
                <mc:Choice Requires="wps">
                  <w:drawing>
                    <wp:anchor distT="0" distB="0" distL="114300" distR="114300" simplePos="0" relativeHeight="251662336" behindDoc="0" locked="0" layoutInCell="1" allowOverlap="1">
                      <wp:simplePos x="0" y="0"/>
                      <wp:positionH relativeFrom="column">
                        <wp:posOffset>1422400</wp:posOffset>
                      </wp:positionH>
                      <wp:positionV relativeFrom="paragraph">
                        <wp:posOffset>139700</wp:posOffset>
                      </wp:positionV>
                      <wp:extent cx="2047875" cy="32575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2047875" cy="325755"/>
                              </a:xfrm>
                              <a:prstGeom prst="rect">
                                <a:avLst/>
                              </a:prstGeom>
                              <a:noFill/>
                              <a:ln>
                                <a:noFill/>
                              </a:ln>
                            </wps:spPr>
                            <wps:txbx>
                              <w:txbxContent>
                                <w:p>
                                  <w:pPr>
                                    <w:rPr>
                                      <w:rFonts w:hint="eastAsia"/>
                                      <w:b/>
                                      <w:bCs/>
                                      <w:lang w:val="en-US" w:eastAsia="zh-CN"/>
                                    </w:rPr>
                                  </w:pPr>
                                  <w:r>
                                    <w:rPr>
                                      <w:rFonts w:hint="eastAsia"/>
                                      <w:b/>
                                      <w:bCs/>
                                      <w:lang w:val="en-US" w:eastAsia="zh-CN"/>
                                    </w:rPr>
                                    <w:t>工频电场强度分布：kV/m</w:t>
                                  </w:r>
                                </w:p>
                              </w:txbxContent>
                            </wps:txbx>
                            <wps:bodyPr upright="1"/>
                          </wps:wsp>
                        </a:graphicData>
                      </a:graphic>
                    </wp:anchor>
                  </w:drawing>
                </mc:Choice>
                <mc:Fallback>
                  <w:pict>
                    <v:shape id="_x0000_s1026" o:spid="_x0000_s1026" o:spt="202" type="#_x0000_t202" style="position:absolute;left:0pt;margin-left:112pt;margin-top:11pt;height:25.65pt;width:161.25pt;z-index:251662336;mso-width-relative:page;mso-height-relative:page;" filled="f" stroked="f" coordsize="21600,21600" o:gfxdata="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X8oIHX&#10;AAAACQEAAA8AAAAAAAAAAQAgAAAAIgAAAGRycy9kb3ducmV2LnhtbFBLAQIUABQAAAAIAIdO4kCH&#10;E18GrwEAAFADAAAOAAAAAAAAAAEAIAAAACYBAABkcnMvZTJvRG9jLnhtbFBLBQYAAAAABgAGAFkB&#10;AABHBQAAAAA=&#10;">
                      <v:fill on="f" focussize="0,0"/>
                      <v:stroke on="f"/>
                      <v:imagedata o:title=""/>
                      <o:lock v:ext="edit" aspectratio="f"/>
                      <v:textbox>
                        <w:txbxContent>
                          <w:p>
                            <w:pPr>
                              <w:rPr>
                                <w:rFonts w:hint="eastAsia"/>
                                <w:b/>
                                <w:bCs/>
                                <w:lang w:val="en-US" w:eastAsia="zh-CN"/>
                              </w:rPr>
                            </w:pPr>
                            <w:r>
                              <w:rPr>
                                <w:rFonts w:hint="eastAsia"/>
                                <w:b/>
                                <w:bCs/>
                                <w:lang w:val="en-US" w:eastAsia="zh-CN"/>
                              </w:rPr>
                              <w:t>工频电场强度分布：kV/m</w:t>
                            </w:r>
                          </w:p>
                        </w:txbxContent>
                      </v:textbox>
                    </v:shape>
                  </w:pict>
                </mc:Fallback>
              </mc:AlternateContent>
            </w:r>
            <w:r>
              <w:rPr>
                <w:color w:val="000000"/>
              </w:rPr>
              <w:drawing>
                <wp:inline distT="0" distB="0" distL="114300" distR="114300">
                  <wp:extent cx="4976495" cy="2503170"/>
                  <wp:effectExtent l="0" t="0" r="14605" b="11430"/>
                  <wp:docPr id="109" name="图片 109" descr="dff8a7160a47a985da7ae99262dd75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dff8a7160a47a985da7ae99262dd75c4"/>
                          <pic:cNvPicPr>
                            <a:picLocks noChangeAspect="1"/>
                          </pic:cNvPicPr>
                        </pic:nvPicPr>
                        <pic:blipFill>
                          <a:blip r:embed="rId30"/>
                          <a:stretch>
                            <a:fillRect/>
                          </a:stretch>
                        </pic:blipFill>
                        <pic:spPr>
                          <a:xfrm>
                            <a:off x="0" y="0"/>
                            <a:ext cx="4976495" cy="2503170"/>
                          </a:xfrm>
                          <a:prstGeom prst="rect">
                            <a:avLst/>
                          </a:prstGeom>
                        </pic:spPr>
                      </pic:pic>
                    </a:graphicData>
                  </a:graphic>
                </wp:inline>
              </w:drawing>
            </w:r>
          </w:p>
          <w:p>
            <w:pPr>
              <w:ind w:left="0" w:leftChars="0" w:firstLine="0" w:firstLineChars="0"/>
              <w:jc w:val="center"/>
              <w:rPr>
                <w:rFonts w:hint="default" w:eastAsia="宋体"/>
                <w:b/>
                <w:bCs/>
                <w:color w:val="000000"/>
                <w:lang w:val="en-US" w:eastAsia="zh-CN"/>
              </w:rPr>
            </w:pPr>
            <w:r>
              <w:rPr>
                <w:rFonts w:hint="eastAsia"/>
                <w:b/>
                <w:bCs/>
                <w:color w:val="000000"/>
                <w:lang w:val="en-US" w:eastAsia="zh-CN"/>
              </w:rPr>
              <w:t>图7-6 线高9.5m典型路段（ZM2）工频电场强度达标等值线图</w:t>
            </w:r>
          </w:p>
          <w:p>
            <w:pPr>
              <w:ind w:left="0" w:leftChars="0" w:firstLine="0" w:firstLineChars="0"/>
              <w:jc w:val="center"/>
              <w:rPr>
                <w:rFonts w:hint="eastAsia" w:eastAsia="宋体"/>
                <w:color w:val="000000"/>
                <w:sz w:val="21"/>
                <w:lang w:eastAsia="zh-CN"/>
              </w:rPr>
            </w:pPr>
            <w:r>
              <w:rPr>
                <w:color w:val="000000"/>
                <w:sz w:val="21"/>
              </w:rPr>
              <mc:AlternateContent>
                <mc:Choice Requires="wps">
                  <w:drawing>
                    <wp:anchor distT="0" distB="0" distL="114300" distR="114300" simplePos="0" relativeHeight="251664384" behindDoc="0" locked="0" layoutInCell="1" allowOverlap="1">
                      <wp:simplePos x="0" y="0"/>
                      <wp:positionH relativeFrom="column">
                        <wp:posOffset>57150</wp:posOffset>
                      </wp:positionH>
                      <wp:positionV relativeFrom="paragraph">
                        <wp:posOffset>1270</wp:posOffset>
                      </wp:positionV>
                      <wp:extent cx="396875" cy="141287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396875" cy="1412875"/>
                              </a:xfrm>
                              <a:prstGeom prst="rect">
                                <a:avLst/>
                              </a:prstGeom>
                              <a:noFill/>
                              <a:ln>
                                <a:noFill/>
                              </a:ln>
                            </wps:spPr>
                            <wps:txbx>
                              <w:txbxContent>
                                <w:p>
                                  <w:pP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距地面高度（m）</w:t>
                                  </w:r>
                                </w:p>
                              </w:txbxContent>
                            </wps:txbx>
                            <wps:bodyPr vert="eaVert" upright="1"/>
                          </wps:wsp>
                        </a:graphicData>
                      </a:graphic>
                    </wp:anchor>
                  </w:drawing>
                </mc:Choice>
                <mc:Fallback>
                  <w:pict>
                    <v:shape id="_x0000_s1026" o:spid="_x0000_s1026" o:spt="202" type="#_x0000_t202" style="position:absolute;left:0pt;margin-left:4.5pt;margin-top:0.1pt;height:111.25pt;width:31.25pt;z-index:251664384;mso-width-relative:page;mso-height-relative:page;" filled="f" stroked="f" coordsize="21600,21600" o:gfxdata="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czSfh1wAAAAUBAAAPAAAAAAAAAAEAIAAAACIAAABkcnMvZG93bnJldi54bWxQSwECFAAUAAAA&#10;CACHTuJAGjDPvLYBAABeAwAADgAAAAAAAAABACAAAAAmAQAAZHJzL2Uyb0RvYy54bWxQSwUGAAAA&#10;AAYABgBZAQAATgUAAAAA&#10;">
                      <v:fill on="f" focussize="0,0"/>
                      <v:stroke on="f"/>
                      <v:imagedata o:title=""/>
                      <o:lock v:ext="edit" aspectratio="f"/>
                      <v:textbox style="layout-flow:vertical-ideographic;">
                        <w:txbxContent>
                          <w:p>
                            <w:pP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距地面高度（m）</w:t>
                            </w:r>
                          </w:p>
                        </w:txbxContent>
                      </v:textbox>
                    </v:shape>
                  </w:pict>
                </mc:Fallback>
              </mc:AlternateContent>
            </w:r>
            <w:r>
              <w:rPr>
                <w:color w:val="000000"/>
                <w:sz w:val="21"/>
              </w:rPr>
              <mc:AlternateContent>
                <mc:Choice Requires="wps">
                  <w:drawing>
                    <wp:anchor distT="0" distB="0" distL="114300" distR="114300" simplePos="0" relativeHeight="251669504" behindDoc="0" locked="0" layoutInCell="1" allowOverlap="1">
                      <wp:simplePos x="0" y="0"/>
                      <wp:positionH relativeFrom="column">
                        <wp:posOffset>1871980</wp:posOffset>
                      </wp:positionH>
                      <wp:positionV relativeFrom="paragraph">
                        <wp:posOffset>2188845</wp:posOffset>
                      </wp:positionV>
                      <wp:extent cx="2047875" cy="325755"/>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2047875" cy="325755"/>
                              </a:xfrm>
                              <a:prstGeom prst="rect">
                                <a:avLst/>
                              </a:prstGeom>
                              <a:noFill/>
                              <a:ln>
                                <a:noFill/>
                              </a:ln>
                            </wps:spPr>
                            <wps:txbx>
                              <w:txbxContent>
                                <w:p>
                                  <w:pPr>
                                    <w:rPr>
                                      <w:rFonts w:hint="eastAsia"/>
                                      <w:b/>
                                      <w:bCs/>
                                      <w:lang w:val="en-US" w:eastAsia="zh-CN"/>
                                    </w:rPr>
                                  </w:pPr>
                                  <w:r>
                                    <w:rPr>
                                      <w:rFonts w:hint="eastAsia"/>
                                      <w:b/>
                                      <w:bCs/>
                                      <w:lang w:val="en-US" w:eastAsia="zh-CN"/>
                                    </w:rPr>
                                    <w:t>线路走廊中心距离(m)</w:t>
                                  </w:r>
                                </w:p>
                              </w:txbxContent>
                            </wps:txbx>
                            <wps:bodyPr upright="1"/>
                          </wps:wsp>
                        </a:graphicData>
                      </a:graphic>
                    </wp:anchor>
                  </w:drawing>
                </mc:Choice>
                <mc:Fallback>
                  <w:pict>
                    <v:shape id="_x0000_s1026" o:spid="_x0000_s1026" o:spt="202" type="#_x0000_t202" style="position:absolute;left:0pt;margin-left:147.4pt;margin-top:172.35pt;height:25.65pt;width:161.25pt;z-index:251669504;mso-width-relative:page;mso-height-relative:page;" filled="f" stroked="f" coordsize="21600,21600" o:gfxdata="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U9qC&#10;htkAAAALAQAADwAAAAAAAAABACAAAAAiAAAAZHJzL2Rvd25yZXYueG1sUEsBAhQAFAAAAAgAh07i&#10;QOf1EAWvAQAAUgMAAA4AAAAAAAAAAQAgAAAAKAEAAGRycy9lMm9Eb2MueG1sUEsFBgAAAAAGAAYA&#10;WQEAAEkFAAAAAA==&#10;">
                      <v:fill on="f" focussize="0,0"/>
                      <v:stroke on="f"/>
                      <v:imagedata o:title=""/>
                      <o:lock v:ext="edit" aspectratio="f"/>
                      <v:textbox>
                        <w:txbxContent>
                          <w:p>
                            <w:pPr>
                              <w:rPr>
                                <w:rFonts w:hint="eastAsia"/>
                                <w:b/>
                                <w:bCs/>
                                <w:lang w:val="en-US" w:eastAsia="zh-CN"/>
                              </w:rPr>
                            </w:pPr>
                            <w:r>
                              <w:rPr>
                                <w:rFonts w:hint="eastAsia"/>
                                <w:b/>
                                <w:bCs/>
                                <w:lang w:val="en-US" w:eastAsia="zh-CN"/>
                              </w:rPr>
                              <w:t>线路走廊中心距离(m)</w:t>
                            </w:r>
                          </w:p>
                        </w:txbxContent>
                      </v:textbox>
                    </v:shape>
                  </w:pict>
                </mc:Fallback>
              </mc:AlternateContent>
            </w:r>
            <w:r>
              <w:rPr>
                <w:color w:val="000000"/>
                <w:sz w:val="21"/>
              </w:rPr>
              <mc:AlternateContent>
                <mc:Choice Requires="wps">
                  <w:drawing>
                    <wp:anchor distT="0" distB="0" distL="114300" distR="114300" simplePos="0" relativeHeight="251665408" behindDoc="0" locked="0" layoutInCell="1" allowOverlap="1">
                      <wp:simplePos x="0" y="0"/>
                      <wp:positionH relativeFrom="column">
                        <wp:posOffset>1703070</wp:posOffset>
                      </wp:positionH>
                      <wp:positionV relativeFrom="paragraph">
                        <wp:posOffset>48260</wp:posOffset>
                      </wp:positionV>
                      <wp:extent cx="2047875" cy="325755"/>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2047875" cy="325755"/>
                              </a:xfrm>
                              <a:prstGeom prst="rect">
                                <a:avLst/>
                              </a:prstGeom>
                              <a:noFill/>
                              <a:ln>
                                <a:noFill/>
                              </a:ln>
                            </wps:spPr>
                            <wps:txbx>
                              <w:txbxContent>
                                <w:p>
                                  <w:pPr>
                                    <w:rPr>
                                      <w:rFonts w:hint="eastAsia"/>
                                      <w:b/>
                                      <w:bCs/>
                                      <w:lang w:val="en-US" w:eastAsia="zh-CN"/>
                                    </w:rPr>
                                  </w:pPr>
                                  <w:r>
                                    <w:rPr>
                                      <w:rFonts w:hint="eastAsia"/>
                                      <w:b/>
                                      <w:bCs/>
                                      <w:lang w:val="en-US" w:eastAsia="zh-CN"/>
                                    </w:rPr>
                                    <w:t>工频磁感应强度分布:uT</w:t>
                                  </w:r>
                                </w:p>
                              </w:txbxContent>
                            </wps:txbx>
                            <wps:bodyPr upright="1"/>
                          </wps:wsp>
                        </a:graphicData>
                      </a:graphic>
                    </wp:anchor>
                  </w:drawing>
                </mc:Choice>
                <mc:Fallback>
                  <w:pict>
                    <v:shape id="_x0000_s1026" o:spid="_x0000_s1026" o:spt="202" type="#_x0000_t202" style="position:absolute;left:0pt;margin-left:134.1pt;margin-top:3.8pt;height:25.65pt;width:161.25pt;z-index:251665408;mso-width-relative:page;mso-height-relative:page;" filled="f" stroked="f" coordsize="21600,21600" o:gfxdata="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msfFDX&#10;AAAACAEAAA8AAAAAAAAAAQAgAAAAIgAAAGRycy9kb3ducmV2LnhtbFBLAQIUABQAAAAIAIdO4kDy&#10;k6bGrwEAAFADAAAOAAAAAAAAAAEAIAAAACYBAABkcnMvZTJvRG9jLnhtbFBLBQYAAAAABgAGAFkB&#10;AABHBQAAAAA=&#10;">
                      <v:fill on="f" focussize="0,0"/>
                      <v:stroke on="f"/>
                      <v:imagedata o:title=""/>
                      <o:lock v:ext="edit" aspectratio="f"/>
                      <v:textbox>
                        <w:txbxContent>
                          <w:p>
                            <w:pPr>
                              <w:rPr>
                                <w:rFonts w:hint="eastAsia"/>
                                <w:b/>
                                <w:bCs/>
                                <w:lang w:val="en-US" w:eastAsia="zh-CN"/>
                              </w:rPr>
                            </w:pPr>
                            <w:r>
                              <w:rPr>
                                <w:rFonts w:hint="eastAsia"/>
                                <w:b/>
                                <w:bCs/>
                                <w:lang w:val="en-US" w:eastAsia="zh-CN"/>
                              </w:rPr>
                              <w:t>工频磁感应强度分布:uT</w:t>
                            </w:r>
                          </w:p>
                        </w:txbxContent>
                      </v:textbox>
                    </v:shape>
                  </w:pict>
                </mc:Fallback>
              </mc:AlternateContent>
            </w:r>
            <w:r>
              <w:rPr>
                <w:rFonts w:hint="eastAsia" w:eastAsia="宋体"/>
                <w:color w:val="000000"/>
                <w:sz w:val="21"/>
                <w:lang w:eastAsia="zh-CN"/>
              </w:rPr>
              <w:drawing>
                <wp:inline distT="0" distB="0" distL="114300" distR="114300">
                  <wp:extent cx="4944110" cy="2406650"/>
                  <wp:effectExtent l="0" t="0" r="8890" b="12700"/>
                  <wp:docPr id="110" name="图片 110" descr="49625226c54f039ab937dffe114be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49625226c54f039ab937dffe114be034"/>
                          <pic:cNvPicPr>
                            <a:picLocks noChangeAspect="1"/>
                          </pic:cNvPicPr>
                        </pic:nvPicPr>
                        <pic:blipFill>
                          <a:blip r:embed="rId31"/>
                          <a:stretch>
                            <a:fillRect/>
                          </a:stretch>
                        </pic:blipFill>
                        <pic:spPr>
                          <a:xfrm>
                            <a:off x="0" y="0"/>
                            <a:ext cx="4944110" cy="2406650"/>
                          </a:xfrm>
                          <a:prstGeom prst="rect">
                            <a:avLst/>
                          </a:prstGeom>
                        </pic:spPr>
                      </pic:pic>
                    </a:graphicData>
                  </a:graphic>
                </wp:inline>
              </w:drawing>
            </w:r>
          </w:p>
          <w:p>
            <w:pPr>
              <w:ind w:left="0" w:leftChars="0" w:firstLine="0" w:firstLineChars="0"/>
              <w:jc w:val="center"/>
              <w:rPr>
                <w:rFonts w:hint="default" w:eastAsia="宋体"/>
                <w:b/>
                <w:bCs/>
                <w:color w:val="000000"/>
                <w:lang w:val="en-US" w:eastAsia="zh-CN"/>
              </w:rPr>
            </w:pPr>
            <w:r>
              <w:rPr>
                <w:color w:val="000000"/>
                <w:sz w:val="21"/>
              </w:rPr>
              <mc:AlternateContent>
                <mc:Choice Requires="wps">
                  <w:drawing>
                    <wp:anchor distT="0" distB="0" distL="114300" distR="114300" simplePos="0" relativeHeight="251666432" behindDoc="0" locked="0" layoutInCell="1" allowOverlap="1">
                      <wp:simplePos x="0" y="0"/>
                      <wp:positionH relativeFrom="column">
                        <wp:posOffset>2032000</wp:posOffset>
                      </wp:positionH>
                      <wp:positionV relativeFrom="paragraph">
                        <wp:posOffset>2151380</wp:posOffset>
                      </wp:positionV>
                      <wp:extent cx="2047875" cy="32575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2047875" cy="325755"/>
                              </a:xfrm>
                              <a:prstGeom prst="rect">
                                <a:avLst/>
                              </a:prstGeom>
                              <a:noFill/>
                              <a:ln>
                                <a:noFill/>
                              </a:ln>
                            </wps:spPr>
                            <wps:txbx>
                              <w:txbxContent>
                                <w:p>
                                  <w:pPr>
                                    <w:rPr>
                                      <w:rFonts w:hint="eastAsia"/>
                                      <w:b/>
                                      <w:bCs/>
                                      <w:lang w:val="en-US" w:eastAsia="zh-CN"/>
                                    </w:rPr>
                                  </w:pPr>
                                  <w:r>
                                    <w:rPr>
                                      <w:rFonts w:hint="eastAsia"/>
                                      <w:b/>
                                      <w:bCs/>
                                      <w:lang w:val="en-US" w:eastAsia="zh-CN"/>
                                    </w:rPr>
                                    <w:t>线路走廊中心距离(m)</w:t>
                                  </w:r>
                                </w:p>
                              </w:txbxContent>
                            </wps:txbx>
                            <wps:bodyPr upright="1"/>
                          </wps:wsp>
                        </a:graphicData>
                      </a:graphic>
                    </wp:anchor>
                  </w:drawing>
                </mc:Choice>
                <mc:Fallback>
                  <w:pict>
                    <v:shape id="_x0000_s1026" o:spid="_x0000_s1026" o:spt="202" type="#_x0000_t202" style="position:absolute;left:0pt;margin-left:160pt;margin-top:169.4pt;height:25.65pt;width:161.25pt;z-index:251666432;mso-width-relative:page;mso-height-relative:page;" filled="f" stroked="f" coordsize="21600,21600" o:gfxdata="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ZrsdbX&#10;AAAACwEAAA8AAAAAAAAAAQAgAAAAIgAAAGRycy9kb3ducmV2LnhtbFBLAQIUABQAAAAIAIdO4kDX&#10;RgalrwEAAFADAAAOAAAAAAAAAAEAIAAAACYBAABkcnMvZTJvRG9jLnhtbFBLBQYAAAAABgAGAFkB&#10;AABHBQAAAAA=&#10;">
                      <v:fill on="f" focussize="0,0"/>
                      <v:stroke on="f"/>
                      <v:imagedata o:title=""/>
                      <o:lock v:ext="edit" aspectratio="f"/>
                      <v:textbox>
                        <w:txbxContent>
                          <w:p>
                            <w:pPr>
                              <w:rPr>
                                <w:rFonts w:hint="eastAsia"/>
                                <w:b/>
                                <w:bCs/>
                                <w:lang w:val="en-US" w:eastAsia="zh-CN"/>
                              </w:rPr>
                            </w:pPr>
                            <w:r>
                              <w:rPr>
                                <w:rFonts w:hint="eastAsia"/>
                                <w:b/>
                                <w:bCs/>
                                <w:lang w:val="en-US" w:eastAsia="zh-CN"/>
                              </w:rPr>
                              <w:t>线路走廊中心距离(m)</w:t>
                            </w:r>
                          </w:p>
                        </w:txbxContent>
                      </v:textbox>
                    </v:shape>
                  </w:pict>
                </mc:Fallback>
              </mc:AlternateContent>
            </w:r>
            <w:r>
              <w:rPr>
                <w:rFonts w:hint="eastAsia"/>
                <w:b/>
                <w:bCs/>
                <w:color w:val="000000"/>
                <w:lang w:val="en-US" w:eastAsia="zh-CN"/>
              </w:rPr>
              <w:t>图7-7 线高9.5m典型路段（ZM2）工频磁感应强度达标等值线图</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cs="Times New Roman"/>
                <w:b/>
                <w:bCs/>
                <w:color w:val="000000"/>
                <w:sz w:val="24"/>
                <w:szCs w:val="24"/>
                <w:highlight w:val="none"/>
                <w:lang w:val="en-US" w:eastAsia="zh-CN"/>
              </w:rPr>
            </w:pPr>
            <w:r>
              <w:rPr>
                <w:color w:val="000000"/>
                <w:sz w:val="21"/>
              </w:rPr>
              <mc:AlternateContent>
                <mc:Choice Requires="wps">
                  <w:drawing>
                    <wp:anchor distT="0" distB="0" distL="114300" distR="114300" simplePos="0" relativeHeight="251671552" behindDoc="0" locked="0" layoutInCell="1" allowOverlap="1">
                      <wp:simplePos x="0" y="0"/>
                      <wp:positionH relativeFrom="column">
                        <wp:posOffset>134620</wp:posOffset>
                      </wp:positionH>
                      <wp:positionV relativeFrom="paragraph">
                        <wp:posOffset>27305</wp:posOffset>
                      </wp:positionV>
                      <wp:extent cx="362585" cy="106553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362585" cy="1065530"/>
                              </a:xfrm>
                              <a:prstGeom prst="rect">
                                <a:avLst/>
                              </a:prstGeom>
                              <a:noFill/>
                              <a:ln>
                                <a:noFill/>
                              </a:ln>
                            </wps:spPr>
                            <wps:txbx>
                              <w:txbxContent>
                                <w:p>
                                  <w:pP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距地面高度（m）</w:t>
                                  </w:r>
                                </w:p>
                              </w:txbxContent>
                            </wps:txbx>
                            <wps:bodyPr vert="eaVert" upright="1"/>
                          </wps:wsp>
                        </a:graphicData>
                      </a:graphic>
                    </wp:anchor>
                  </w:drawing>
                </mc:Choice>
                <mc:Fallback>
                  <w:pict>
                    <v:shape id="_x0000_s1026" o:spid="_x0000_s1026" o:spt="202" type="#_x0000_t202" style="position:absolute;left:0pt;margin-left:10.6pt;margin-top:2.15pt;height:83.9pt;width:28.55pt;z-index:251671552;mso-width-relative:page;mso-height-relative:page;" filled="f" stroked="f" coordsize="21600,21600" o:gfxdata="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B8mHr2AAAAAcBAAAPAAAAAAAAAAEAIAAAACIAAABkcnMvZG93bnJldi54bWxQSwECFAAU&#10;AAAACACHTuJAEPmfDrgBAABgAwAADgAAAAAAAAABACAAAAAnAQAAZHJzL2Uyb0RvYy54bWxQSwUG&#10;AAAAAAYABgBZAQAAUQUAAAAA&#10;">
                      <v:fill on="f" focussize="0,0"/>
                      <v:stroke on="f"/>
                      <v:imagedata o:title=""/>
                      <o:lock v:ext="edit" aspectratio="f"/>
                      <v:textbox style="layout-flow:vertical-ideographic;">
                        <w:txbxContent>
                          <w:p>
                            <w:pP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距地面高度（m）</w:t>
                            </w:r>
                          </w:p>
                        </w:txbxContent>
                      </v:textbox>
                    </v:shape>
                  </w:pict>
                </mc:Fallback>
              </mc:AlternateContent>
            </w:r>
            <w:r>
              <w:rPr>
                <w:color w:val="000000"/>
                <w:sz w:val="21"/>
              </w:rPr>
              <mc:AlternateContent>
                <mc:Choice Requires="wps">
                  <w:drawing>
                    <wp:anchor distT="0" distB="0" distL="114300" distR="114300" simplePos="0" relativeHeight="251670528" behindDoc="0" locked="0" layoutInCell="1" allowOverlap="1">
                      <wp:simplePos x="0" y="0"/>
                      <wp:positionH relativeFrom="column">
                        <wp:posOffset>1624965</wp:posOffset>
                      </wp:positionH>
                      <wp:positionV relativeFrom="paragraph">
                        <wp:posOffset>60960</wp:posOffset>
                      </wp:positionV>
                      <wp:extent cx="2047875" cy="32575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2047875" cy="325755"/>
                              </a:xfrm>
                              <a:prstGeom prst="rect">
                                <a:avLst/>
                              </a:prstGeom>
                              <a:noFill/>
                              <a:ln>
                                <a:noFill/>
                              </a:ln>
                            </wps:spPr>
                            <wps:txbx>
                              <w:txbxContent>
                                <w:p>
                                  <w:pPr>
                                    <w:rPr>
                                      <w:rFonts w:hint="eastAsia"/>
                                      <w:b/>
                                      <w:bCs/>
                                      <w:lang w:val="en-US" w:eastAsia="zh-CN"/>
                                    </w:rPr>
                                  </w:pPr>
                                  <w:r>
                                    <w:rPr>
                                      <w:rFonts w:hint="eastAsia"/>
                                      <w:b/>
                                      <w:bCs/>
                                      <w:lang w:val="en-US" w:eastAsia="zh-CN"/>
                                    </w:rPr>
                                    <w:t>工频电场强度分布：kV/m</w:t>
                                  </w:r>
                                </w:p>
                              </w:txbxContent>
                            </wps:txbx>
                            <wps:bodyPr upright="1"/>
                          </wps:wsp>
                        </a:graphicData>
                      </a:graphic>
                    </wp:anchor>
                  </w:drawing>
                </mc:Choice>
                <mc:Fallback>
                  <w:pict>
                    <v:shape id="_x0000_s1026" o:spid="_x0000_s1026" o:spt="202" type="#_x0000_t202" style="position:absolute;left:0pt;margin-left:127.95pt;margin-top:4.8pt;height:25.65pt;width:161.25pt;z-index:251670528;mso-width-relative:page;mso-height-relative:page;" filled="f" stroked="f" coordsize="21600,21600" o:gfxdata="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vj8Q9NYA&#10;AAAIAQAADwAAAAAAAAABACAAAAAiAAAAZHJzL2Rvd25yZXYueG1sUEsBAhQAFAAAAAgAh07iQLDs&#10;/5uvAQAAUgMAAA4AAAAAAAAAAQAgAAAAJQEAAGRycy9lMm9Eb2MueG1sUEsFBgAAAAAGAAYAWQEA&#10;AEYFAAAAAA==&#10;">
                      <v:fill on="f" focussize="0,0"/>
                      <v:stroke on="f"/>
                      <v:imagedata o:title=""/>
                      <o:lock v:ext="edit" aspectratio="f"/>
                      <v:textbox>
                        <w:txbxContent>
                          <w:p>
                            <w:pPr>
                              <w:rPr>
                                <w:rFonts w:hint="eastAsia"/>
                                <w:b/>
                                <w:bCs/>
                                <w:lang w:val="en-US" w:eastAsia="zh-CN"/>
                              </w:rPr>
                            </w:pPr>
                            <w:r>
                              <w:rPr>
                                <w:rFonts w:hint="eastAsia"/>
                                <w:b/>
                                <w:bCs/>
                                <w:lang w:val="en-US" w:eastAsia="zh-CN"/>
                              </w:rPr>
                              <w:t>工频电场强度分布：kV/m</w:t>
                            </w:r>
                          </w:p>
                        </w:txbxContent>
                      </v:textbox>
                    </v:shape>
                  </w:pict>
                </mc:Fallback>
              </mc:AlternateContent>
            </w:r>
            <w:r>
              <w:rPr>
                <w:rFonts w:hint="eastAsia" w:cs="Times New Roman"/>
                <w:b/>
                <w:bCs/>
                <w:color w:val="000000"/>
                <w:sz w:val="24"/>
                <w:szCs w:val="24"/>
                <w:highlight w:val="none"/>
                <w:lang w:val="en-US" w:eastAsia="zh-CN"/>
              </w:rPr>
              <w:drawing>
                <wp:inline distT="0" distB="0" distL="114300" distR="114300">
                  <wp:extent cx="4961890" cy="2236470"/>
                  <wp:effectExtent l="0" t="0" r="10160" b="11430"/>
                  <wp:docPr id="112" name="图片 112" descr="5eb0137fc7f3d2151962b17d94715c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5eb0137fc7f3d2151962b17d94715c06"/>
                          <pic:cNvPicPr>
                            <a:picLocks noChangeAspect="1"/>
                          </pic:cNvPicPr>
                        </pic:nvPicPr>
                        <pic:blipFill>
                          <a:blip r:embed="rId32"/>
                          <a:stretch>
                            <a:fillRect/>
                          </a:stretch>
                        </pic:blipFill>
                        <pic:spPr>
                          <a:xfrm>
                            <a:off x="0" y="0"/>
                            <a:ext cx="4961890" cy="2236470"/>
                          </a:xfrm>
                          <a:prstGeom prst="rect">
                            <a:avLst/>
                          </a:prstGeom>
                        </pic:spPr>
                      </pic:pic>
                    </a:graphicData>
                  </a:graphic>
                </wp:inline>
              </w:drawing>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cs="Times New Roman"/>
                <w:b/>
                <w:bCs/>
                <w:color w:val="000000"/>
                <w:sz w:val="24"/>
                <w:szCs w:val="24"/>
                <w:highlight w:val="none"/>
                <w:lang w:val="en-US" w:eastAsia="zh-CN"/>
              </w:rPr>
            </w:pPr>
            <w:r>
              <w:rPr>
                <w:rFonts w:hint="eastAsia"/>
                <w:b/>
                <w:bCs/>
                <w:color w:val="000000"/>
                <w:lang w:val="en-US" w:eastAsia="zh-CN"/>
              </w:rPr>
              <w:t>图7-8 线高9.5m典型路段（ZMK）工频电场强度达标等值线图</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cs="Times New Roman"/>
                <w:b/>
                <w:bCs/>
                <w:color w:val="000000"/>
                <w:sz w:val="24"/>
                <w:szCs w:val="24"/>
                <w:highlight w:val="none"/>
                <w:lang w:val="en-US" w:eastAsia="zh-CN"/>
              </w:rPr>
            </w:pPr>
            <w:r>
              <w:rPr>
                <w:color w:val="000000"/>
                <w:sz w:val="21"/>
              </w:rPr>
              <mc:AlternateContent>
                <mc:Choice Requires="wps">
                  <w:drawing>
                    <wp:anchor distT="0" distB="0" distL="114300" distR="114300" simplePos="0" relativeHeight="251674624" behindDoc="0" locked="0" layoutInCell="1" allowOverlap="1">
                      <wp:simplePos x="0" y="0"/>
                      <wp:positionH relativeFrom="column">
                        <wp:posOffset>1905635</wp:posOffset>
                      </wp:positionH>
                      <wp:positionV relativeFrom="paragraph">
                        <wp:posOffset>2382520</wp:posOffset>
                      </wp:positionV>
                      <wp:extent cx="2047875" cy="325755"/>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2047875" cy="325755"/>
                              </a:xfrm>
                              <a:prstGeom prst="rect">
                                <a:avLst/>
                              </a:prstGeom>
                              <a:noFill/>
                              <a:ln>
                                <a:noFill/>
                              </a:ln>
                            </wps:spPr>
                            <wps:txbx>
                              <w:txbxContent>
                                <w:p>
                                  <w:pPr>
                                    <w:rPr>
                                      <w:rFonts w:hint="eastAsia"/>
                                      <w:b/>
                                      <w:bCs/>
                                      <w:lang w:val="en-US" w:eastAsia="zh-CN"/>
                                    </w:rPr>
                                  </w:pPr>
                                  <w:r>
                                    <w:rPr>
                                      <w:rFonts w:hint="eastAsia"/>
                                      <w:b/>
                                      <w:bCs/>
                                      <w:lang w:val="en-US" w:eastAsia="zh-CN"/>
                                    </w:rPr>
                                    <w:t>线路走廊中心距离(m)</w:t>
                                  </w:r>
                                </w:p>
                              </w:txbxContent>
                            </wps:txbx>
                            <wps:bodyPr upright="1"/>
                          </wps:wsp>
                        </a:graphicData>
                      </a:graphic>
                    </wp:anchor>
                  </w:drawing>
                </mc:Choice>
                <mc:Fallback>
                  <w:pict>
                    <v:shape id="_x0000_s1026" o:spid="_x0000_s1026" o:spt="202" type="#_x0000_t202" style="position:absolute;left:0pt;margin-left:150.05pt;margin-top:187.6pt;height:25.65pt;width:161.25pt;z-index:251674624;mso-width-relative:page;mso-height-relative:page;" filled="f" stroked="f" coordsize="21600,21600" o:gfxdata="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zFsKJ&#10;2AAAAAsBAAAPAAAAAAAAAAEAIAAAACIAAABkcnMvZG93bnJldi54bWxQSwECFAAUAAAACACHTuJA&#10;0l1ptq8BAABSAwAADgAAAAAAAAABACAAAAAnAQAAZHJzL2Uyb0RvYy54bWxQSwUGAAAAAAYABgBZ&#10;AQAASAUAAAAA&#10;">
                      <v:fill on="f" focussize="0,0"/>
                      <v:stroke on="f"/>
                      <v:imagedata o:title=""/>
                      <o:lock v:ext="edit" aspectratio="f"/>
                      <v:textbox>
                        <w:txbxContent>
                          <w:p>
                            <w:pPr>
                              <w:rPr>
                                <w:rFonts w:hint="eastAsia"/>
                                <w:b/>
                                <w:bCs/>
                                <w:lang w:val="en-US" w:eastAsia="zh-CN"/>
                              </w:rPr>
                            </w:pPr>
                            <w:r>
                              <w:rPr>
                                <w:rFonts w:hint="eastAsia"/>
                                <w:b/>
                                <w:bCs/>
                                <w:lang w:val="en-US" w:eastAsia="zh-CN"/>
                              </w:rPr>
                              <w:t>线路走廊中心距离(m)</w:t>
                            </w:r>
                          </w:p>
                        </w:txbxContent>
                      </v:textbox>
                    </v:shape>
                  </w:pict>
                </mc:Fallback>
              </mc:AlternateContent>
            </w:r>
            <w:r>
              <w:rPr>
                <w:color w:val="000000"/>
                <w:sz w:val="21"/>
              </w:rPr>
              <mc:AlternateContent>
                <mc:Choice Requires="wps">
                  <w:drawing>
                    <wp:anchor distT="0" distB="0" distL="114300" distR="114300" simplePos="0" relativeHeight="251673600" behindDoc="0" locked="0" layoutInCell="1" allowOverlap="1">
                      <wp:simplePos x="0" y="0"/>
                      <wp:positionH relativeFrom="column">
                        <wp:posOffset>208915</wp:posOffset>
                      </wp:positionH>
                      <wp:positionV relativeFrom="paragraph">
                        <wp:posOffset>60325</wp:posOffset>
                      </wp:positionV>
                      <wp:extent cx="362585" cy="106553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362585" cy="1065530"/>
                              </a:xfrm>
                              <a:prstGeom prst="rect">
                                <a:avLst/>
                              </a:prstGeom>
                              <a:noFill/>
                              <a:ln>
                                <a:noFill/>
                              </a:ln>
                            </wps:spPr>
                            <wps:txbx>
                              <w:txbxContent>
                                <w:p>
                                  <w:pP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距地面高度（m）</w:t>
                                  </w:r>
                                </w:p>
                              </w:txbxContent>
                            </wps:txbx>
                            <wps:bodyPr vert="eaVert" upright="1"/>
                          </wps:wsp>
                        </a:graphicData>
                      </a:graphic>
                    </wp:anchor>
                  </w:drawing>
                </mc:Choice>
                <mc:Fallback>
                  <w:pict>
                    <v:shape id="_x0000_s1026" o:spid="_x0000_s1026" o:spt="202" type="#_x0000_t202" style="position:absolute;left:0pt;margin-left:16.45pt;margin-top:4.75pt;height:83.9pt;width:28.55pt;z-index:251673600;mso-width-relative:page;mso-height-relative:page;" filled="f" stroked="f" coordsize="21600,21600" o:gfxdata="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Fb3oT2QAAAAcBAAAPAAAAAAAAAAEAIAAAACIAAABkcnMvZG93bnJldi54bWxQSwECFAAU&#10;AAAACACHTuJA3hJB7LcBAABgAwAADgAAAAAAAAABACAAAAAoAQAAZHJzL2Uyb0RvYy54bWxQSwUG&#10;AAAAAAYABgBZAQAAUQUAAAAA&#10;">
                      <v:fill on="f" focussize="0,0"/>
                      <v:stroke on="f"/>
                      <v:imagedata o:title=""/>
                      <o:lock v:ext="edit" aspectratio="f"/>
                      <v:textbox style="layout-flow:vertical-ideographic;">
                        <w:txbxContent>
                          <w:p>
                            <w:pP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距地面高度（m）</w:t>
                            </w:r>
                          </w:p>
                        </w:txbxContent>
                      </v:textbox>
                    </v:shape>
                  </w:pict>
                </mc:Fallback>
              </mc:AlternateContent>
            </w:r>
            <w:r>
              <w:rPr>
                <w:color w:val="000000"/>
                <w:sz w:val="21"/>
              </w:rPr>
              <mc:AlternateContent>
                <mc:Choice Requires="wps">
                  <w:drawing>
                    <wp:anchor distT="0" distB="0" distL="114300" distR="114300" simplePos="0" relativeHeight="251672576" behindDoc="0" locked="0" layoutInCell="1" allowOverlap="1">
                      <wp:simplePos x="0" y="0"/>
                      <wp:positionH relativeFrom="column">
                        <wp:posOffset>1771015</wp:posOffset>
                      </wp:positionH>
                      <wp:positionV relativeFrom="paragraph">
                        <wp:posOffset>60960</wp:posOffset>
                      </wp:positionV>
                      <wp:extent cx="2047875" cy="325755"/>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2047875" cy="325755"/>
                              </a:xfrm>
                              <a:prstGeom prst="rect">
                                <a:avLst/>
                              </a:prstGeom>
                              <a:noFill/>
                              <a:ln>
                                <a:noFill/>
                              </a:ln>
                            </wps:spPr>
                            <wps:txbx>
                              <w:txbxContent>
                                <w:p>
                                  <w:pPr>
                                    <w:rPr>
                                      <w:rFonts w:hint="eastAsia"/>
                                      <w:b/>
                                      <w:bCs/>
                                      <w:lang w:val="en-US" w:eastAsia="zh-CN"/>
                                    </w:rPr>
                                  </w:pPr>
                                  <w:r>
                                    <w:rPr>
                                      <w:rFonts w:hint="eastAsia"/>
                                      <w:b/>
                                      <w:bCs/>
                                      <w:lang w:val="en-US" w:eastAsia="zh-CN"/>
                                    </w:rPr>
                                    <w:t>工频磁感应强度分布:uT</w:t>
                                  </w:r>
                                </w:p>
                              </w:txbxContent>
                            </wps:txbx>
                            <wps:bodyPr upright="1"/>
                          </wps:wsp>
                        </a:graphicData>
                      </a:graphic>
                    </wp:anchor>
                  </w:drawing>
                </mc:Choice>
                <mc:Fallback>
                  <w:pict>
                    <v:shape id="_x0000_s1026" o:spid="_x0000_s1026" o:spt="202" type="#_x0000_t202" style="position:absolute;left:0pt;margin-left:139.45pt;margin-top:4.8pt;height:25.65pt;width:161.25pt;z-index:251672576;mso-width-relative:page;mso-height-relative:page;" filled="f" stroked="f" coordsize="21600,21600" o:gfxdata="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jEwo2tYA&#10;AAAIAQAADwAAAAAAAAABACAAAAAiAAAAZHJzL2Rvd25yZXYueG1sUEsBAhQAFAAAAAgAh07iQF/Y&#10;UH2vAQAAUgMAAA4AAAAAAAAAAQAgAAAAJQEAAGRycy9lMm9Eb2MueG1sUEsFBgAAAAAGAAYAWQEA&#10;AEYFAAAAAA==&#10;">
                      <v:fill on="f" focussize="0,0"/>
                      <v:stroke on="f"/>
                      <v:imagedata o:title=""/>
                      <o:lock v:ext="edit" aspectratio="f"/>
                      <v:textbox>
                        <w:txbxContent>
                          <w:p>
                            <w:pPr>
                              <w:rPr>
                                <w:rFonts w:hint="eastAsia"/>
                                <w:b/>
                                <w:bCs/>
                                <w:lang w:val="en-US" w:eastAsia="zh-CN"/>
                              </w:rPr>
                            </w:pPr>
                            <w:r>
                              <w:rPr>
                                <w:rFonts w:hint="eastAsia"/>
                                <w:b/>
                                <w:bCs/>
                                <w:lang w:val="en-US" w:eastAsia="zh-CN"/>
                              </w:rPr>
                              <w:t>工频磁感应强度分布:uT</w:t>
                            </w:r>
                          </w:p>
                        </w:txbxContent>
                      </v:textbox>
                    </v:shape>
                  </w:pict>
                </mc:Fallback>
              </mc:AlternateContent>
            </w:r>
            <w:r>
              <w:rPr>
                <w:rFonts w:hint="eastAsia" w:cs="Times New Roman"/>
                <w:b/>
                <w:bCs/>
                <w:color w:val="000000"/>
                <w:sz w:val="24"/>
                <w:szCs w:val="24"/>
                <w:highlight w:val="none"/>
                <w:lang w:val="en-US" w:eastAsia="zh-CN"/>
              </w:rPr>
              <w:drawing>
                <wp:inline distT="0" distB="0" distL="114300" distR="114300">
                  <wp:extent cx="4965065" cy="2563495"/>
                  <wp:effectExtent l="0" t="0" r="6985" b="8255"/>
                  <wp:docPr id="115" name="图片 115" descr="f1c1a0ff7367097ee3bc3f06a7562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f1c1a0ff7367097ee3bc3f06a7562e78"/>
                          <pic:cNvPicPr>
                            <a:picLocks noChangeAspect="1"/>
                          </pic:cNvPicPr>
                        </pic:nvPicPr>
                        <pic:blipFill>
                          <a:blip r:embed="rId33"/>
                          <a:stretch>
                            <a:fillRect/>
                          </a:stretch>
                        </pic:blipFill>
                        <pic:spPr>
                          <a:xfrm>
                            <a:off x="0" y="0"/>
                            <a:ext cx="4965065" cy="2563495"/>
                          </a:xfrm>
                          <a:prstGeom prst="rect">
                            <a:avLst/>
                          </a:prstGeom>
                        </pic:spPr>
                      </pic:pic>
                    </a:graphicData>
                  </a:graphic>
                </wp:inline>
              </w:drawing>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cs="Times New Roman"/>
                <w:b/>
                <w:bCs/>
                <w:color w:val="000000"/>
                <w:sz w:val="24"/>
                <w:szCs w:val="24"/>
                <w:highlight w:val="none"/>
                <w:lang w:val="en-US" w:eastAsia="zh-CN"/>
              </w:rPr>
            </w:pPr>
            <w:r>
              <w:rPr>
                <w:rFonts w:hint="eastAsia"/>
                <w:b/>
                <w:bCs/>
                <w:color w:val="000000"/>
                <w:lang w:val="en-US" w:eastAsia="zh-CN"/>
              </w:rPr>
              <w:t>图7-9 线高9.5m典型路段（ZMK）工频磁感应强度达标等值线图</w:t>
            </w:r>
          </w:p>
          <w:p>
            <w:pPr>
              <w:keepNext w:val="0"/>
              <w:keepLines w:val="0"/>
              <w:pageBreakBefore w:val="0"/>
              <w:kinsoku/>
              <w:wordWrap/>
              <w:overflowPunct/>
              <w:topLinePunct w:val="0"/>
              <w:autoSpaceDE/>
              <w:autoSpaceDN/>
              <w:bidi w:val="0"/>
              <w:adjustRightInd w:val="0"/>
              <w:snapToGrid w:val="0"/>
              <w:spacing w:line="360" w:lineRule="auto"/>
              <w:ind w:firstLine="422"/>
              <w:textAlignment w:val="auto"/>
              <w:rPr>
                <w:rFonts w:hint="default" w:ascii="Times New Roman" w:hAnsi="Times New Roman" w:eastAsia="宋体" w:cs="Times New Roman"/>
                <w:b/>
                <w:bCs/>
                <w:color w:val="000000"/>
                <w:sz w:val="24"/>
                <w:szCs w:val="24"/>
                <w:highlight w:val="none"/>
              </w:rPr>
            </w:pPr>
            <w:r>
              <w:rPr>
                <w:rFonts w:hint="eastAsia" w:cs="Times New Roman"/>
                <w:b/>
                <w:bCs/>
                <w:color w:val="000000"/>
                <w:sz w:val="24"/>
                <w:szCs w:val="24"/>
                <w:highlight w:val="none"/>
                <w:lang w:val="en-US" w:eastAsia="zh-CN"/>
              </w:rPr>
              <w:t>7.3</w:t>
            </w:r>
            <w:r>
              <w:rPr>
                <w:rFonts w:hint="default" w:ascii="Times New Roman" w:hAnsi="Times New Roman" w:eastAsia="宋体" w:cs="Times New Roman"/>
                <w:b/>
                <w:bCs/>
                <w:color w:val="000000"/>
                <w:sz w:val="24"/>
                <w:szCs w:val="24"/>
                <w:highlight w:val="none"/>
              </w:rPr>
              <w:t>地下电缆电磁环境影响分析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lang w:val="en-US" w:eastAsia="zh-CN"/>
              </w:rPr>
              <w:t>类比对象选址及预测可行性</w:t>
            </w:r>
          </w:p>
          <w:p>
            <w:pPr>
              <w:spacing w:line="240" w:lineRule="auto"/>
              <w:ind w:left="0" w:leftChars="0" w:firstLine="422" w:firstLineChars="20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w:t>
            </w:r>
            <w:r>
              <w:rPr>
                <w:rFonts w:hint="eastAsia" w:ascii="Times New Roman" w:hAnsi="Times New Roman" w:eastAsia="宋体" w:cs="Times New Roman"/>
                <w:b/>
                <w:bCs/>
                <w:color w:val="auto"/>
                <w:highlight w:val="none"/>
                <w:lang w:val="en-US" w:eastAsia="zh-CN"/>
              </w:rPr>
              <w:t xml:space="preserve">7-9 </w:t>
            </w:r>
            <w:r>
              <w:rPr>
                <w:rFonts w:hint="default" w:ascii="Times New Roman" w:hAnsi="Times New Roman" w:eastAsia="宋体" w:cs="Times New Roman"/>
                <w:b/>
                <w:bCs/>
                <w:color w:val="auto"/>
                <w:highlight w:val="none"/>
                <w:lang w:val="en-US" w:eastAsia="zh-CN"/>
              </w:rPr>
              <w:t>地下电缆类比工程对照表</w:t>
            </w:r>
          </w:p>
          <w:tbl>
            <w:tblPr>
              <w:tblStyle w:val="21"/>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1719"/>
              <w:gridCol w:w="3349"/>
              <w:gridCol w:w="12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工程名称</w:t>
                  </w:r>
                </w:p>
              </w:tc>
              <w:tc>
                <w:tcPr>
                  <w:tcW w:w="10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类比项目</w:t>
                  </w:r>
                </w:p>
              </w:tc>
              <w:tc>
                <w:tcPr>
                  <w:tcW w:w="20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w:t>
                  </w:r>
                </w:p>
              </w:tc>
              <w:tc>
                <w:tcPr>
                  <w:tcW w:w="79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电压等级</w:t>
                  </w:r>
                </w:p>
              </w:tc>
              <w:tc>
                <w:tcPr>
                  <w:tcW w:w="10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22</w:t>
                  </w:r>
                  <w:r>
                    <w:rPr>
                      <w:rFonts w:hint="default" w:ascii="Times New Roman" w:hAnsi="Times New Roman" w:cs="Times New Roman"/>
                      <w:color w:val="auto"/>
                      <w:sz w:val="21"/>
                      <w:szCs w:val="21"/>
                      <w:highlight w:val="none"/>
                    </w:rPr>
                    <w:t>0kV</w:t>
                  </w:r>
                </w:p>
              </w:tc>
              <w:tc>
                <w:tcPr>
                  <w:tcW w:w="20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22</w:t>
                  </w:r>
                  <w:r>
                    <w:rPr>
                      <w:rFonts w:hint="default" w:ascii="Times New Roman" w:hAnsi="Times New Roman" w:cs="Times New Roman"/>
                      <w:color w:val="auto"/>
                      <w:sz w:val="21"/>
                      <w:szCs w:val="21"/>
                      <w:highlight w:val="none"/>
                    </w:rPr>
                    <w:t>0kV</w:t>
                  </w:r>
                </w:p>
              </w:tc>
              <w:tc>
                <w:tcPr>
                  <w:tcW w:w="79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电缆型号</w:t>
                  </w:r>
                </w:p>
              </w:tc>
              <w:tc>
                <w:tcPr>
                  <w:tcW w:w="10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AC220kV</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lang w:val="en-US" w:eastAsia="zh-CN"/>
                    </w:rPr>
                    <w:t>YJLW</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lang w:val="en-US" w:eastAsia="zh-CN"/>
                    </w:rPr>
                    <w:t>2000</w:t>
                  </w:r>
                </w:p>
              </w:tc>
              <w:tc>
                <w:tcPr>
                  <w:tcW w:w="20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ZC-YJLW03-Z-127/220-1×1600mm</w:t>
                  </w:r>
                </w:p>
              </w:tc>
              <w:tc>
                <w:tcPr>
                  <w:tcW w:w="79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相似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0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埋深</w:t>
                  </w:r>
                </w:p>
              </w:tc>
              <w:tc>
                <w:tcPr>
                  <w:tcW w:w="10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2.5m左右</w:t>
                  </w:r>
                </w:p>
              </w:tc>
              <w:tc>
                <w:tcPr>
                  <w:tcW w:w="20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2.5m左右</w:t>
                  </w:r>
                </w:p>
              </w:tc>
              <w:tc>
                <w:tcPr>
                  <w:tcW w:w="79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埋设方式</w:t>
                  </w:r>
                </w:p>
              </w:tc>
              <w:tc>
                <w:tcPr>
                  <w:tcW w:w="10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排管平铺</w:t>
                  </w:r>
                </w:p>
              </w:tc>
              <w:tc>
                <w:tcPr>
                  <w:tcW w:w="20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电缆沟槽敷设</w:t>
                  </w:r>
                </w:p>
              </w:tc>
              <w:tc>
                <w:tcPr>
                  <w:tcW w:w="79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相似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设计最大载流量</w:t>
                  </w:r>
                </w:p>
              </w:tc>
              <w:tc>
                <w:tcPr>
                  <w:tcW w:w="10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1460A</w:t>
                  </w:r>
                </w:p>
              </w:tc>
              <w:tc>
                <w:tcPr>
                  <w:tcW w:w="20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445A</w:t>
                  </w:r>
                </w:p>
              </w:tc>
              <w:tc>
                <w:tcPr>
                  <w:tcW w:w="79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大于本项目</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工程拟建电缆送处线路与220kV永福输变电工程新建双回220kV电缆线路的现状规模相近，电压等级相同，因此对周围环境工频电场强度、工频磁感应强度的影响基本处于相同水平，可以用220kV永福输变电工程220kV电缆线路实际运行的类比监测结果分析预测本工程拟建电缆送电线路产生的工频电场强度、工频磁感应强度对周围环境的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lang w:val="en-US" w:eastAsia="zh-CN"/>
              </w:rPr>
              <w:t>类比监测时间、气象条件及运行工况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监测时间:2017年7月28日</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气象条件:天气:晴，温度:32℃，湿度:69%，风速:静风。</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类比监测期间电缆线路运行工况参见附件。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lang w:val="en-US" w:eastAsia="zh-CN"/>
              </w:rPr>
              <w:t>监测单位及监测仪器</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监测单位:广东省环境辐射监测中心</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监测仪器:NBM-550电磁辐射分析仪</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val="en-US" w:eastAsia="zh-CN"/>
              </w:rPr>
              <w:t>监测点布设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垂直电缆线路设1个衰减监测断面，电缆线路沿线选择两处代表性监测点。</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（5）</w:t>
            </w:r>
            <w:r>
              <w:rPr>
                <w:rFonts w:hint="default" w:ascii="Times New Roman" w:hAnsi="Times New Roman" w:eastAsia="宋体" w:cs="Times New Roman"/>
                <w:color w:val="000000"/>
                <w:sz w:val="24"/>
                <w:szCs w:val="24"/>
                <w:highlight w:val="none"/>
                <w:lang w:val="en-US" w:eastAsia="zh-CN"/>
              </w:rPr>
              <w:t>类比监测结果及分析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电缆输电线路工频电、磁场监测结果详见</w:t>
            </w:r>
            <w:r>
              <w:rPr>
                <w:rFonts w:hint="eastAsia" w:ascii="Times New Roman" w:hAnsi="Times New Roman" w:eastAsia="宋体" w:cs="Times New Roman"/>
                <w:color w:val="000000"/>
                <w:sz w:val="24"/>
                <w:szCs w:val="24"/>
                <w:highlight w:val="none"/>
                <w:lang w:val="en-US" w:eastAsia="zh-CN"/>
              </w:rPr>
              <w:t>下表</w:t>
            </w:r>
            <w:r>
              <w:rPr>
                <w:rFonts w:hint="default" w:ascii="Times New Roman" w:hAnsi="Times New Roman" w:eastAsia="宋体" w:cs="Times New Roman"/>
                <w:color w:val="000000"/>
                <w:sz w:val="24"/>
                <w:szCs w:val="24"/>
                <w:highlight w:val="none"/>
                <w:lang w:val="en-US" w:eastAsia="zh-CN"/>
              </w:rPr>
              <w:t>。</w:t>
            </w:r>
          </w:p>
          <w:p>
            <w:pPr>
              <w:ind w:left="0" w:leftChars="0" w:firstLine="0" w:firstLineChars="0"/>
              <w:jc w:val="center"/>
              <w:rPr>
                <w:rFonts w:hint="default" w:ascii="Times New Roman" w:hAnsi="Times New Roman" w:eastAsia="宋体" w:cs="Times New Roman"/>
                <w:b/>
                <w:bCs/>
                <w:color w:val="000000"/>
                <w:lang w:val="en-US" w:eastAsia="zh-CN"/>
              </w:rPr>
            </w:pPr>
            <w:r>
              <w:rPr>
                <w:rFonts w:hint="default" w:ascii="Times New Roman" w:hAnsi="Times New Roman" w:eastAsia="宋体" w:cs="Times New Roman"/>
                <w:b/>
                <w:bCs/>
                <w:color w:val="000000"/>
                <w:lang w:val="en-US" w:eastAsia="zh-CN"/>
              </w:rPr>
              <w:t>表</w:t>
            </w:r>
            <w:r>
              <w:rPr>
                <w:rFonts w:hint="eastAsia" w:cs="Times New Roman"/>
                <w:b/>
                <w:bCs/>
                <w:color w:val="000000"/>
                <w:lang w:val="en-US" w:eastAsia="zh-CN"/>
              </w:rPr>
              <w:t>7-10</w:t>
            </w:r>
            <w:r>
              <w:rPr>
                <w:rFonts w:hint="eastAsia" w:ascii="Times New Roman" w:hAnsi="Times New Roman" w:eastAsia="宋体" w:cs="Times New Roman"/>
                <w:b/>
                <w:bCs/>
                <w:color w:val="000000"/>
                <w:lang w:val="en-US" w:eastAsia="zh-CN"/>
              </w:rPr>
              <w:t xml:space="preserve"> </w:t>
            </w:r>
            <w:r>
              <w:rPr>
                <w:rFonts w:hint="default" w:ascii="Times New Roman" w:hAnsi="Times New Roman" w:eastAsia="宋体" w:cs="Times New Roman"/>
                <w:b/>
                <w:bCs/>
                <w:color w:val="000000"/>
                <w:lang w:val="en-US" w:eastAsia="zh-CN"/>
              </w:rPr>
              <w:t>220kV永福输变电工程电缆线路工频电场、磁感应强度测量值</w:t>
            </w:r>
          </w:p>
          <w:tbl>
            <w:tblPr>
              <w:tblStyle w:val="21"/>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8"/>
              <w:gridCol w:w="2019"/>
              <w:gridCol w:w="2019"/>
              <w:gridCol w:w="202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tcBorders>
                    <w:top w:val="single" w:color="auto" w:sz="12" w:space="0"/>
                  </w:tcBorders>
                  <w:vAlign w:val="top"/>
                </w:tcPr>
                <w:p>
                  <w:pPr>
                    <w:jc w:val="center"/>
                    <w:rPr>
                      <w:rFonts w:hint="default" w:ascii="Times New Roman" w:hAnsi="Times New Roman" w:cs="Times New Roman" w:eastAsiaTheme="minorEastAsia"/>
                      <w:b/>
                      <w:bCs/>
                      <w:color w:val="000000"/>
                      <w:sz w:val="21"/>
                      <w:szCs w:val="21"/>
                      <w:vertAlign w:val="baseline"/>
                      <w:lang w:val="en-US" w:eastAsia="zh-CN"/>
                    </w:rPr>
                  </w:pPr>
                  <w:r>
                    <w:rPr>
                      <w:rFonts w:hint="default" w:ascii="Times New Roman" w:hAnsi="Times New Roman" w:cs="Times New Roman" w:eastAsiaTheme="minorEastAsia"/>
                      <w:b/>
                      <w:bCs/>
                      <w:color w:val="000000"/>
                      <w:sz w:val="21"/>
                      <w:szCs w:val="21"/>
                      <w:vertAlign w:val="baseline"/>
                      <w:lang w:val="en-US" w:eastAsia="zh-CN"/>
                    </w:rPr>
                    <w:t>测量点位</w:t>
                  </w:r>
                </w:p>
              </w:tc>
              <w:tc>
                <w:tcPr>
                  <w:tcW w:w="1249" w:type="pct"/>
                  <w:tcBorders>
                    <w:top w:val="single" w:color="auto" w:sz="12" w:space="0"/>
                  </w:tcBorders>
                  <w:vAlign w:val="top"/>
                </w:tcPr>
                <w:p>
                  <w:pPr>
                    <w:jc w:val="center"/>
                    <w:rPr>
                      <w:rFonts w:hint="default" w:ascii="Times New Roman" w:hAnsi="Times New Roman" w:cs="Times New Roman" w:eastAsiaTheme="minorEastAsia"/>
                      <w:b/>
                      <w:bCs/>
                      <w:color w:val="000000"/>
                      <w:sz w:val="21"/>
                      <w:szCs w:val="21"/>
                      <w:vertAlign w:val="baseline"/>
                      <w:lang w:val="en-US" w:eastAsia="zh-CN"/>
                    </w:rPr>
                  </w:pPr>
                  <w:r>
                    <w:rPr>
                      <w:rFonts w:hint="default" w:ascii="Times New Roman" w:hAnsi="Times New Roman" w:cs="Times New Roman" w:eastAsiaTheme="minorEastAsia"/>
                      <w:b/>
                      <w:bCs/>
                      <w:color w:val="000000"/>
                      <w:sz w:val="21"/>
                      <w:szCs w:val="21"/>
                      <w:vertAlign w:val="baseline"/>
                      <w:lang w:val="en-US" w:eastAsia="zh-CN"/>
                    </w:rPr>
                    <w:t>电场强度（V/m）</w:t>
                  </w:r>
                </w:p>
              </w:tc>
              <w:tc>
                <w:tcPr>
                  <w:tcW w:w="1249" w:type="pct"/>
                  <w:tcBorders>
                    <w:top w:val="single" w:color="auto" w:sz="12" w:space="0"/>
                  </w:tcBorders>
                  <w:vAlign w:val="top"/>
                </w:tcPr>
                <w:p>
                  <w:pPr>
                    <w:jc w:val="center"/>
                    <w:rPr>
                      <w:rFonts w:hint="default" w:ascii="Times New Roman" w:hAnsi="Times New Roman" w:cs="Times New Roman" w:eastAsiaTheme="minorEastAsia"/>
                      <w:b/>
                      <w:bCs/>
                      <w:color w:val="000000"/>
                      <w:sz w:val="21"/>
                      <w:szCs w:val="21"/>
                      <w:vertAlign w:val="baseline"/>
                      <w:lang w:val="en-US" w:eastAsia="zh-CN"/>
                    </w:rPr>
                  </w:pPr>
                  <w:r>
                    <w:rPr>
                      <w:rFonts w:hint="default" w:ascii="Times New Roman" w:hAnsi="Times New Roman" w:cs="Times New Roman" w:eastAsiaTheme="minorEastAsia"/>
                      <w:b/>
                      <w:bCs/>
                      <w:color w:val="000000"/>
                      <w:sz w:val="21"/>
                      <w:szCs w:val="21"/>
                      <w:vertAlign w:val="baseline"/>
                      <w:lang w:val="en-US" w:eastAsia="zh-CN"/>
                    </w:rPr>
                    <w:t>磁感应强度（μT）</w:t>
                  </w:r>
                </w:p>
              </w:tc>
              <w:tc>
                <w:tcPr>
                  <w:tcW w:w="1250" w:type="pct"/>
                  <w:tcBorders>
                    <w:top w:val="single" w:color="auto" w:sz="12" w:space="0"/>
                  </w:tcBorders>
                  <w:vAlign w:val="top"/>
                </w:tcPr>
                <w:p>
                  <w:pPr>
                    <w:jc w:val="center"/>
                    <w:rPr>
                      <w:rFonts w:hint="default" w:ascii="Times New Roman" w:hAnsi="Times New Roman" w:cs="Times New Roman" w:eastAsiaTheme="minorEastAsia"/>
                      <w:b/>
                      <w:bCs/>
                      <w:color w:val="000000"/>
                      <w:sz w:val="21"/>
                      <w:szCs w:val="21"/>
                      <w:vertAlign w:val="baseline"/>
                      <w:lang w:val="en-US" w:eastAsia="zh-CN"/>
                    </w:rPr>
                  </w:pPr>
                  <w:r>
                    <w:rPr>
                      <w:rFonts w:hint="default" w:ascii="Times New Roman" w:hAnsi="Times New Roman" w:cs="Times New Roman" w:eastAsiaTheme="minorEastAsia"/>
                      <w:b/>
                      <w:bCs/>
                      <w:color w:val="000000"/>
                      <w:sz w:val="21"/>
                      <w:szCs w:val="21"/>
                      <w:vertAlign w:val="baseline"/>
                      <w:lang w:val="en-US"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vAlign w:val="top"/>
                </w:tcPr>
                <w:p>
                  <w:pPr>
                    <w:jc w:val="both"/>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电缆线路衰减断面</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b w:val="0"/>
                      <w:bCs w:val="0"/>
                      <w:sz w:val="21"/>
                      <w:szCs w:val="21"/>
                    </w:rPr>
                    <w:t>DMM2-1#</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＜0.05</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0.020±0.01</w:t>
                  </w:r>
                </w:p>
              </w:tc>
              <w:tc>
                <w:tcPr>
                  <w:tcW w:w="1250"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电缆沟正上方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b w:val="0"/>
                      <w:bCs w:val="0"/>
                      <w:sz w:val="21"/>
                      <w:szCs w:val="21"/>
                    </w:rPr>
                    <w:t>DMM2-</w:t>
                  </w:r>
                  <w:r>
                    <w:rPr>
                      <w:rFonts w:hint="default" w:ascii="Times New Roman" w:hAnsi="Times New Roman" w:cs="Times New Roman"/>
                      <w:b w:val="0"/>
                      <w:bCs w:val="0"/>
                      <w:sz w:val="21"/>
                      <w:szCs w:val="21"/>
                      <w:lang w:val="en-US" w:eastAsia="zh-CN"/>
                    </w:rPr>
                    <w:t>2</w:t>
                  </w:r>
                  <w:r>
                    <w:rPr>
                      <w:rFonts w:hint="default" w:ascii="Times New Roman" w:hAnsi="Times New Roman" w:cs="Times New Roman"/>
                      <w:b w:val="0"/>
                      <w:bCs w:val="0"/>
                      <w:sz w:val="21"/>
                      <w:szCs w:val="21"/>
                    </w:rPr>
                    <w:t>#</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＜0.05</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0.016±0.01</w:t>
                  </w:r>
                </w:p>
              </w:tc>
              <w:tc>
                <w:tcPr>
                  <w:tcW w:w="1250"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电缆沟边上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b w:val="0"/>
                      <w:bCs w:val="0"/>
                      <w:sz w:val="21"/>
                      <w:szCs w:val="21"/>
                    </w:rPr>
                    <w:t>DMM2-</w:t>
                  </w:r>
                  <w:r>
                    <w:rPr>
                      <w:rFonts w:hint="default" w:ascii="Times New Roman" w:hAnsi="Times New Roman" w:cs="Times New Roman"/>
                      <w:b w:val="0"/>
                      <w:bCs w:val="0"/>
                      <w:sz w:val="21"/>
                      <w:szCs w:val="21"/>
                      <w:lang w:val="en-US" w:eastAsia="zh-CN"/>
                    </w:rPr>
                    <w:t>3</w:t>
                  </w:r>
                  <w:r>
                    <w:rPr>
                      <w:rFonts w:hint="default" w:ascii="Times New Roman" w:hAnsi="Times New Roman" w:cs="Times New Roman"/>
                      <w:b w:val="0"/>
                      <w:bCs w:val="0"/>
                      <w:sz w:val="21"/>
                      <w:szCs w:val="21"/>
                    </w:rPr>
                    <w:t>#</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＜0.05</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0.014±0.01</w:t>
                  </w:r>
                </w:p>
              </w:tc>
              <w:tc>
                <w:tcPr>
                  <w:tcW w:w="1250"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电缆沟外1m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b w:val="0"/>
                      <w:bCs w:val="0"/>
                      <w:sz w:val="21"/>
                      <w:szCs w:val="21"/>
                    </w:rPr>
                    <w:t>DMM2-</w:t>
                  </w:r>
                  <w:r>
                    <w:rPr>
                      <w:rFonts w:hint="default" w:ascii="Times New Roman" w:hAnsi="Times New Roman" w:cs="Times New Roman"/>
                      <w:b w:val="0"/>
                      <w:bCs w:val="0"/>
                      <w:sz w:val="21"/>
                      <w:szCs w:val="21"/>
                      <w:lang w:val="en-US" w:eastAsia="zh-CN"/>
                    </w:rPr>
                    <w:t>4</w:t>
                  </w:r>
                  <w:r>
                    <w:rPr>
                      <w:rFonts w:hint="default" w:ascii="Times New Roman" w:hAnsi="Times New Roman" w:cs="Times New Roman"/>
                      <w:b w:val="0"/>
                      <w:bCs w:val="0"/>
                      <w:sz w:val="21"/>
                      <w:szCs w:val="21"/>
                    </w:rPr>
                    <w:t>#</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＜0.05</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0.012±0.01</w:t>
                  </w:r>
                </w:p>
              </w:tc>
              <w:tc>
                <w:tcPr>
                  <w:tcW w:w="1250"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电缆沟外2m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b w:val="0"/>
                      <w:bCs w:val="0"/>
                      <w:sz w:val="21"/>
                      <w:szCs w:val="21"/>
                    </w:rPr>
                    <w:t>DMM2-</w:t>
                  </w:r>
                  <w:r>
                    <w:rPr>
                      <w:rFonts w:hint="default" w:ascii="Times New Roman" w:hAnsi="Times New Roman" w:cs="Times New Roman"/>
                      <w:b w:val="0"/>
                      <w:bCs w:val="0"/>
                      <w:sz w:val="21"/>
                      <w:szCs w:val="21"/>
                      <w:lang w:val="en-US" w:eastAsia="zh-CN"/>
                    </w:rPr>
                    <w:t>5</w:t>
                  </w:r>
                  <w:r>
                    <w:rPr>
                      <w:rFonts w:hint="default" w:ascii="Times New Roman" w:hAnsi="Times New Roman" w:cs="Times New Roman"/>
                      <w:b w:val="0"/>
                      <w:bCs w:val="0"/>
                      <w:sz w:val="21"/>
                      <w:szCs w:val="21"/>
                    </w:rPr>
                    <w:t>#</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＜0.05</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0.020±0.01</w:t>
                  </w:r>
                </w:p>
              </w:tc>
              <w:tc>
                <w:tcPr>
                  <w:tcW w:w="1250"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电缆沟外3m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b w:val="0"/>
                      <w:bCs w:val="0"/>
                      <w:sz w:val="21"/>
                      <w:szCs w:val="21"/>
                    </w:rPr>
                    <w:t>DMM2-</w:t>
                  </w:r>
                  <w:r>
                    <w:rPr>
                      <w:rFonts w:hint="default" w:ascii="Times New Roman" w:hAnsi="Times New Roman" w:cs="Times New Roman"/>
                      <w:b w:val="0"/>
                      <w:bCs w:val="0"/>
                      <w:sz w:val="21"/>
                      <w:szCs w:val="21"/>
                      <w:lang w:val="en-US" w:eastAsia="zh-CN"/>
                    </w:rPr>
                    <w:t>6</w:t>
                  </w:r>
                  <w:r>
                    <w:rPr>
                      <w:rFonts w:hint="default" w:ascii="Times New Roman" w:hAnsi="Times New Roman" w:cs="Times New Roman"/>
                      <w:b w:val="0"/>
                      <w:bCs w:val="0"/>
                      <w:sz w:val="21"/>
                      <w:szCs w:val="21"/>
                    </w:rPr>
                    <w:t>#</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＜0.05</w:t>
                  </w:r>
                </w:p>
              </w:tc>
              <w:tc>
                <w:tcPr>
                  <w:tcW w:w="1249"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0.020±0.01</w:t>
                  </w:r>
                </w:p>
              </w:tc>
              <w:tc>
                <w:tcPr>
                  <w:tcW w:w="1250" w:type="pct"/>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电缆沟外4m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tcBorders>
                    <w:bottom w:val="single" w:color="auto" w:sz="12" w:space="0"/>
                  </w:tcBorders>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b w:val="0"/>
                      <w:bCs w:val="0"/>
                      <w:sz w:val="21"/>
                      <w:szCs w:val="21"/>
                    </w:rPr>
                    <w:t>DMM2-</w:t>
                  </w:r>
                  <w:r>
                    <w:rPr>
                      <w:rFonts w:hint="default" w:ascii="Times New Roman" w:hAnsi="Times New Roman" w:cs="Times New Roman"/>
                      <w:b w:val="0"/>
                      <w:bCs w:val="0"/>
                      <w:sz w:val="21"/>
                      <w:szCs w:val="21"/>
                      <w:lang w:val="en-US" w:eastAsia="zh-CN"/>
                    </w:rPr>
                    <w:t>7</w:t>
                  </w:r>
                  <w:r>
                    <w:rPr>
                      <w:rFonts w:hint="default" w:ascii="Times New Roman" w:hAnsi="Times New Roman" w:cs="Times New Roman"/>
                      <w:b w:val="0"/>
                      <w:bCs w:val="0"/>
                      <w:sz w:val="21"/>
                      <w:szCs w:val="21"/>
                    </w:rPr>
                    <w:t>#</w:t>
                  </w:r>
                </w:p>
              </w:tc>
              <w:tc>
                <w:tcPr>
                  <w:tcW w:w="1249" w:type="pct"/>
                  <w:tcBorders>
                    <w:bottom w:val="single" w:color="auto" w:sz="12" w:space="0"/>
                  </w:tcBorders>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＜0.05</w:t>
                  </w:r>
                </w:p>
              </w:tc>
              <w:tc>
                <w:tcPr>
                  <w:tcW w:w="1249" w:type="pct"/>
                  <w:tcBorders>
                    <w:bottom w:val="single" w:color="auto" w:sz="12" w:space="0"/>
                  </w:tcBorders>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0.020±0.01</w:t>
                  </w:r>
                </w:p>
              </w:tc>
              <w:tc>
                <w:tcPr>
                  <w:tcW w:w="1250" w:type="pct"/>
                  <w:tcBorders>
                    <w:bottom w:val="single" w:color="auto" w:sz="12" w:space="0"/>
                  </w:tcBorders>
                  <w:vAlign w:val="top"/>
                </w:tcPr>
                <w:p>
                  <w:pPr>
                    <w:jc w:val="center"/>
                    <w:rPr>
                      <w:rFonts w:hint="default" w:ascii="Times New Roman" w:hAnsi="Times New Roman" w:cs="Times New Roman" w:eastAsiaTheme="minorEastAsia"/>
                      <w:b w:val="0"/>
                      <w:bCs w:val="0"/>
                      <w:color w:val="000000"/>
                      <w:sz w:val="21"/>
                      <w:szCs w:val="21"/>
                      <w:vertAlign w:val="baseline"/>
                      <w:lang w:val="en-US" w:eastAsia="zh-CN"/>
                    </w:rPr>
                  </w:pPr>
                  <w:r>
                    <w:rPr>
                      <w:rFonts w:hint="default" w:ascii="Times New Roman" w:hAnsi="Times New Roman" w:cs="Times New Roman" w:eastAsiaTheme="minorEastAsia"/>
                      <w:b w:val="0"/>
                      <w:bCs w:val="0"/>
                      <w:color w:val="000000"/>
                      <w:sz w:val="21"/>
                      <w:szCs w:val="21"/>
                      <w:vertAlign w:val="baseline"/>
                      <w:lang w:val="en-US" w:eastAsia="zh-CN"/>
                    </w:rPr>
                    <w:t>电缆沟外5m</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bCs/>
                <w:color w:val="000000"/>
                <w:lang w:val="en-US" w:eastAsia="zh-CN"/>
              </w:rPr>
            </w:pPr>
            <w:r>
              <w:rPr>
                <w:rFonts w:hint="default" w:ascii="Times New Roman" w:hAnsi="Times New Roman" w:eastAsia="宋体" w:cs="Times New Roman"/>
                <w:color w:val="000000"/>
                <w:sz w:val="24"/>
                <w:szCs w:val="24"/>
                <w:highlight w:val="none"/>
                <w:lang w:val="en-US" w:eastAsia="zh-CN"/>
              </w:rPr>
              <w:t>由</w:t>
            </w:r>
            <w:r>
              <w:rPr>
                <w:rFonts w:hint="eastAsia" w:ascii="Times New Roman" w:hAnsi="Times New Roman" w:eastAsia="宋体" w:cs="Times New Roman"/>
                <w:color w:val="000000"/>
                <w:sz w:val="24"/>
                <w:szCs w:val="24"/>
                <w:highlight w:val="none"/>
                <w:lang w:val="en-US" w:eastAsia="zh-CN"/>
              </w:rPr>
              <w:t>上表</w:t>
            </w:r>
            <w:r>
              <w:rPr>
                <w:rFonts w:hint="default" w:ascii="Times New Roman" w:hAnsi="Times New Roman" w:eastAsia="宋体" w:cs="Times New Roman"/>
                <w:color w:val="000000"/>
                <w:sz w:val="24"/>
                <w:szCs w:val="24"/>
                <w:highlight w:val="none"/>
                <w:lang w:val="en-US" w:eastAsia="zh-CN"/>
              </w:rPr>
              <w:t>衰减断面监测结果可以看出，电缆线路两侧工频电场强度均&lt;0.50Vhm，远小于4000V/m的标准限值要求。工频磁感应强度范围为0.09×10</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~0.21×10</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μT，工频磁感应强度随着距离的增加而逐渐减小，所有测值均满足0.1μT的标准限值要求</w:t>
            </w:r>
            <w:r>
              <w:rPr>
                <w:rFonts w:hint="eastAsia" w:ascii="Times New Roman" w:hAnsi="Times New Roman" w:eastAsia="宋体" w:cs="Times New Roman"/>
                <w:color w:val="000000"/>
                <w:sz w:val="24"/>
                <w:szCs w:val="24"/>
                <w:highlight w:val="none"/>
                <w:lang w:val="en-US" w:eastAsia="zh-CN"/>
              </w:rPr>
              <w:t>。</w:t>
            </w:r>
          </w:p>
          <w:p>
            <w:pPr>
              <w:keepNext w:val="0"/>
              <w:keepLines w:val="0"/>
              <w:pageBreakBefore w:val="0"/>
              <w:kinsoku/>
              <w:wordWrap/>
              <w:overflowPunct/>
              <w:topLinePunct w:val="0"/>
              <w:autoSpaceDE/>
              <w:autoSpaceDN/>
              <w:bidi w:val="0"/>
              <w:adjustRightInd w:val="0"/>
              <w:snapToGrid w:val="0"/>
              <w:spacing w:line="360" w:lineRule="auto"/>
              <w:ind w:firstLine="422"/>
              <w:textAlignment w:val="auto"/>
              <w:rPr>
                <w:rFonts w:hint="default" w:ascii="Times New Roman" w:hAnsi="Times New Roman" w:eastAsia="宋体" w:cs="Times New Roman"/>
                <w:b/>
                <w:bCs/>
                <w:color w:val="000000"/>
                <w:sz w:val="24"/>
                <w:szCs w:val="24"/>
                <w:highlight w:val="none"/>
              </w:rPr>
            </w:pPr>
            <w:r>
              <w:rPr>
                <w:rFonts w:hint="eastAsia" w:cs="Times New Roman"/>
                <w:b/>
                <w:bCs/>
                <w:color w:val="000000"/>
                <w:sz w:val="24"/>
                <w:szCs w:val="24"/>
                <w:highlight w:val="none"/>
                <w:lang w:val="en-US" w:eastAsia="zh-CN"/>
              </w:rPr>
              <w:t>7.4</w:t>
            </w:r>
            <w:r>
              <w:rPr>
                <w:rFonts w:hint="default" w:ascii="Times New Roman" w:hAnsi="Times New Roman" w:eastAsia="宋体" w:cs="Times New Roman"/>
                <w:b/>
                <w:bCs/>
                <w:color w:val="000000"/>
                <w:sz w:val="24"/>
                <w:szCs w:val="24"/>
                <w:highlight w:val="none"/>
              </w:rPr>
              <w:t>电磁环境防护措施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为保证项目的电磁辐射环境符合标准，建设单位应采取以下措施：</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（1）合理设计并保证设备及配件加工精良</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对于变电站站设备的金属附件，如吊夹环、保护角、垫片和接头等，设计时就要确定合理的外形和尺寸，以避免出线高电位梯度点；所有的边角都应挫圆，螺栓头也应打圆或屏蔽，避免存在尖角和凸出物；特别是在出现最大电压梯度的地方，金属附件上的保护电镀层应确保光滑。</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（2）控制绝缘子表面放电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使用设计合理的绝缘子，要特别关注绝缘子的几何形状及关键部位材料的特性，尽量使用能改善绝缘子表面或沿绝缘子串电压分布的保护装置。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（3）减小因接触不良而产生的火花放电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在安装设备时，保证所有的固定螺栓都可靠拧紧，导电元件尽可能接地，或连接导线电位。</w:t>
            </w:r>
          </w:p>
          <w:p>
            <w:pPr>
              <w:keepNext w:val="0"/>
              <w:keepLines w:val="0"/>
              <w:pageBreakBefore w:val="0"/>
              <w:kinsoku/>
              <w:wordWrap/>
              <w:overflowPunct/>
              <w:topLinePunct w:val="0"/>
              <w:autoSpaceDE/>
              <w:autoSpaceDN/>
              <w:bidi w:val="0"/>
              <w:adjustRightInd w:val="0"/>
              <w:snapToGrid w:val="0"/>
              <w:spacing w:line="360" w:lineRule="auto"/>
              <w:ind w:firstLine="422"/>
              <w:textAlignment w:val="auto"/>
              <w:rPr>
                <w:rFonts w:hint="default" w:ascii="Times New Roman" w:hAnsi="Times New Roman" w:eastAsia="宋体" w:cs="Times New Roman"/>
                <w:b/>
                <w:bCs/>
                <w:color w:val="000000"/>
                <w:sz w:val="24"/>
                <w:szCs w:val="24"/>
                <w:highlight w:val="none"/>
              </w:rPr>
            </w:pPr>
            <w:r>
              <w:rPr>
                <w:rFonts w:hint="eastAsia" w:cs="Times New Roman"/>
                <w:b/>
                <w:bCs/>
                <w:color w:val="000000"/>
                <w:sz w:val="24"/>
                <w:szCs w:val="24"/>
                <w:highlight w:val="none"/>
                <w:lang w:val="en-US" w:eastAsia="zh-CN"/>
              </w:rPr>
              <w:t>7.5</w:t>
            </w:r>
            <w:r>
              <w:rPr>
                <w:rFonts w:hint="default" w:ascii="Times New Roman" w:hAnsi="Times New Roman" w:eastAsia="宋体" w:cs="Times New Roman"/>
                <w:b/>
                <w:bCs/>
                <w:color w:val="000000"/>
                <w:sz w:val="24"/>
                <w:szCs w:val="24"/>
                <w:highlight w:val="none"/>
              </w:rPr>
              <w:t>电磁环境影响结论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（1）变电站</w:t>
            </w:r>
            <w:r>
              <w:rPr>
                <w:rFonts w:hint="eastAsia" w:ascii="Times New Roman" w:hAnsi="Times New Roman" w:eastAsia="宋体" w:cs="Times New Roman"/>
                <w:color w:val="000000"/>
                <w:sz w:val="24"/>
                <w:szCs w:val="24"/>
                <w:highlight w:val="none"/>
                <w:lang w:val="en-US" w:eastAsia="zh-CN"/>
              </w:rPr>
              <w:t>环境影响结论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根据类比分析并结合现状监测，</w:t>
            </w:r>
            <w:r>
              <w:rPr>
                <w:rFonts w:hint="eastAsia" w:cs="Times New Roman"/>
                <w:color w:val="000000"/>
                <w:sz w:val="24"/>
                <w:szCs w:val="24"/>
                <w:highlight w:val="none"/>
                <w:lang w:val="en-US" w:eastAsia="zh-CN"/>
              </w:rPr>
              <w:t>太保</w:t>
            </w:r>
            <w:r>
              <w:rPr>
                <w:rFonts w:hint="default" w:ascii="Times New Roman" w:hAnsi="Times New Roman" w:eastAsia="宋体" w:cs="Times New Roman"/>
                <w:color w:val="000000"/>
                <w:sz w:val="24"/>
                <w:szCs w:val="24"/>
                <w:highlight w:val="none"/>
                <w:lang w:val="en-US" w:eastAsia="zh-CN"/>
              </w:rPr>
              <w:t>220kV变电站扩建间隔后，对周围环境的工频电场强度、工频磁感应强度将小于《电磁环境控制限值》（GB 8702-2014）规定的工频电场4000V/m和工频磁感应强度100μT的评价标准，对环境的影响处于可接受水平。</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（2）架空线路工程</w:t>
            </w:r>
            <w:r>
              <w:rPr>
                <w:rFonts w:hint="eastAsia" w:ascii="Times New Roman" w:hAnsi="Times New Roman" w:eastAsia="宋体" w:cs="Times New Roman"/>
                <w:color w:val="000000"/>
                <w:sz w:val="24"/>
                <w:szCs w:val="24"/>
                <w:highlight w:val="none"/>
                <w:lang w:val="en-US" w:eastAsia="zh-CN"/>
              </w:rPr>
              <w:t>环境影响结论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经过模式预测，当线路最小垂直距离距地面高度时，本项目评价范围内，单回架空线路建成后的工频电场强度在</w:t>
            </w:r>
            <w:r>
              <w:rPr>
                <w:rFonts w:hint="eastAsia" w:cs="Times New Roman"/>
                <w:color w:val="auto"/>
                <w:sz w:val="24"/>
                <w:szCs w:val="24"/>
                <w:highlight w:val="none"/>
                <w:lang w:val="en-US" w:eastAsia="zh-CN"/>
              </w:rPr>
              <w:t>0.174k</w:t>
            </w:r>
            <w:r>
              <w:rPr>
                <w:rFonts w:hint="default" w:ascii="Times New Roman" w:hAnsi="Times New Roman" w:eastAsia="宋体" w:cs="Times New Roman"/>
                <w:color w:val="auto"/>
                <w:sz w:val="24"/>
                <w:szCs w:val="24"/>
                <w:highlight w:val="none"/>
                <w:lang w:val="en-US" w:eastAsia="zh-CN"/>
              </w:rPr>
              <w:t>V/m-</w:t>
            </w:r>
            <w:r>
              <w:rPr>
                <w:rFonts w:hint="eastAsia" w:cs="Times New Roman"/>
                <w:color w:val="auto"/>
                <w:sz w:val="24"/>
                <w:szCs w:val="24"/>
                <w:highlight w:val="none"/>
                <w:lang w:val="en-US" w:eastAsia="zh-CN"/>
              </w:rPr>
              <w:t>3.54k</w:t>
            </w:r>
            <w:r>
              <w:rPr>
                <w:rFonts w:hint="default" w:ascii="Times New Roman" w:hAnsi="Times New Roman" w:eastAsia="宋体" w:cs="Times New Roman"/>
                <w:color w:val="auto"/>
                <w:sz w:val="24"/>
                <w:szCs w:val="24"/>
                <w:highlight w:val="none"/>
                <w:lang w:val="en-US" w:eastAsia="zh-CN"/>
              </w:rPr>
              <w:t>V/m之间，工频磁感应强度在</w:t>
            </w:r>
            <w:r>
              <w:rPr>
                <w:rFonts w:hint="eastAsia" w:cs="Times New Roman"/>
                <w:color w:val="auto"/>
                <w:sz w:val="24"/>
                <w:szCs w:val="24"/>
                <w:highlight w:val="none"/>
                <w:lang w:val="en-US" w:eastAsia="zh-CN"/>
              </w:rPr>
              <w:t>6.023</w:t>
            </w:r>
            <w:r>
              <w:rPr>
                <w:rFonts w:hint="default" w:ascii="Times New Roman" w:hAnsi="Times New Roman" w:eastAsia="宋体" w:cs="Times New Roman"/>
                <w:color w:val="auto"/>
                <w:sz w:val="24"/>
                <w:szCs w:val="24"/>
                <w:highlight w:val="none"/>
                <w:lang w:val="en-US" w:eastAsia="zh-CN"/>
              </w:rPr>
              <w:t>μT-</w:t>
            </w:r>
            <w:r>
              <w:rPr>
                <w:rFonts w:hint="eastAsia" w:cs="Times New Roman"/>
                <w:color w:val="auto"/>
                <w:sz w:val="24"/>
                <w:szCs w:val="24"/>
                <w:highlight w:val="none"/>
                <w:lang w:val="en-US" w:eastAsia="zh-CN"/>
              </w:rPr>
              <w:t>30.229</w:t>
            </w:r>
            <w:r>
              <w:rPr>
                <w:rFonts w:hint="default" w:ascii="Times New Roman" w:hAnsi="Times New Roman" w:eastAsia="宋体" w:cs="Times New Roman"/>
                <w:color w:val="auto"/>
                <w:sz w:val="24"/>
                <w:szCs w:val="24"/>
                <w:highlight w:val="none"/>
                <w:lang w:val="en-US" w:eastAsia="zh-CN"/>
              </w:rPr>
              <w:t>μT之间，可以满足工频电场强度4000V/m，工频磁感应强度100uT的公众曝露控制限值要求。</w:t>
            </w:r>
          </w:p>
        </w:tc>
      </w:tr>
    </w:tbl>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snapToGrid w:val="0"/>
          <w:color w:val="000000"/>
          <w:sz w:val="24"/>
          <w:szCs w:val="24"/>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eastAsia" w:cs="Times New Roman"/>
          <w:b/>
          <w:bCs/>
          <w:snapToGrid w:val="0"/>
          <w:color w:val="000000"/>
          <w:sz w:val="24"/>
          <w:szCs w:val="24"/>
          <w:highlight w:val="none"/>
          <w:lang w:val="en-US" w:eastAsia="zh-CN"/>
        </w:rPr>
      </w:pPr>
      <w:bookmarkStart w:id="70" w:name="_Toc10496"/>
      <w:r>
        <w:rPr>
          <w:rFonts w:hint="eastAsia" w:cs="Times New Roman"/>
          <w:b/>
          <w:bCs/>
          <w:snapToGrid w:val="0"/>
          <w:color w:val="000000"/>
          <w:sz w:val="24"/>
          <w:szCs w:val="24"/>
          <w:highlight w:val="none"/>
          <w:lang w:val="en-US" w:eastAsia="zh-CN"/>
        </w:rPr>
        <w:t>附件2 营业执照</w:t>
      </w:r>
      <w:bookmarkEnd w:id="70"/>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rPr>
          <w:rFonts w:hint="eastAsia" w:cs="Times New Roman"/>
          <w:b/>
          <w:bCs/>
          <w:snapToGrid w:val="0"/>
          <w:color w:val="000000"/>
          <w:sz w:val="24"/>
          <w:szCs w:val="24"/>
          <w:highlight w:val="none"/>
          <w:lang w:val="en-US" w:eastAsia="zh-CN"/>
        </w:rPr>
      </w:pPr>
      <w:r>
        <w:rPr>
          <w:rFonts w:hint="eastAsia" w:cs="Times New Roman"/>
          <w:b/>
          <w:bCs/>
          <w:snapToGrid w:val="0"/>
          <w:color w:val="000000"/>
          <w:sz w:val="24"/>
          <w:szCs w:val="24"/>
          <w:highlight w:val="none"/>
          <w:lang w:val="en-US" w:eastAsia="zh-CN"/>
        </w:rPr>
        <w:drawing>
          <wp:inline distT="0" distB="0" distL="114300" distR="114300">
            <wp:extent cx="7147560" cy="4923155"/>
            <wp:effectExtent l="0" t="0" r="15240" b="10795"/>
            <wp:docPr id="10" name="图片 10" descr="ced7497d4d70e1ddb297605458ad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ed7497d4d70e1ddb297605458ad8278"/>
                    <pic:cNvPicPr>
                      <a:picLocks noChangeAspect="1"/>
                    </pic:cNvPicPr>
                  </pic:nvPicPr>
                  <pic:blipFill>
                    <a:blip r:embed="rId34"/>
                    <a:stretch>
                      <a:fillRect/>
                    </a:stretch>
                  </pic:blipFill>
                  <pic:spPr>
                    <a:xfrm>
                      <a:off x="0" y="0"/>
                      <a:ext cx="7147560" cy="492315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rPr>
          <w:rFonts w:hint="eastAsia" w:cs="Times New Roman"/>
          <w:b/>
          <w:bCs/>
          <w:snapToGrid w:val="0"/>
          <w:color w:val="000000"/>
          <w:sz w:val="24"/>
          <w:szCs w:val="24"/>
          <w:highlight w:val="none"/>
          <w:lang w:val="en-US"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eastAsia" w:ascii="Times New Roman" w:hAnsi="Times New Roman" w:eastAsia="宋体" w:cs="Times New Roman"/>
          <w:b/>
          <w:bCs/>
          <w:snapToGrid w:val="0"/>
          <w:color w:val="000000"/>
          <w:sz w:val="24"/>
          <w:szCs w:val="24"/>
          <w:highlight w:val="none"/>
          <w:lang w:val="en-US" w:eastAsia="zh-CN"/>
        </w:rPr>
      </w:pPr>
      <w:bookmarkStart w:id="71" w:name="_Toc26490"/>
      <w:r>
        <w:rPr>
          <w:rFonts w:hint="eastAsia" w:ascii="Times New Roman" w:hAnsi="Times New Roman" w:eastAsia="宋体" w:cs="Times New Roman"/>
          <w:b/>
          <w:bCs/>
          <w:snapToGrid w:val="0"/>
          <w:color w:val="000000"/>
          <w:sz w:val="24"/>
          <w:szCs w:val="24"/>
          <w:highlight w:val="none"/>
          <w:lang w:val="en-US" w:eastAsia="zh-CN"/>
        </w:rPr>
        <w:t>附件3 项目核准文件</w:t>
      </w:r>
      <w:bookmarkEnd w:id="71"/>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cs="Times New Roman"/>
          <w:b/>
          <w:bCs/>
          <w:snapToGrid w:val="0"/>
          <w:color w:val="000000"/>
          <w:sz w:val="24"/>
          <w:szCs w:val="24"/>
          <w:highlight w:val="none"/>
          <w:lang w:val="en-US" w:eastAsia="zh-CN"/>
        </w:rPr>
      </w:pPr>
      <w:r>
        <w:drawing>
          <wp:inline distT="0" distB="0" distL="114300" distR="114300">
            <wp:extent cx="5269865" cy="7462520"/>
            <wp:effectExtent l="0" t="0" r="6985" b="508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35"/>
                    <a:stretch>
                      <a:fillRect/>
                    </a:stretch>
                  </pic:blipFill>
                  <pic:spPr>
                    <a:xfrm>
                      <a:off x="0" y="0"/>
                      <a:ext cx="5269865" cy="746252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drawing>
          <wp:inline distT="0" distB="0" distL="114300" distR="114300">
            <wp:extent cx="5269865" cy="7444105"/>
            <wp:effectExtent l="0" t="0" r="6985" b="4445"/>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36"/>
                    <a:stretch>
                      <a:fillRect/>
                    </a:stretch>
                  </pic:blipFill>
                  <pic:spPr>
                    <a:xfrm>
                      <a:off x="0" y="0"/>
                      <a:ext cx="5269865" cy="7444105"/>
                    </a:xfrm>
                    <a:prstGeom prst="rect">
                      <a:avLst/>
                    </a:prstGeom>
                    <a:noFill/>
                    <a:ln>
                      <a:noFill/>
                    </a:ln>
                  </pic:spPr>
                </pic:pic>
              </a:graphicData>
            </a:graphic>
          </wp:inline>
        </w:drawing>
      </w:r>
      <w:r>
        <w:drawing>
          <wp:inline distT="0" distB="0" distL="114300" distR="114300">
            <wp:extent cx="5313680" cy="7521575"/>
            <wp:effectExtent l="0" t="0" r="1270" b="3175"/>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37"/>
                    <a:stretch>
                      <a:fillRect/>
                    </a:stretch>
                  </pic:blipFill>
                  <pic:spPr>
                    <a:xfrm>
                      <a:off x="0" y="0"/>
                      <a:ext cx="5313680" cy="752157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r>
        <w:drawing>
          <wp:inline distT="0" distB="0" distL="114300" distR="114300">
            <wp:extent cx="7440295" cy="5269865"/>
            <wp:effectExtent l="0" t="0" r="8255" b="6985"/>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38"/>
                    <a:stretch>
                      <a:fillRect/>
                    </a:stretch>
                  </pic:blipFill>
                  <pic:spPr>
                    <a:xfrm>
                      <a:off x="0" y="0"/>
                      <a:ext cx="7440295" cy="526986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lang w:val="en-US" w:eastAsia="zh-CN"/>
        </w:rPr>
      </w:pPr>
      <w:r>
        <w:drawing>
          <wp:inline distT="0" distB="0" distL="114300" distR="114300">
            <wp:extent cx="5272405" cy="7454900"/>
            <wp:effectExtent l="0" t="0" r="4445" b="1270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39"/>
                    <a:stretch>
                      <a:fillRect/>
                    </a:stretch>
                  </pic:blipFill>
                  <pic:spPr>
                    <a:xfrm>
                      <a:off x="0" y="0"/>
                      <a:ext cx="5272405" cy="7454900"/>
                    </a:xfrm>
                    <a:prstGeom prst="rect">
                      <a:avLst/>
                    </a:prstGeom>
                    <a:noFill/>
                    <a:ln>
                      <a:noFill/>
                    </a:ln>
                  </pic:spPr>
                </pic:pic>
              </a:graphicData>
            </a:graphic>
          </wp:inline>
        </w:drawing>
      </w:r>
      <w:r>
        <w:drawing>
          <wp:inline distT="0" distB="0" distL="114300" distR="114300">
            <wp:extent cx="5273675" cy="7479665"/>
            <wp:effectExtent l="0" t="0" r="3175" b="698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40"/>
                    <a:stretch>
                      <a:fillRect/>
                    </a:stretch>
                  </pic:blipFill>
                  <pic:spPr>
                    <a:xfrm>
                      <a:off x="0" y="0"/>
                      <a:ext cx="5273675" cy="747966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cs="Times New Roman"/>
          <w:b/>
          <w:bCs/>
          <w:snapToGrid w:val="0"/>
          <w:color w:val="000000"/>
          <w:sz w:val="24"/>
          <w:szCs w:val="24"/>
          <w:highlight w:val="none"/>
          <w:lang w:val="en-US" w:eastAsia="zh-CN"/>
        </w:r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cs="Times New Roman"/>
          <w:b/>
          <w:bCs/>
          <w:snapToGrid w:val="0"/>
          <w:color w:val="000000"/>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eastAsia" w:cs="Times New Roman"/>
          <w:b/>
          <w:bCs/>
          <w:snapToGrid w:val="0"/>
          <w:color w:val="000000"/>
          <w:sz w:val="24"/>
          <w:szCs w:val="24"/>
          <w:highlight w:val="none"/>
          <w:lang w:val="en-US" w:eastAsia="zh-CN"/>
        </w:rPr>
      </w:pPr>
      <w:bookmarkStart w:id="72" w:name="_Toc13115"/>
      <w:r>
        <w:rPr>
          <w:rFonts w:hint="eastAsia" w:cs="Times New Roman"/>
          <w:b/>
          <w:bCs/>
          <w:snapToGrid w:val="0"/>
          <w:color w:val="000000"/>
          <w:sz w:val="24"/>
          <w:szCs w:val="24"/>
          <w:highlight w:val="none"/>
          <w:lang w:val="en-US" w:eastAsia="zh-CN"/>
        </w:rPr>
        <w:t>附件4 可研批复</w:t>
      </w:r>
      <w:bookmarkEnd w:id="72"/>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cs="Times New Roman"/>
          <w:b/>
          <w:bCs/>
          <w:snapToGrid w:val="0"/>
          <w:color w:val="000000"/>
          <w:sz w:val="24"/>
          <w:szCs w:val="24"/>
          <w:highlight w:val="none"/>
          <w:lang w:val="en-US" w:eastAsia="zh-CN"/>
        </w:rPr>
      </w:pPr>
      <w:r>
        <w:drawing>
          <wp:inline distT="0" distB="0" distL="114300" distR="114300">
            <wp:extent cx="5273675" cy="7422515"/>
            <wp:effectExtent l="0" t="0" r="3175" b="698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41"/>
                    <a:stretch>
                      <a:fillRect/>
                    </a:stretch>
                  </pic:blipFill>
                  <pic:spPr>
                    <a:xfrm>
                      <a:off x="0" y="0"/>
                      <a:ext cx="5273675" cy="742251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drawing>
          <wp:inline distT="0" distB="0" distL="114300" distR="114300">
            <wp:extent cx="5270500" cy="7439025"/>
            <wp:effectExtent l="0" t="0" r="6350" b="9525"/>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42"/>
                    <a:stretch>
                      <a:fillRect/>
                    </a:stretch>
                  </pic:blipFill>
                  <pic:spPr>
                    <a:xfrm>
                      <a:off x="0" y="0"/>
                      <a:ext cx="5270500" cy="7439025"/>
                    </a:xfrm>
                    <a:prstGeom prst="rect">
                      <a:avLst/>
                    </a:prstGeom>
                    <a:noFill/>
                    <a:ln>
                      <a:noFill/>
                    </a:ln>
                  </pic:spPr>
                </pic:pic>
              </a:graphicData>
            </a:graphic>
          </wp:inline>
        </w:drawing>
      </w:r>
      <w:r>
        <w:drawing>
          <wp:inline distT="0" distB="0" distL="114300" distR="114300">
            <wp:extent cx="5270500" cy="7430135"/>
            <wp:effectExtent l="0" t="0" r="6350" b="18415"/>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43"/>
                    <a:stretch>
                      <a:fillRect/>
                    </a:stretch>
                  </pic:blipFill>
                  <pic:spPr>
                    <a:xfrm>
                      <a:off x="0" y="0"/>
                      <a:ext cx="5270500" cy="7430135"/>
                    </a:xfrm>
                    <a:prstGeom prst="rect">
                      <a:avLst/>
                    </a:prstGeom>
                    <a:noFill/>
                    <a:ln>
                      <a:noFill/>
                    </a:ln>
                  </pic:spPr>
                </pic:pic>
              </a:graphicData>
            </a:graphic>
          </wp:inline>
        </w:drawing>
      </w:r>
      <w:r>
        <w:drawing>
          <wp:inline distT="0" distB="0" distL="114300" distR="114300">
            <wp:extent cx="5273675" cy="7440295"/>
            <wp:effectExtent l="0" t="0" r="3175" b="8255"/>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pic:cNvPicPr>
                  </pic:nvPicPr>
                  <pic:blipFill>
                    <a:blip r:embed="rId44"/>
                    <a:stretch>
                      <a:fillRect/>
                    </a:stretch>
                  </pic:blipFill>
                  <pic:spPr>
                    <a:xfrm>
                      <a:off x="0" y="0"/>
                      <a:ext cx="5273675" cy="7440295"/>
                    </a:xfrm>
                    <a:prstGeom prst="rect">
                      <a:avLst/>
                    </a:prstGeom>
                    <a:noFill/>
                    <a:ln>
                      <a:noFill/>
                    </a:ln>
                  </pic:spPr>
                </pic:pic>
              </a:graphicData>
            </a:graphic>
          </wp:inline>
        </w:drawing>
      </w:r>
      <w:r>
        <w:drawing>
          <wp:inline distT="0" distB="0" distL="114300" distR="114300">
            <wp:extent cx="5273675" cy="7440295"/>
            <wp:effectExtent l="0" t="0" r="3175" b="8255"/>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45"/>
                    <a:stretch>
                      <a:fillRect/>
                    </a:stretch>
                  </pic:blipFill>
                  <pic:spPr>
                    <a:xfrm>
                      <a:off x="0" y="0"/>
                      <a:ext cx="5273675" cy="7440295"/>
                    </a:xfrm>
                    <a:prstGeom prst="rect">
                      <a:avLst/>
                    </a:prstGeom>
                    <a:noFill/>
                    <a:ln>
                      <a:noFill/>
                    </a:ln>
                  </pic:spPr>
                </pic:pic>
              </a:graphicData>
            </a:graphic>
          </wp:inline>
        </w:drawing>
      </w:r>
      <w:r>
        <w:drawing>
          <wp:inline distT="0" distB="0" distL="114300" distR="114300">
            <wp:extent cx="5270500" cy="7421245"/>
            <wp:effectExtent l="0" t="0" r="6350" b="8255"/>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46"/>
                    <a:stretch>
                      <a:fillRect/>
                    </a:stretch>
                  </pic:blipFill>
                  <pic:spPr>
                    <a:xfrm>
                      <a:off x="0" y="0"/>
                      <a:ext cx="5270500" cy="7421245"/>
                    </a:xfrm>
                    <a:prstGeom prst="rect">
                      <a:avLst/>
                    </a:prstGeom>
                    <a:noFill/>
                    <a:ln>
                      <a:noFill/>
                    </a:ln>
                  </pic:spPr>
                </pic:pic>
              </a:graphicData>
            </a:graphic>
          </wp:inline>
        </w:drawing>
      </w:r>
      <w:r>
        <w:drawing>
          <wp:inline distT="0" distB="0" distL="114300" distR="114300">
            <wp:extent cx="5271135" cy="7415530"/>
            <wp:effectExtent l="0" t="0" r="5715" b="13970"/>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47"/>
                    <a:stretch>
                      <a:fillRect/>
                    </a:stretch>
                  </pic:blipFill>
                  <pic:spPr>
                    <a:xfrm>
                      <a:off x="0" y="0"/>
                      <a:ext cx="5271135" cy="7415530"/>
                    </a:xfrm>
                    <a:prstGeom prst="rect">
                      <a:avLst/>
                    </a:prstGeom>
                    <a:noFill/>
                    <a:ln>
                      <a:noFill/>
                    </a:ln>
                  </pic:spPr>
                </pic:pic>
              </a:graphicData>
            </a:graphic>
          </wp:inline>
        </w:drawing>
      </w:r>
      <w:r>
        <w:drawing>
          <wp:inline distT="0" distB="0" distL="114300" distR="114300">
            <wp:extent cx="5273675" cy="7422515"/>
            <wp:effectExtent l="0" t="0" r="3175" b="6985"/>
            <wp:docPr id="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4"/>
                    <pic:cNvPicPr>
                      <a:picLocks noChangeAspect="1"/>
                    </pic:cNvPicPr>
                  </pic:nvPicPr>
                  <pic:blipFill>
                    <a:blip r:embed="rId48"/>
                    <a:stretch>
                      <a:fillRect/>
                    </a:stretch>
                  </pic:blipFill>
                  <pic:spPr>
                    <a:xfrm>
                      <a:off x="0" y="0"/>
                      <a:ext cx="5273675" cy="742251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eastAsia" w:ascii="Times New Roman" w:hAnsi="Times New Roman" w:eastAsia="宋体" w:cs="Times New Roman"/>
          <w:b/>
          <w:bCs/>
          <w:snapToGrid w:val="0"/>
          <w:color w:val="000000"/>
          <w:sz w:val="24"/>
          <w:szCs w:val="24"/>
          <w:highlight w:val="none"/>
          <w:lang w:val="en-US" w:eastAsia="zh-CN"/>
        </w:rPr>
      </w:pPr>
      <w:bookmarkStart w:id="73" w:name="_Toc7257"/>
      <w:r>
        <w:rPr>
          <w:rFonts w:hint="eastAsia" w:ascii="Times New Roman" w:hAnsi="Times New Roman" w:eastAsia="宋体" w:cs="Times New Roman"/>
          <w:b/>
          <w:bCs/>
          <w:snapToGrid w:val="0"/>
          <w:color w:val="000000"/>
          <w:sz w:val="24"/>
          <w:szCs w:val="24"/>
          <w:highlight w:val="none"/>
          <w:lang w:val="en-US" w:eastAsia="zh-CN"/>
        </w:rPr>
        <w:t>附件</w:t>
      </w:r>
      <w:r>
        <w:rPr>
          <w:rFonts w:hint="eastAsia" w:cs="Times New Roman"/>
          <w:b/>
          <w:bCs/>
          <w:snapToGrid w:val="0"/>
          <w:color w:val="000000"/>
          <w:sz w:val="24"/>
          <w:szCs w:val="24"/>
          <w:highlight w:val="none"/>
          <w:lang w:val="en-US" w:eastAsia="zh-CN"/>
        </w:rPr>
        <w:t>5</w:t>
      </w:r>
      <w:r>
        <w:rPr>
          <w:rFonts w:hint="eastAsia" w:ascii="Times New Roman" w:hAnsi="Times New Roman" w:eastAsia="宋体" w:cs="Times New Roman"/>
          <w:b/>
          <w:bCs/>
          <w:snapToGrid w:val="0"/>
          <w:color w:val="000000"/>
          <w:sz w:val="24"/>
          <w:szCs w:val="24"/>
          <w:highlight w:val="none"/>
          <w:lang w:val="en-US" w:eastAsia="zh-CN"/>
        </w:rPr>
        <w:t xml:space="preserve"> 龙煤双鸭山集贤200MW风力发电项目环评批复</w:t>
      </w:r>
      <w:bookmarkEnd w:id="73"/>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Times New Roman" w:hAnsi="Times New Roman" w:cs="Times New Roman"/>
          <w:b/>
          <w:bCs/>
          <w:snapToGrid w:val="0"/>
          <w:color w:val="000000"/>
          <w:sz w:val="24"/>
          <w:szCs w:val="24"/>
          <w:highlight w:val="none"/>
          <w:lang w:val="en-US" w:eastAsia="zh-CN"/>
        </w:rPr>
      </w:pPr>
      <w:r>
        <w:drawing>
          <wp:inline distT="0" distB="0" distL="114300" distR="114300">
            <wp:extent cx="5271135" cy="7451725"/>
            <wp:effectExtent l="0" t="0" r="5715" b="15875"/>
            <wp:docPr id="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5"/>
                    <pic:cNvPicPr>
                      <a:picLocks noChangeAspect="1"/>
                    </pic:cNvPicPr>
                  </pic:nvPicPr>
                  <pic:blipFill>
                    <a:blip r:embed="rId49"/>
                    <a:stretch>
                      <a:fillRect/>
                    </a:stretch>
                  </pic:blipFill>
                  <pic:spPr>
                    <a:xfrm>
                      <a:off x="0" y="0"/>
                      <a:ext cx="5271135" cy="745172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Times New Roman" w:hAnsi="Times New Roman" w:cs="Times New Roman"/>
          <w:b/>
          <w:bCs/>
          <w:snapToGrid w:val="0"/>
          <w:color w:val="000000"/>
          <w:sz w:val="24"/>
          <w:szCs w:val="24"/>
          <w:highlight w:val="none"/>
          <w:lang w:val="en-US" w:eastAsia="zh-CN"/>
        </w:rPr>
      </w:pPr>
      <w:r>
        <w:drawing>
          <wp:inline distT="0" distB="0" distL="114300" distR="114300">
            <wp:extent cx="5271135" cy="7479030"/>
            <wp:effectExtent l="0" t="0" r="5715" b="7620"/>
            <wp:docPr id="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
                    <pic:cNvPicPr>
                      <a:picLocks noChangeAspect="1"/>
                    </pic:cNvPicPr>
                  </pic:nvPicPr>
                  <pic:blipFill>
                    <a:blip r:embed="rId50"/>
                    <a:stretch>
                      <a:fillRect/>
                    </a:stretch>
                  </pic:blipFill>
                  <pic:spPr>
                    <a:xfrm>
                      <a:off x="0" y="0"/>
                      <a:ext cx="5271135" cy="7479030"/>
                    </a:xfrm>
                    <a:prstGeom prst="rect">
                      <a:avLst/>
                    </a:prstGeom>
                    <a:noFill/>
                    <a:ln>
                      <a:noFill/>
                    </a:ln>
                  </pic:spPr>
                </pic:pic>
              </a:graphicData>
            </a:graphic>
          </wp:inline>
        </w:drawing>
      </w:r>
      <w:r>
        <w:drawing>
          <wp:inline distT="0" distB="0" distL="114300" distR="114300">
            <wp:extent cx="5272405" cy="7428230"/>
            <wp:effectExtent l="0" t="0" r="4445" b="1270"/>
            <wp:docPr id="6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7"/>
                    <pic:cNvPicPr>
                      <a:picLocks noChangeAspect="1"/>
                    </pic:cNvPicPr>
                  </pic:nvPicPr>
                  <pic:blipFill>
                    <a:blip r:embed="rId51"/>
                    <a:stretch>
                      <a:fillRect/>
                    </a:stretch>
                  </pic:blipFill>
                  <pic:spPr>
                    <a:xfrm>
                      <a:off x="0" y="0"/>
                      <a:ext cx="5272405" cy="742823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Times New Roman" w:hAnsi="Times New Roman" w:cs="Times New Roman"/>
          <w:b/>
          <w:bCs/>
          <w:snapToGrid w:val="0"/>
          <w:color w:val="000000"/>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eastAsia" w:ascii="Times New Roman" w:hAnsi="Times New Roman" w:eastAsia="宋体" w:cs="Times New Roman"/>
          <w:b/>
          <w:bCs/>
          <w:snapToGrid w:val="0"/>
          <w:color w:val="auto"/>
          <w:sz w:val="24"/>
          <w:szCs w:val="24"/>
          <w:highlight w:val="none"/>
          <w:lang w:val="en-US" w:eastAsia="zh-CN"/>
        </w:rPr>
      </w:pPr>
      <w:bookmarkStart w:id="74" w:name="_Toc5646"/>
      <w:r>
        <w:rPr>
          <w:rFonts w:hint="eastAsia" w:ascii="Times New Roman" w:hAnsi="Times New Roman" w:eastAsia="宋体" w:cs="Times New Roman"/>
          <w:b/>
          <w:bCs/>
          <w:snapToGrid w:val="0"/>
          <w:color w:val="auto"/>
          <w:sz w:val="24"/>
          <w:szCs w:val="24"/>
          <w:highlight w:val="none"/>
          <w:lang w:val="en-US" w:eastAsia="zh-CN"/>
        </w:rPr>
        <w:t>附件</w:t>
      </w:r>
      <w:r>
        <w:rPr>
          <w:rFonts w:hint="eastAsia" w:cs="Times New Roman"/>
          <w:b/>
          <w:bCs/>
          <w:snapToGrid w:val="0"/>
          <w:color w:val="auto"/>
          <w:sz w:val="24"/>
          <w:szCs w:val="24"/>
          <w:highlight w:val="none"/>
          <w:lang w:val="en-US" w:eastAsia="zh-CN"/>
        </w:rPr>
        <w:t>6</w:t>
      </w:r>
      <w:r>
        <w:rPr>
          <w:rFonts w:hint="eastAsia" w:ascii="Times New Roman" w:hAnsi="Times New Roman" w:eastAsia="宋体" w:cs="Times New Roman"/>
          <w:b/>
          <w:bCs/>
          <w:snapToGrid w:val="0"/>
          <w:color w:val="auto"/>
          <w:sz w:val="24"/>
          <w:szCs w:val="24"/>
          <w:highlight w:val="none"/>
          <w:lang w:val="en-US" w:eastAsia="zh-CN"/>
        </w:rPr>
        <w:t xml:space="preserve"> 现状监测报告</w:t>
      </w:r>
      <w:bookmarkEnd w:id="74"/>
    </w:p>
    <w:p>
      <w:pPr>
        <w:pStyle w:val="2"/>
        <w:rPr>
          <w:rFonts w:hint="eastAsia"/>
          <w:lang w:val="en-US" w:eastAsia="zh-CN"/>
        </w:rPr>
      </w:pPr>
      <w:r>
        <w:drawing>
          <wp:inline distT="0" distB="0" distL="114300" distR="114300">
            <wp:extent cx="5269230" cy="7435850"/>
            <wp:effectExtent l="0" t="0" r="7620" b="12700"/>
            <wp:docPr id="1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
                    <pic:cNvPicPr>
                      <a:picLocks noChangeAspect="1"/>
                    </pic:cNvPicPr>
                  </pic:nvPicPr>
                  <pic:blipFill>
                    <a:blip r:embed="rId52"/>
                    <a:stretch>
                      <a:fillRect/>
                    </a:stretch>
                  </pic:blipFill>
                  <pic:spPr>
                    <a:xfrm>
                      <a:off x="0" y="0"/>
                      <a:ext cx="5269230" cy="743585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b/>
          <w:bCs/>
          <w:snapToGrid w:val="0"/>
          <w:color w:val="000000"/>
          <w:sz w:val="24"/>
          <w:szCs w:val="24"/>
          <w:highlight w:val="none"/>
          <w:lang w:val="en-US" w:eastAsia="zh-CN"/>
        </w:rPr>
      </w:pPr>
      <w:r>
        <w:drawing>
          <wp:inline distT="0" distB="0" distL="114300" distR="114300">
            <wp:extent cx="5270500" cy="7430135"/>
            <wp:effectExtent l="0" t="0" r="6350" b="18415"/>
            <wp:docPr id="1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
                    <pic:cNvPicPr>
                      <a:picLocks noChangeAspect="1"/>
                    </pic:cNvPicPr>
                  </pic:nvPicPr>
                  <pic:blipFill>
                    <a:blip r:embed="rId53"/>
                    <a:stretch>
                      <a:fillRect/>
                    </a:stretch>
                  </pic:blipFill>
                  <pic:spPr>
                    <a:xfrm>
                      <a:off x="0" y="0"/>
                      <a:ext cx="5270500" cy="7430135"/>
                    </a:xfrm>
                    <a:prstGeom prst="rect">
                      <a:avLst/>
                    </a:prstGeom>
                    <a:noFill/>
                    <a:ln>
                      <a:noFill/>
                    </a:ln>
                  </pic:spPr>
                </pic:pic>
              </a:graphicData>
            </a:graphic>
          </wp:inline>
        </w:drawing>
      </w:r>
      <w:r>
        <w:drawing>
          <wp:inline distT="0" distB="0" distL="114300" distR="114300">
            <wp:extent cx="5272405" cy="7428230"/>
            <wp:effectExtent l="0" t="0" r="4445" b="1270"/>
            <wp:docPr id="1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
                    <pic:cNvPicPr>
                      <a:picLocks noChangeAspect="1"/>
                    </pic:cNvPicPr>
                  </pic:nvPicPr>
                  <pic:blipFill>
                    <a:blip r:embed="rId54"/>
                    <a:stretch>
                      <a:fillRect/>
                    </a:stretch>
                  </pic:blipFill>
                  <pic:spPr>
                    <a:xfrm>
                      <a:off x="0" y="0"/>
                      <a:ext cx="5272405" cy="7428230"/>
                    </a:xfrm>
                    <a:prstGeom prst="rect">
                      <a:avLst/>
                    </a:prstGeom>
                    <a:noFill/>
                    <a:ln>
                      <a:noFill/>
                    </a:ln>
                  </pic:spPr>
                </pic:pic>
              </a:graphicData>
            </a:graphic>
          </wp:inline>
        </w:drawing>
      </w:r>
      <w:r>
        <w:drawing>
          <wp:inline distT="0" distB="0" distL="114300" distR="114300">
            <wp:extent cx="5273675" cy="7413625"/>
            <wp:effectExtent l="0" t="0" r="3175" b="15875"/>
            <wp:docPr id="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
                    <pic:cNvPicPr>
                      <a:picLocks noChangeAspect="1"/>
                    </pic:cNvPicPr>
                  </pic:nvPicPr>
                  <pic:blipFill>
                    <a:blip r:embed="rId55"/>
                    <a:stretch>
                      <a:fillRect/>
                    </a:stretch>
                  </pic:blipFill>
                  <pic:spPr>
                    <a:xfrm>
                      <a:off x="0" y="0"/>
                      <a:ext cx="5273675" cy="7413625"/>
                    </a:xfrm>
                    <a:prstGeom prst="rect">
                      <a:avLst/>
                    </a:prstGeom>
                    <a:noFill/>
                    <a:ln>
                      <a:noFill/>
                    </a:ln>
                  </pic:spPr>
                </pic:pic>
              </a:graphicData>
            </a:graphic>
          </wp:inline>
        </w:drawing>
      </w:r>
      <w:r>
        <w:drawing>
          <wp:inline distT="0" distB="0" distL="114300" distR="114300">
            <wp:extent cx="5269230" cy="7435850"/>
            <wp:effectExtent l="0" t="0" r="7620" b="12700"/>
            <wp:docPr id="1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8"/>
                    <pic:cNvPicPr>
                      <a:picLocks noChangeAspect="1"/>
                    </pic:cNvPicPr>
                  </pic:nvPicPr>
                  <pic:blipFill>
                    <a:blip r:embed="rId56"/>
                    <a:stretch>
                      <a:fillRect/>
                    </a:stretch>
                  </pic:blipFill>
                  <pic:spPr>
                    <a:xfrm>
                      <a:off x="0" y="0"/>
                      <a:ext cx="5269230" cy="7435850"/>
                    </a:xfrm>
                    <a:prstGeom prst="rect">
                      <a:avLst/>
                    </a:prstGeom>
                    <a:noFill/>
                    <a:ln>
                      <a:noFill/>
                    </a:ln>
                  </pic:spPr>
                </pic:pic>
              </a:graphicData>
            </a:graphic>
          </wp:inline>
        </w:drawing>
      </w:r>
      <w:r>
        <w:drawing>
          <wp:inline distT="0" distB="0" distL="114300" distR="114300">
            <wp:extent cx="5273675" cy="7413625"/>
            <wp:effectExtent l="0" t="0" r="3175" b="15875"/>
            <wp:docPr id="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
                    <pic:cNvPicPr>
                      <a:picLocks noChangeAspect="1"/>
                    </pic:cNvPicPr>
                  </pic:nvPicPr>
                  <pic:blipFill>
                    <a:blip r:embed="rId57"/>
                    <a:stretch>
                      <a:fillRect/>
                    </a:stretch>
                  </pic:blipFill>
                  <pic:spPr>
                    <a:xfrm>
                      <a:off x="0" y="0"/>
                      <a:ext cx="5273675" cy="7413625"/>
                    </a:xfrm>
                    <a:prstGeom prst="rect">
                      <a:avLst/>
                    </a:prstGeom>
                    <a:noFill/>
                    <a:ln>
                      <a:noFill/>
                    </a:ln>
                  </pic:spPr>
                </pic:pic>
              </a:graphicData>
            </a:graphic>
          </wp:inline>
        </w:drawing>
      </w:r>
      <w:r>
        <w:drawing>
          <wp:inline distT="0" distB="0" distL="114300" distR="114300">
            <wp:extent cx="5269230" cy="7418070"/>
            <wp:effectExtent l="0" t="0" r="7620" b="11430"/>
            <wp:docPr id="1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0"/>
                    <pic:cNvPicPr>
                      <a:picLocks noChangeAspect="1"/>
                    </pic:cNvPicPr>
                  </pic:nvPicPr>
                  <pic:blipFill>
                    <a:blip r:embed="rId58"/>
                    <a:stretch>
                      <a:fillRect/>
                    </a:stretch>
                  </pic:blipFill>
                  <pic:spPr>
                    <a:xfrm>
                      <a:off x="0" y="0"/>
                      <a:ext cx="5269230" cy="7418070"/>
                    </a:xfrm>
                    <a:prstGeom prst="rect">
                      <a:avLst/>
                    </a:prstGeom>
                    <a:noFill/>
                    <a:ln>
                      <a:noFill/>
                    </a:ln>
                  </pic:spPr>
                </pic:pic>
              </a:graphicData>
            </a:graphic>
          </wp:inline>
        </w:drawing>
      </w:r>
      <w:r>
        <w:drawing>
          <wp:inline distT="0" distB="0" distL="114300" distR="114300">
            <wp:extent cx="5270500" cy="7412355"/>
            <wp:effectExtent l="0" t="0" r="6350" b="17145"/>
            <wp:docPr id="1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1"/>
                    <pic:cNvPicPr>
                      <a:picLocks noChangeAspect="1"/>
                    </pic:cNvPicPr>
                  </pic:nvPicPr>
                  <pic:blipFill>
                    <a:blip r:embed="rId59"/>
                    <a:stretch>
                      <a:fillRect/>
                    </a:stretch>
                  </pic:blipFill>
                  <pic:spPr>
                    <a:xfrm>
                      <a:off x="0" y="0"/>
                      <a:ext cx="5270500" cy="741235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eastAsia" w:ascii="Times New Roman" w:hAnsi="Times New Roman" w:eastAsia="宋体" w:cs="Times New Roman"/>
          <w:b/>
          <w:bCs/>
          <w:snapToGrid w:val="0"/>
          <w:color w:val="000000"/>
          <w:sz w:val="24"/>
          <w:szCs w:val="24"/>
          <w:highlight w:val="none"/>
          <w:lang w:val="en-US" w:eastAsia="zh-CN"/>
        </w:r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Times New Roman" w:hAnsi="Times New Roman" w:cs="Times New Roman"/>
          <w:b/>
          <w:bCs/>
          <w:snapToGrid w:val="0"/>
          <w:color w:val="000000"/>
          <w:sz w:val="24"/>
          <w:szCs w:val="24"/>
          <w:highlight w:val="none"/>
          <w:lang w:val="en-US" w:eastAsia="zh-CN"/>
        </w:r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Times New Roman" w:hAnsi="Times New Roman" w:cs="Times New Roman"/>
          <w:b/>
          <w:bCs/>
          <w:snapToGrid w:val="0"/>
          <w:color w:val="000000"/>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75" w:name="_Toc31540"/>
      <w:bookmarkStart w:id="76" w:name="_Toc18723"/>
      <w:bookmarkStart w:id="77" w:name="_Toc10479"/>
      <w:r>
        <w:rPr>
          <w:rFonts w:hint="default" w:ascii="Times New Roman" w:hAnsi="Times New Roman" w:eastAsia="宋体" w:cs="Times New Roman"/>
          <w:b/>
          <w:bCs/>
          <w:snapToGrid w:val="0"/>
          <w:color w:val="000000"/>
          <w:sz w:val="24"/>
          <w:szCs w:val="24"/>
          <w:highlight w:val="none"/>
          <w:lang w:val="en-US" w:eastAsia="zh-CN"/>
        </w:rPr>
        <w:t>附件</w:t>
      </w:r>
      <w:r>
        <w:rPr>
          <w:rFonts w:hint="eastAsia" w:cs="Times New Roman"/>
          <w:b/>
          <w:bCs/>
          <w:snapToGrid w:val="0"/>
          <w:color w:val="000000"/>
          <w:sz w:val="24"/>
          <w:szCs w:val="24"/>
          <w:highlight w:val="none"/>
          <w:lang w:val="en-US" w:eastAsia="zh-CN"/>
        </w:rPr>
        <w:t xml:space="preserve">7 </w:t>
      </w:r>
      <w:r>
        <w:rPr>
          <w:rFonts w:hint="default" w:ascii="Times New Roman" w:hAnsi="Times New Roman" w:eastAsia="宋体" w:cs="Times New Roman"/>
          <w:b/>
          <w:bCs/>
          <w:snapToGrid w:val="0"/>
          <w:color w:val="000000"/>
          <w:sz w:val="24"/>
          <w:szCs w:val="24"/>
          <w:highlight w:val="none"/>
          <w:lang w:val="en-US" w:eastAsia="zh-CN"/>
        </w:rPr>
        <w:t>输电线路噪声类比监测报告</w:t>
      </w:r>
      <w:bookmarkEnd w:id="75"/>
      <w:bookmarkEnd w:id="76"/>
      <w:bookmarkEnd w:id="77"/>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b/>
          <w:bCs/>
          <w:snapToGrid w:val="0"/>
          <w:color w:val="000000"/>
          <w:sz w:val="24"/>
          <w:szCs w:val="24"/>
          <w:highlight w:val="none"/>
          <w:lang w:val="en-US" w:eastAsia="zh-CN"/>
        </w:rPr>
      </w:pPr>
      <w:r>
        <w:rPr>
          <w:color w:val="000000"/>
        </w:rPr>
        <w:drawing>
          <wp:inline distT="0" distB="0" distL="114300" distR="114300">
            <wp:extent cx="5272405" cy="7169150"/>
            <wp:effectExtent l="0" t="0" r="4445" b="1270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60"/>
                    <a:stretch>
                      <a:fillRect/>
                    </a:stretch>
                  </pic:blipFill>
                  <pic:spPr>
                    <a:xfrm>
                      <a:off x="0" y="0"/>
                      <a:ext cx="5272405" cy="716915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bCs/>
          <w:snapToGrid w:val="0"/>
          <w:color w:val="000000"/>
          <w:sz w:val="24"/>
          <w:szCs w:val="24"/>
          <w:highlight w:val="none"/>
          <w:lang w:val="en-US" w:eastAsia="zh-CN"/>
        </w:rPr>
      </w:pPr>
      <w:r>
        <w:rPr>
          <w:color w:val="000000"/>
        </w:rPr>
        <w:drawing>
          <wp:inline distT="0" distB="0" distL="114300" distR="114300">
            <wp:extent cx="5268595" cy="7092315"/>
            <wp:effectExtent l="0" t="0" r="8255" b="13335"/>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61"/>
                    <a:stretch>
                      <a:fillRect/>
                    </a:stretch>
                  </pic:blipFill>
                  <pic:spPr>
                    <a:xfrm>
                      <a:off x="0" y="0"/>
                      <a:ext cx="5268595" cy="7092315"/>
                    </a:xfrm>
                    <a:prstGeom prst="rect">
                      <a:avLst/>
                    </a:prstGeom>
                    <a:noFill/>
                    <a:ln>
                      <a:noFill/>
                    </a:ln>
                  </pic:spPr>
                </pic:pic>
              </a:graphicData>
            </a:graphic>
          </wp:inline>
        </w:drawing>
      </w:r>
      <w:r>
        <w:rPr>
          <w:color w:val="000000"/>
        </w:rPr>
        <w:drawing>
          <wp:inline distT="0" distB="0" distL="114300" distR="114300">
            <wp:extent cx="5273040" cy="7199630"/>
            <wp:effectExtent l="0" t="0" r="3810" b="1270"/>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62"/>
                    <a:stretch>
                      <a:fillRect/>
                    </a:stretch>
                  </pic:blipFill>
                  <pic:spPr>
                    <a:xfrm>
                      <a:off x="0" y="0"/>
                      <a:ext cx="5273040" cy="7199630"/>
                    </a:xfrm>
                    <a:prstGeom prst="rect">
                      <a:avLst/>
                    </a:prstGeom>
                    <a:noFill/>
                    <a:ln>
                      <a:noFill/>
                    </a:ln>
                  </pic:spPr>
                </pic:pic>
              </a:graphicData>
            </a:graphic>
          </wp:inline>
        </w:drawing>
      </w:r>
      <w:r>
        <w:rPr>
          <w:color w:val="000000"/>
        </w:rPr>
        <w:drawing>
          <wp:inline distT="0" distB="0" distL="114300" distR="114300">
            <wp:extent cx="5272405" cy="7142480"/>
            <wp:effectExtent l="0" t="0" r="4445" b="1270"/>
            <wp:docPr id="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pic:cNvPicPr>
                      <a:picLocks noChangeAspect="1"/>
                    </pic:cNvPicPr>
                  </pic:nvPicPr>
                  <pic:blipFill>
                    <a:blip r:embed="rId63"/>
                    <a:stretch>
                      <a:fillRect/>
                    </a:stretch>
                  </pic:blipFill>
                  <pic:spPr>
                    <a:xfrm>
                      <a:off x="0" y="0"/>
                      <a:ext cx="5272405" cy="7142480"/>
                    </a:xfrm>
                    <a:prstGeom prst="rect">
                      <a:avLst/>
                    </a:prstGeom>
                    <a:noFill/>
                    <a:ln>
                      <a:noFill/>
                    </a:ln>
                  </pic:spPr>
                </pic:pic>
              </a:graphicData>
            </a:graphic>
          </wp:inline>
        </w:drawing>
      </w:r>
      <w:r>
        <w:rPr>
          <w:color w:val="000000"/>
        </w:rPr>
        <w:drawing>
          <wp:inline distT="0" distB="0" distL="114300" distR="114300">
            <wp:extent cx="5271770" cy="7120255"/>
            <wp:effectExtent l="0" t="0" r="5080" b="4445"/>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64"/>
                    <a:stretch>
                      <a:fillRect/>
                    </a:stretch>
                  </pic:blipFill>
                  <pic:spPr>
                    <a:xfrm>
                      <a:off x="0" y="0"/>
                      <a:ext cx="5271770" cy="7120255"/>
                    </a:xfrm>
                    <a:prstGeom prst="rect">
                      <a:avLst/>
                    </a:prstGeom>
                    <a:noFill/>
                    <a:ln>
                      <a:noFill/>
                    </a:ln>
                  </pic:spPr>
                </pic:pic>
              </a:graphicData>
            </a:graphic>
          </wp:inline>
        </w:drawing>
      </w:r>
      <w:r>
        <w:rPr>
          <w:color w:val="000000"/>
        </w:rPr>
        <w:drawing>
          <wp:inline distT="0" distB="0" distL="114300" distR="114300">
            <wp:extent cx="5268595" cy="7101205"/>
            <wp:effectExtent l="0" t="0" r="8255" b="4445"/>
            <wp:docPr id="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
                    <pic:cNvPicPr>
                      <a:picLocks noChangeAspect="1"/>
                    </pic:cNvPicPr>
                  </pic:nvPicPr>
                  <pic:blipFill>
                    <a:blip r:embed="rId65"/>
                    <a:stretch>
                      <a:fillRect/>
                    </a:stretch>
                  </pic:blipFill>
                  <pic:spPr>
                    <a:xfrm>
                      <a:off x="0" y="0"/>
                      <a:ext cx="5268595" cy="7101205"/>
                    </a:xfrm>
                    <a:prstGeom prst="rect">
                      <a:avLst/>
                    </a:prstGeom>
                    <a:noFill/>
                    <a:ln>
                      <a:noFill/>
                    </a:ln>
                  </pic:spPr>
                </pic:pic>
              </a:graphicData>
            </a:graphic>
          </wp:inline>
        </w:drawing>
      </w:r>
      <w:r>
        <w:rPr>
          <w:color w:val="000000"/>
        </w:rPr>
        <w:drawing>
          <wp:inline distT="0" distB="0" distL="114300" distR="114300">
            <wp:extent cx="5271135" cy="7165340"/>
            <wp:effectExtent l="0" t="0" r="5715" b="16510"/>
            <wp:docPr id="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
                    <pic:cNvPicPr>
                      <a:picLocks noChangeAspect="1"/>
                    </pic:cNvPicPr>
                  </pic:nvPicPr>
                  <pic:blipFill>
                    <a:blip r:embed="rId66"/>
                    <a:stretch>
                      <a:fillRect/>
                    </a:stretch>
                  </pic:blipFill>
                  <pic:spPr>
                    <a:xfrm>
                      <a:off x="0" y="0"/>
                      <a:ext cx="5271135" cy="7165340"/>
                    </a:xfrm>
                    <a:prstGeom prst="rect">
                      <a:avLst/>
                    </a:prstGeom>
                    <a:noFill/>
                    <a:ln>
                      <a:noFill/>
                    </a:ln>
                  </pic:spPr>
                </pic:pic>
              </a:graphicData>
            </a:graphic>
          </wp:inline>
        </w:drawing>
      </w:r>
      <w:r>
        <w:rPr>
          <w:color w:val="000000"/>
        </w:rPr>
        <w:drawing>
          <wp:inline distT="0" distB="0" distL="114300" distR="114300">
            <wp:extent cx="5269230" cy="7230110"/>
            <wp:effectExtent l="0" t="0" r="7620" b="8890"/>
            <wp:docPr id="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4"/>
                    <pic:cNvPicPr>
                      <a:picLocks noChangeAspect="1"/>
                    </pic:cNvPicPr>
                  </pic:nvPicPr>
                  <pic:blipFill>
                    <a:blip r:embed="rId67"/>
                    <a:stretch>
                      <a:fillRect/>
                    </a:stretch>
                  </pic:blipFill>
                  <pic:spPr>
                    <a:xfrm>
                      <a:off x="0" y="0"/>
                      <a:ext cx="5269230" cy="7230110"/>
                    </a:xfrm>
                    <a:prstGeom prst="rect">
                      <a:avLst/>
                    </a:prstGeom>
                    <a:noFill/>
                    <a:ln>
                      <a:noFill/>
                    </a:ln>
                  </pic:spPr>
                </pic:pic>
              </a:graphicData>
            </a:graphic>
          </wp:inline>
        </w:drawing>
      </w:r>
      <w:r>
        <w:rPr>
          <w:color w:val="000000"/>
        </w:rPr>
        <w:drawing>
          <wp:inline distT="0" distB="0" distL="114300" distR="114300">
            <wp:extent cx="5273675" cy="7114540"/>
            <wp:effectExtent l="0" t="0" r="3175" b="10160"/>
            <wp:docPr id="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5"/>
                    <pic:cNvPicPr>
                      <a:picLocks noChangeAspect="1"/>
                    </pic:cNvPicPr>
                  </pic:nvPicPr>
                  <pic:blipFill>
                    <a:blip r:embed="rId68"/>
                    <a:stretch>
                      <a:fillRect/>
                    </a:stretch>
                  </pic:blipFill>
                  <pic:spPr>
                    <a:xfrm>
                      <a:off x="0" y="0"/>
                      <a:ext cx="5273675" cy="7114540"/>
                    </a:xfrm>
                    <a:prstGeom prst="rect">
                      <a:avLst/>
                    </a:prstGeom>
                    <a:noFill/>
                    <a:ln>
                      <a:noFill/>
                    </a:ln>
                  </pic:spPr>
                </pic:pic>
              </a:graphicData>
            </a:graphic>
          </wp:inline>
        </w:drawing>
      </w:r>
      <w:r>
        <w:rPr>
          <w:color w:val="000000"/>
        </w:rPr>
        <w:drawing>
          <wp:inline distT="0" distB="0" distL="114300" distR="114300">
            <wp:extent cx="5270500" cy="6900545"/>
            <wp:effectExtent l="0" t="0" r="6350" b="14605"/>
            <wp:docPr id="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6"/>
                    <pic:cNvPicPr>
                      <a:picLocks noChangeAspect="1"/>
                    </pic:cNvPicPr>
                  </pic:nvPicPr>
                  <pic:blipFill>
                    <a:blip r:embed="rId69"/>
                    <a:stretch>
                      <a:fillRect/>
                    </a:stretch>
                  </pic:blipFill>
                  <pic:spPr>
                    <a:xfrm>
                      <a:off x="0" y="0"/>
                      <a:ext cx="5270500" cy="6900545"/>
                    </a:xfrm>
                    <a:prstGeom prst="rect">
                      <a:avLst/>
                    </a:prstGeom>
                    <a:noFill/>
                    <a:ln>
                      <a:noFill/>
                    </a:ln>
                  </pic:spPr>
                </pic:pic>
              </a:graphicData>
            </a:graphic>
          </wp:inline>
        </w:drawing>
      </w:r>
      <w:r>
        <w:rPr>
          <w:color w:val="000000"/>
        </w:rPr>
        <w:drawing>
          <wp:inline distT="0" distB="0" distL="114300" distR="114300">
            <wp:extent cx="5273040" cy="7146290"/>
            <wp:effectExtent l="0" t="0" r="3810" b="16510"/>
            <wp:docPr id="7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
                    <pic:cNvPicPr>
                      <a:picLocks noChangeAspect="1"/>
                    </pic:cNvPicPr>
                  </pic:nvPicPr>
                  <pic:blipFill>
                    <a:blip r:embed="rId70"/>
                    <a:stretch>
                      <a:fillRect/>
                    </a:stretch>
                  </pic:blipFill>
                  <pic:spPr>
                    <a:xfrm>
                      <a:off x="0" y="0"/>
                      <a:ext cx="5273040" cy="7146290"/>
                    </a:xfrm>
                    <a:prstGeom prst="rect">
                      <a:avLst/>
                    </a:prstGeom>
                    <a:noFill/>
                    <a:ln>
                      <a:noFill/>
                    </a:ln>
                  </pic:spPr>
                </pic:pic>
              </a:graphicData>
            </a:graphic>
          </wp:inline>
        </w:drawing>
      </w:r>
      <w:r>
        <w:rPr>
          <w:color w:val="000000"/>
        </w:rPr>
        <w:drawing>
          <wp:inline distT="0" distB="0" distL="114300" distR="114300">
            <wp:extent cx="5270500" cy="7334885"/>
            <wp:effectExtent l="0" t="0" r="6350" b="18415"/>
            <wp:docPr id="8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
                    <pic:cNvPicPr>
                      <a:picLocks noChangeAspect="1"/>
                    </pic:cNvPicPr>
                  </pic:nvPicPr>
                  <pic:blipFill>
                    <a:blip r:embed="rId71"/>
                    <a:stretch>
                      <a:fillRect/>
                    </a:stretch>
                  </pic:blipFill>
                  <pic:spPr>
                    <a:xfrm>
                      <a:off x="0" y="0"/>
                      <a:ext cx="5270500" cy="7334885"/>
                    </a:xfrm>
                    <a:prstGeom prst="rect">
                      <a:avLst/>
                    </a:prstGeom>
                    <a:noFill/>
                    <a:ln>
                      <a:noFill/>
                    </a:ln>
                  </pic:spPr>
                </pic:pic>
              </a:graphicData>
            </a:graphic>
          </wp:inline>
        </w:drawing>
      </w:r>
      <w:r>
        <w:rPr>
          <w:color w:val="000000"/>
        </w:rPr>
        <w:drawing>
          <wp:inline distT="0" distB="0" distL="114300" distR="114300">
            <wp:extent cx="5273675" cy="7080250"/>
            <wp:effectExtent l="0" t="0" r="3175" b="6350"/>
            <wp:docPr id="8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9"/>
                    <pic:cNvPicPr>
                      <a:picLocks noChangeAspect="1"/>
                    </pic:cNvPicPr>
                  </pic:nvPicPr>
                  <pic:blipFill>
                    <a:blip r:embed="rId72"/>
                    <a:stretch>
                      <a:fillRect/>
                    </a:stretch>
                  </pic:blipFill>
                  <pic:spPr>
                    <a:xfrm>
                      <a:off x="0" y="0"/>
                      <a:ext cx="5273675" cy="7080250"/>
                    </a:xfrm>
                    <a:prstGeom prst="rect">
                      <a:avLst/>
                    </a:prstGeom>
                    <a:noFill/>
                    <a:ln>
                      <a:noFill/>
                    </a:ln>
                  </pic:spPr>
                </pic:pic>
              </a:graphicData>
            </a:graphic>
          </wp:inline>
        </w:drawing>
      </w:r>
      <w:r>
        <w:rPr>
          <w:color w:val="000000"/>
        </w:rPr>
        <w:drawing>
          <wp:inline distT="0" distB="0" distL="114300" distR="114300">
            <wp:extent cx="5271135" cy="7108190"/>
            <wp:effectExtent l="0" t="0" r="5715" b="16510"/>
            <wp:docPr id="8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0"/>
                    <pic:cNvPicPr>
                      <a:picLocks noChangeAspect="1"/>
                    </pic:cNvPicPr>
                  </pic:nvPicPr>
                  <pic:blipFill>
                    <a:blip r:embed="rId73"/>
                    <a:stretch>
                      <a:fillRect/>
                    </a:stretch>
                  </pic:blipFill>
                  <pic:spPr>
                    <a:xfrm>
                      <a:off x="0" y="0"/>
                      <a:ext cx="5271135" cy="7108190"/>
                    </a:xfrm>
                    <a:prstGeom prst="rect">
                      <a:avLst/>
                    </a:prstGeom>
                    <a:noFill/>
                    <a:ln>
                      <a:noFill/>
                    </a:ln>
                  </pic:spPr>
                </pic:pic>
              </a:graphicData>
            </a:graphic>
          </wp:inline>
        </w:drawing>
      </w:r>
      <w:r>
        <w:rPr>
          <w:color w:val="000000"/>
        </w:rPr>
        <w:drawing>
          <wp:inline distT="0" distB="0" distL="114300" distR="114300">
            <wp:extent cx="5268595" cy="7101205"/>
            <wp:effectExtent l="0" t="0" r="8255" b="4445"/>
            <wp:docPr id="8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1"/>
                    <pic:cNvPicPr>
                      <a:picLocks noChangeAspect="1"/>
                    </pic:cNvPicPr>
                  </pic:nvPicPr>
                  <pic:blipFill>
                    <a:blip r:embed="rId74"/>
                    <a:stretch>
                      <a:fillRect/>
                    </a:stretch>
                  </pic:blipFill>
                  <pic:spPr>
                    <a:xfrm>
                      <a:off x="0" y="0"/>
                      <a:ext cx="5268595" cy="7101205"/>
                    </a:xfrm>
                    <a:prstGeom prst="rect">
                      <a:avLst/>
                    </a:prstGeom>
                    <a:noFill/>
                    <a:ln>
                      <a:noFill/>
                    </a:ln>
                  </pic:spPr>
                </pic:pic>
              </a:graphicData>
            </a:graphic>
          </wp:inline>
        </w:drawing>
      </w:r>
      <w:r>
        <w:rPr>
          <w:color w:val="000000"/>
        </w:rPr>
        <w:drawing>
          <wp:inline distT="0" distB="0" distL="114300" distR="114300">
            <wp:extent cx="5273675" cy="7087870"/>
            <wp:effectExtent l="0" t="0" r="3175" b="17780"/>
            <wp:docPr id="8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
                    <pic:cNvPicPr>
                      <a:picLocks noChangeAspect="1"/>
                    </pic:cNvPicPr>
                  </pic:nvPicPr>
                  <pic:blipFill>
                    <a:blip r:embed="rId75"/>
                    <a:stretch>
                      <a:fillRect/>
                    </a:stretch>
                  </pic:blipFill>
                  <pic:spPr>
                    <a:xfrm>
                      <a:off x="0" y="0"/>
                      <a:ext cx="5273675" cy="7087870"/>
                    </a:xfrm>
                    <a:prstGeom prst="rect">
                      <a:avLst/>
                    </a:prstGeom>
                    <a:noFill/>
                    <a:ln>
                      <a:noFill/>
                    </a:ln>
                  </pic:spPr>
                </pic:pic>
              </a:graphicData>
            </a:graphic>
          </wp:inline>
        </w:drawing>
      </w:r>
      <w:r>
        <w:rPr>
          <w:color w:val="000000"/>
        </w:rPr>
        <w:drawing>
          <wp:inline distT="0" distB="0" distL="114300" distR="114300">
            <wp:extent cx="5273675" cy="7167245"/>
            <wp:effectExtent l="0" t="0" r="3175" b="14605"/>
            <wp:docPr id="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3"/>
                    <pic:cNvPicPr>
                      <a:picLocks noChangeAspect="1"/>
                    </pic:cNvPicPr>
                  </pic:nvPicPr>
                  <pic:blipFill>
                    <a:blip r:embed="rId76"/>
                    <a:stretch>
                      <a:fillRect/>
                    </a:stretch>
                  </pic:blipFill>
                  <pic:spPr>
                    <a:xfrm>
                      <a:off x="0" y="0"/>
                      <a:ext cx="5273675" cy="7167245"/>
                    </a:xfrm>
                    <a:prstGeom prst="rect">
                      <a:avLst/>
                    </a:prstGeom>
                    <a:noFill/>
                    <a:ln>
                      <a:noFill/>
                    </a:ln>
                  </pic:spPr>
                </pic:pic>
              </a:graphicData>
            </a:graphic>
          </wp:inline>
        </w:drawing>
      </w:r>
      <w:r>
        <w:rPr>
          <w:color w:val="000000"/>
        </w:rPr>
        <w:drawing>
          <wp:inline distT="0" distB="0" distL="114300" distR="114300">
            <wp:extent cx="5269865" cy="7171690"/>
            <wp:effectExtent l="0" t="0" r="6985" b="10160"/>
            <wp:docPr id="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4"/>
                    <pic:cNvPicPr>
                      <a:picLocks noChangeAspect="1"/>
                    </pic:cNvPicPr>
                  </pic:nvPicPr>
                  <pic:blipFill>
                    <a:blip r:embed="rId77"/>
                    <a:stretch>
                      <a:fillRect/>
                    </a:stretch>
                  </pic:blipFill>
                  <pic:spPr>
                    <a:xfrm>
                      <a:off x="0" y="0"/>
                      <a:ext cx="5269865" cy="7171690"/>
                    </a:xfrm>
                    <a:prstGeom prst="rect">
                      <a:avLst/>
                    </a:prstGeom>
                    <a:noFill/>
                    <a:ln>
                      <a:noFill/>
                    </a:ln>
                  </pic:spPr>
                </pic:pic>
              </a:graphicData>
            </a:graphic>
          </wp:inline>
        </w:drawing>
      </w:r>
      <w:r>
        <w:rPr>
          <w:color w:val="000000"/>
        </w:rPr>
        <w:drawing>
          <wp:inline distT="0" distB="0" distL="114300" distR="114300">
            <wp:extent cx="5271135" cy="7134225"/>
            <wp:effectExtent l="0" t="0" r="5715" b="9525"/>
            <wp:docPr id="8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5"/>
                    <pic:cNvPicPr>
                      <a:picLocks noChangeAspect="1"/>
                    </pic:cNvPicPr>
                  </pic:nvPicPr>
                  <pic:blipFill>
                    <a:blip r:embed="rId78"/>
                    <a:stretch>
                      <a:fillRect/>
                    </a:stretch>
                  </pic:blipFill>
                  <pic:spPr>
                    <a:xfrm>
                      <a:off x="0" y="0"/>
                      <a:ext cx="5271135" cy="7134225"/>
                    </a:xfrm>
                    <a:prstGeom prst="rect">
                      <a:avLst/>
                    </a:prstGeom>
                    <a:noFill/>
                    <a:ln>
                      <a:noFill/>
                    </a:ln>
                  </pic:spPr>
                </pic:pic>
              </a:graphicData>
            </a:graphic>
          </wp:inline>
        </w:drawing>
      </w:r>
      <w:r>
        <w:rPr>
          <w:color w:val="000000"/>
        </w:rPr>
        <w:drawing>
          <wp:inline distT="0" distB="0" distL="114300" distR="114300">
            <wp:extent cx="5268595" cy="7118985"/>
            <wp:effectExtent l="0" t="0" r="8255" b="5715"/>
            <wp:docPr id="8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6"/>
                    <pic:cNvPicPr>
                      <a:picLocks noChangeAspect="1"/>
                    </pic:cNvPicPr>
                  </pic:nvPicPr>
                  <pic:blipFill>
                    <a:blip r:embed="rId79"/>
                    <a:stretch>
                      <a:fillRect/>
                    </a:stretch>
                  </pic:blipFill>
                  <pic:spPr>
                    <a:xfrm>
                      <a:off x="0" y="0"/>
                      <a:ext cx="5268595" cy="7118985"/>
                    </a:xfrm>
                    <a:prstGeom prst="rect">
                      <a:avLst/>
                    </a:prstGeom>
                    <a:noFill/>
                    <a:ln>
                      <a:noFill/>
                    </a:ln>
                  </pic:spPr>
                </pic:pic>
              </a:graphicData>
            </a:graphic>
          </wp:inline>
        </w:drawing>
      </w:r>
      <w:r>
        <w:rPr>
          <w:color w:val="000000"/>
        </w:rPr>
        <w:drawing>
          <wp:inline distT="0" distB="0" distL="114300" distR="114300">
            <wp:extent cx="5270500" cy="7131050"/>
            <wp:effectExtent l="0" t="0" r="6350" b="12700"/>
            <wp:docPr id="8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7"/>
                    <pic:cNvPicPr>
                      <a:picLocks noChangeAspect="1"/>
                    </pic:cNvPicPr>
                  </pic:nvPicPr>
                  <pic:blipFill>
                    <a:blip r:embed="rId80"/>
                    <a:stretch>
                      <a:fillRect/>
                    </a:stretch>
                  </pic:blipFill>
                  <pic:spPr>
                    <a:xfrm>
                      <a:off x="0" y="0"/>
                      <a:ext cx="5270500" cy="7131050"/>
                    </a:xfrm>
                    <a:prstGeom prst="rect">
                      <a:avLst/>
                    </a:prstGeom>
                    <a:noFill/>
                    <a:ln>
                      <a:noFill/>
                    </a:ln>
                  </pic:spPr>
                </pic:pic>
              </a:graphicData>
            </a:graphic>
          </wp:inline>
        </w:drawing>
      </w:r>
      <w:r>
        <w:rPr>
          <w:color w:val="000000"/>
        </w:rPr>
        <w:drawing>
          <wp:inline distT="0" distB="0" distL="114300" distR="114300">
            <wp:extent cx="5270500" cy="7175500"/>
            <wp:effectExtent l="0" t="0" r="6350" b="6350"/>
            <wp:docPr id="9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8"/>
                    <pic:cNvPicPr>
                      <a:picLocks noChangeAspect="1"/>
                    </pic:cNvPicPr>
                  </pic:nvPicPr>
                  <pic:blipFill>
                    <a:blip r:embed="rId81"/>
                    <a:stretch>
                      <a:fillRect/>
                    </a:stretch>
                  </pic:blipFill>
                  <pic:spPr>
                    <a:xfrm>
                      <a:off x="0" y="0"/>
                      <a:ext cx="5270500" cy="717550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bCs/>
          <w:snapToGrid w:val="0"/>
          <w:color w:val="000000"/>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78" w:name="_Toc16541"/>
      <w:r>
        <w:rPr>
          <w:rFonts w:hint="default" w:ascii="Times New Roman" w:hAnsi="Times New Roman" w:eastAsia="宋体" w:cs="Times New Roman"/>
          <w:b/>
          <w:bCs/>
          <w:snapToGrid w:val="0"/>
          <w:color w:val="000000"/>
          <w:sz w:val="24"/>
          <w:szCs w:val="24"/>
          <w:highlight w:val="none"/>
          <w:lang w:val="en-US" w:eastAsia="zh-CN"/>
        </w:rPr>
        <w:t>附件</w:t>
      </w:r>
      <w:r>
        <w:rPr>
          <w:rFonts w:hint="eastAsia" w:cs="Times New Roman"/>
          <w:b/>
          <w:bCs/>
          <w:snapToGrid w:val="0"/>
          <w:color w:val="000000"/>
          <w:sz w:val="24"/>
          <w:szCs w:val="24"/>
          <w:highlight w:val="none"/>
          <w:lang w:val="en-US" w:eastAsia="zh-CN"/>
        </w:rPr>
        <w:t xml:space="preserve">8 </w:t>
      </w:r>
      <w:r>
        <w:rPr>
          <w:rFonts w:hint="eastAsia" w:ascii="Times New Roman" w:hAnsi="Times New Roman" w:eastAsia="宋体" w:cs="Times New Roman"/>
          <w:b/>
          <w:bCs/>
          <w:snapToGrid w:val="0"/>
          <w:color w:val="000000"/>
          <w:sz w:val="24"/>
          <w:szCs w:val="24"/>
          <w:highlight w:val="none"/>
          <w:lang w:val="en-US" w:eastAsia="zh-CN"/>
        </w:rPr>
        <w:t>太保</w:t>
      </w:r>
      <w:r>
        <w:rPr>
          <w:rFonts w:hint="default" w:ascii="Times New Roman" w:hAnsi="Times New Roman" w:eastAsia="宋体" w:cs="Times New Roman"/>
          <w:b/>
          <w:bCs/>
          <w:snapToGrid w:val="0"/>
          <w:color w:val="000000"/>
          <w:sz w:val="24"/>
          <w:szCs w:val="24"/>
          <w:highlight w:val="none"/>
          <w:lang w:val="en-US" w:eastAsia="zh-CN"/>
        </w:rPr>
        <w:t>变间隔扩建电磁类比检测报告</w:t>
      </w:r>
      <w:bookmarkEnd w:id="78"/>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b/>
          <w:bCs/>
          <w:snapToGrid w:val="0"/>
          <w:color w:val="000000"/>
          <w:sz w:val="24"/>
          <w:szCs w:val="24"/>
          <w:highlight w:val="none"/>
          <w:lang w:val="en-US" w:eastAsia="zh-CN"/>
        </w:rPr>
      </w:pPr>
      <w:r>
        <w:rPr>
          <w:rFonts w:hint="default" w:ascii="Times New Roman" w:hAnsi="Times New Roman" w:eastAsia="宋体" w:cs="Times New Roman"/>
          <w:color w:val="000000"/>
          <w:kern w:val="2"/>
          <w:sz w:val="21"/>
          <w:szCs w:val="24"/>
          <w:lang w:val="en-US" w:eastAsia="zh-CN" w:bidi="ar-SA"/>
        </w:rPr>
        <w:drawing>
          <wp:inline distT="0" distB="0" distL="114300" distR="114300">
            <wp:extent cx="5272405" cy="7453630"/>
            <wp:effectExtent l="0" t="0" r="4445" b="13970"/>
            <wp:docPr id="91" name="图片 29" descr="吉林四平双辽类比监测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9" descr="吉林四平双辽类比监测报告_页面_1"/>
                    <pic:cNvPicPr>
                      <a:picLocks noChangeAspect="1"/>
                    </pic:cNvPicPr>
                  </pic:nvPicPr>
                  <pic:blipFill>
                    <a:blip r:embed="rId82"/>
                    <a:stretch>
                      <a:fillRect/>
                    </a:stretch>
                  </pic:blipFill>
                  <pic:spPr>
                    <a:xfrm>
                      <a:off x="0" y="0"/>
                      <a:ext cx="5272405" cy="745363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bCs/>
          <w:snapToGrid w:val="0"/>
          <w:color w:val="000000"/>
          <w:sz w:val="24"/>
          <w:szCs w:val="24"/>
          <w:highlight w:val="none"/>
          <w:lang w:val="en-US" w:eastAsia="zh-CN"/>
        </w:rPr>
      </w:pPr>
      <w:r>
        <w:rPr>
          <w:rFonts w:hint="default" w:ascii="Times New Roman" w:hAnsi="Times New Roman" w:eastAsia="宋体" w:cs="Times New Roman"/>
          <w:color w:val="000000"/>
          <w:kern w:val="2"/>
          <w:sz w:val="21"/>
          <w:szCs w:val="24"/>
          <w:lang w:val="en-US" w:eastAsia="zh-CN" w:bidi="ar-SA"/>
        </w:rPr>
        <w:drawing>
          <wp:inline distT="0" distB="0" distL="114300" distR="114300">
            <wp:extent cx="5272405" cy="7453630"/>
            <wp:effectExtent l="0" t="0" r="4445" b="13970"/>
            <wp:docPr id="92" name="图片 30" descr="吉林四平双辽类比监测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0" descr="吉林四平双辽类比监测报告_页面_2"/>
                    <pic:cNvPicPr>
                      <a:picLocks noChangeAspect="1"/>
                    </pic:cNvPicPr>
                  </pic:nvPicPr>
                  <pic:blipFill>
                    <a:blip r:embed="rId83"/>
                    <a:stretch>
                      <a:fillRect/>
                    </a:stretch>
                  </pic:blipFill>
                  <pic:spPr>
                    <a:xfrm>
                      <a:off x="0" y="0"/>
                      <a:ext cx="5272405" cy="7453630"/>
                    </a:xfrm>
                    <a:prstGeom prst="rect">
                      <a:avLst/>
                    </a:prstGeom>
                    <a:noFill/>
                    <a:ln>
                      <a:noFill/>
                    </a:ln>
                  </pic:spPr>
                </pic:pic>
              </a:graphicData>
            </a:graphic>
          </wp:inline>
        </w:drawing>
      </w:r>
      <w:r>
        <w:rPr>
          <w:rFonts w:hint="default" w:ascii="Times New Roman" w:hAnsi="Times New Roman" w:eastAsia="宋体" w:cs="Times New Roman"/>
          <w:color w:val="000000"/>
          <w:kern w:val="2"/>
          <w:sz w:val="21"/>
          <w:szCs w:val="24"/>
          <w:lang w:val="en-US" w:eastAsia="zh-CN" w:bidi="ar-SA"/>
        </w:rPr>
        <w:drawing>
          <wp:inline distT="0" distB="0" distL="114300" distR="114300">
            <wp:extent cx="5268595" cy="7446645"/>
            <wp:effectExtent l="0" t="0" r="8255" b="1905"/>
            <wp:docPr id="93" name="图片 31" descr="吉林四平双辽类比监测报告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1" descr="吉林四平双辽类比监测报告_页面_3"/>
                    <pic:cNvPicPr>
                      <a:picLocks noChangeAspect="1"/>
                    </pic:cNvPicPr>
                  </pic:nvPicPr>
                  <pic:blipFill>
                    <a:blip r:embed="rId84"/>
                    <a:stretch>
                      <a:fillRect/>
                    </a:stretch>
                  </pic:blipFill>
                  <pic:spPr>
                    <a:xfrm>
                      <a:off x="0" y="0"/>
                      <a:ext cx="5268595" cy="7446645"/>
                    </a:xfrm>
                    <a:prstGeom prst="rect">
                      <a:avLst/>
                    </a:prstGeom>
                    <a:noFill/>
                    <a:ln>
                      <a:noFill/>
                    </a:ln>
                  </pic:spPr>
                </pic:pic>
              </a:graphicData>
            </a:graphic>
          </wp:inline>
        </w:drawing>
      </w:r>
      <w:r>
        <w:rPr>
          <w:rFonts w:hint="default" w:ascii="Times New Roman" w:hAnsi="Times New Roman" w:eastAsia="宋体" w:cs="Times New Roman"/>
          <w:color w:val="000000"/>
          <w:kern w:val="2"/>
          <w:sz w:val="21"/>
          <w:szCs w:val="24"/>
          <w:lang w:val="en-US" w:eastAsia="zh-CN" w:bidi="ar-SA"/>
        </w:rPr>
        <w:drawing>
          <wp:inline distT="0" distB="0" distL="114300" distR="114300">
            <wp:extent cx="5272405" cy="7453630"/>
            <wp:effectExtent l="0" t="0" r="4445" b="13970"/>
            <wp:docPr id="94" name="图片 32" descr="吉林四平双辽类比监测报告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2" descr="吉林四平双辽类比监测报告_页面_4"/>
                    <pic:cNvPicPr>
                      <a:picLocks noChangeAspect="1"/>
                    </pic:cNvPicPr>
                  </pic:nvPicPr>
                  <pic:blipFill>
                    <a:blip r:embed="rId85"/>
                    <a:stretch>
                      <a:fillRect/>
                    </a:stretch>
                  </pic:blipFill>
                  <pic:spPr>
                    <a:xfrm>
                      <a:off x="0" y="0"/>
                      <a:ext cx="5272405" cy="7453630"/>
                    </a:xfrm>
                    <a:prstGeom prst="rect">
                      <a:avLst/>
                    </a:prstGeom>
                    <a:noFill/>
                    <a:ln>
                      <a:noFill/>
                    </a:ln>
                  </pic:spPr>
                </pic:pic>
              </a:graphicData>
            </a:graphic>
          </wp:inline>
        </w:drawing>
      </w:r>
      <w:r>
        <w:rPr>
          <w:rFonts w:hint="default" w:ascii="Times New Roman" w:hAnsi="Times New Roman" w:eastAsia="宋体" w:cs="Times New Roman"/>
          <w:color w:val="000000"/>
          <w:kern w:val="2"/>
          <w:sz w:val="21"/>
          <w:szCs w:val="24"/>
          <w:lang w:val="en-US" w:eastAsia="zh-CN" w:bidi="ar-SA"/>
        </w:rPr>
        <w:drawing>
          <wp:inline distT="0" distB="0" distL="114300" distR="114300">
            <wp:extent cx="5268595" cy="7445375"/>
            <wp:effectExtent l="0" t="0" r="8255" b="3175"/>
            <wp:docPr id="95" name="图片 33" descr="吉林四平双辽类比监测报告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3" descr="吉林四平双辽类比监测报告_页面_5"/>
                    <pic:cNvPicPr>
                      <a:picLocks noChangeAspect="1"/>
                    </pic:cNvPicPr>
                  </pic:nvPicPr>
                  <pic:blipFill>
                    <a:blip r:embed="rId86"/>
                    <a:stretch>
                      <a:fillRect/>
                    </a:stretch>
                  </pic:blipFill>
                  <pic:spPr>
                    <a:xfrm>
                      <a:off x="0" y="0"/>
                      <a:ext cx="5268595" cy="7445375"/>
                    </a:xfrm>
                    <a:prstGeom prst="rect">
                      <a:avLst/>
                    </a:prstGeom>
                    <a:noFill/>
                    <a:ln>
                      <a:noFill/>
                    </a:ln>
                  </pic:spPr>
                </pic:pic>
              </a:graphicData>
            </a:graphic>
          </wp:inline>
        </w:drawing>
      </w:r>
      <w:r>
        <w:rPr>
          <w:rFonts w:hint="default" w:ascii="Times New Roman" w:hAnsi="Times New Roman" w:eastAsia="宋体" w:cs="Times New Roman"/>
          <w:color w:val="000000"/>
          <w:kern w:val="2"/>
          <w:sz w:val="21"/>
          <w:szCs w:val="24"/>
          <w:lang w:val="en-US" w:eastAsia="zh-CN" w:bidi="ar-SA"/>
        </w:rPr>
        <w:drawing>
          <wp:inline distT="0" distB="0" distL="114300" distR="114300">
            <wp:extent cx="5266690" cy="7483475"/>
            <wp:effectExtent l="0" t="0" r="10160" b="3175"/>
            <wp:docPr id="96" name="图片 34" descr="acfd01ff89d33df256bfcd1b3d2b7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4" descr="acfd01ff89d33df256bfcd1b3d2b7fe"/>
                    <pic:cNvPicPr>
                      <a:picLocks noChangeAspect="1"/>
                    </pic:cNvPicPr>
                  </pic:nvPicPr>
                  <pic:blipFill>
                    <a:blip r:embed="rId87"/>
                    <a:stretch>
                      <a:fillRect/>
                    </a:stretch>
                  </pic:blipFill>
                  <pic:spPr>
                    <a:xfrm>
                      <a:off x="0" y="0"/>
                      <a:ext cx="5266690" cy="748347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bCs/>
          <w:snapToGrid w:val="0"/>
          <w:color w:val="000000"/>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79" w:name="_Toc3781"/>
      <w:r>
        <w:rPr>
          <w:rFonts w:hint="default" w:ascii="Times New Roman" w:hAnsi="Times New Roman" w:eastAsia="宋体" w:cs="Times New Roman"/>
          <w:b/>
          <w:bCs/>
          <w:snapToGrid w:val="0"/>
          <w:color w:val="000000"/>
          <w:sz w:val="24"/>
          <w:szCs w:val="24"/>
          <w:highlight w:val="none"/>
          <w:lang w:val="en-US" w:eastAsia="zh-CN"/>
        </w:rPr>
        <w:t>附件</w:t>
      </w:r>
      <w:r>
        <w:rPr>
          <w:rFonts w:hint="eastAsia" w:cs="Times New Roman"/>
          <w:b/>
          <w:bCs/>
          <w:snapToGrid w:val="0"/>
          <w:color w:val="000000"/>
          <w:sz w:val="24"/>
          <w:szCs w:val="24"/>
          <w:highlight w:val="none"/>
          <w:lang w:val="en-US" w:eastAsia="zh-CN"/>
        </w:rPr>
        <w:t xml:space="preserve">9 </w:t>
      </w:r>
      <w:r>
        <w:rPr>
          <w:rFonts w:hint="default" w:ascii="Times New Roman" w:hAnsi="Times New Roman" w:eastAsia="宋体" w:cs="Times New Roman"/>
          <w:b/>
          <w:bCs/>
          <w:snapToGrid w:val="0"/>
          <w:color w:val="000000"/>
          <w:sz w:val="24"/>
          <w:szCs w:val="24"/>
          <w:highlight w:val="none"/>
          <w:lang w:val="en-US" w:eastAsia="zh-CN"/>
        </w:rPr>
        <w:t>地埋电缆电磁类比监测报告</w:t>
      </w:r>
      <w:bookmarkEnd w:id="79"/>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b/>
          <w:bCs/>
          <w:snapToGrid w:val="0"/>
          <w:color w:val="000000"/>
          <w:sz w:val="24"/>
          <w:szCs w:val="24"/>
          <w:highlight w:val="none"/>
          <w:lang w:val="en-US" w:eastAsia="zh-CN"/>
        </w:rPr>
      </w:pPr>
      <w:r>
        <w:drawing>
          <wp:inline distT="0" distB="0" distL="114300" distR="114300">
            <wp:extent cx="5259070" cy="7437755"/>
            <wp:effectExtent l="0" t="0" r="17780" b="1079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88"/>
                    <a:stretch>
                      <a:fillRect/>
                    </a:stretch>
                  </pic:blipFill>
                  <pic:spPr>
                    <a:xfrm>
                      <a:off x="0" y="0"/>
                      <a:ext cx="5259070" cy="743775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b/>
          <w:bCs/>
          <w:snapToGrid w:val="0"/>
          <w:color w:val="000000"/>
          <w:sz w:val="24"/>
          <w:szCs w:val="24"/>
          <w:highlight w:val="none"/>
          <w:lang w:val="en-US" w:eastAsia="zh-CN"/>
        </w:rPr>
      </w:pPr>
      <w:r>
        <w:drawing>
          <wp:inline distT="0" distB="0" distL="114300" distR="114300">
            <wp:extent cx="5259070" cy="7437755"/>
            <wp:effectExtent l="0" t="0" r="17780" b="1079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89"/>
                    <a:stretch>
                      <a:fillRect/>
                    </a:stretch>
                  </pic:blipFill>
                  <pic:spPr>
                    <a:xfrm>
                      <a:off x="0" y="0"/>
                      <a:ext cx="5259070" cy="7437755"/>
                    </a:xfrm>
                    <a:prstGeom prst="rect">
                      <a:avLst/>
                    </a:prstGeom>
                    <a:noFill/>
                    <a:ln>
                      <a:noFill/>
                    </a:ln>
                  </pic:spPr>
                </pic:pic>
              </a:graphicData>
            </a:graphic>
          </wp:inline>
        </w:drawing>
      </w:r>
      <w:r>
        <w:drawing>
          <wp:inline distT="0" distB="0" distL="114300" distR="114300">
            <wp:extent cx="5259070" cy="7437755"/>
            <wp:effectExtent l="0" t="0" r="17780" b="1079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90"/>
                    <a:stretch>
                      <a:fillRect/>
                    </a:stretch>
                  </pic:blipFill>
                  <pic:spPr>
                    <a:xfrm>
                      <a:off x="0" y="0"/>
                      <a:ext cx="5259070" cy="7437755"/>
                    </a:xfrm>
                    <a:prstGeom prst="rect">
                      <a:avLst/>
                    </a:prstGeom>
                    <a:noFill/>
                    <a:ln>
                      <a:noFill/>
                    </a:ln>
                  </pic:spPr>
                </pic:pic>
              </a:graphicData>
            </a:graphic>
          </wp:inline>
        </w:drawing>
      </w:r>
      <w:r>
        <w:drawing>
          <wp:inline distT="0" distB="0" distL="114300" distR="114300">
            <wp:extent cx="5259070" cy="7437755"/>
            <wp:effectExtent l="0" t="0" r="17780" b="1079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91"/>
                    <a:stretch>
                      <a:fillRect/>
                    </a:stretch>
                  </pic:blipFill>
                  <pic:spPr>
                    <a:xfrm>
                      <a:off x="0" y="0"/>
                      <a:ext cx="5259070" cy="7437755"/>
                    </a:xfrm>
                    <a:prstGeom prst="rect">
                      <a:avLst/>
                    </a:prstGeom>
                    <a:noFill/>
                    <a:ln>
                      <a:noFill/>
                    </a:ln>
                  </pic:spPr>
                </pic:pic>
              </a:graphicData>
            </a:graphic>
          </wp:inline>
        </w:drawing>
      </w:r>
      <w:r>
        <w:drawing>
          <wp:inline distT="0" distB="0" distL="114300" distR="114300">
            <wp:extent cx="5259070" cy="7437755"/>
            <wp:effectExtent l="0" t="0" r="17780" b="1079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92"/>
                    <a:stretch>
                      <a:fillRect/>
                    </a:stretch>
                  </pic:blipFill>
                  <pic:spPr>
                    <a:xfrm>
                      <a:off x="0" y="0"/>
                      <a:ext cx="5259070" cy="7437755"/>
                    </a:xfrm>
                    <a:prstGeom prst="rect">
                      <a:avLst/>
                    </a:prstGeom>
                    <a:noFill/>
                    <a:ln>
                      <a:noFill/>
                    </a:ln>
                  </pic:spPr>
                </pic:pic>
              </a:graphicData>
            </a:graphic>
          </wp:inline>
        </w:drawing>
      </w:r>
      <w:r>
        <w:drawing>
          <wp:inline distT="0" distB="0" distL="114300" distR="114300">
            <wp:extent cx="5259070" cy="7437755"/>
            <wp:effectExtent l="0" t="0" r="17780" b="1079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93"/>
                    <a:stretch>
                      <a:fillRect/>
                    </a:stretch>
                  </pic:blipFill>
                  <pic:spPr>
                    <a:xfrm>
                      <a:off x="0" y="0"/>
                      <a:ext cx="5259070" cy="7437755"/>
                    </a:xfrm>
                    <a:prstGeom prst="rect">
                      <a:avLst/>
                    </a:prstGeom>
                    <a:noFill/>
                    <a:ln>
                      <a:noFill/>
                    </a:ln>
                  </pic:spPr>
                </pic:pic>
              </a:graphicData>
            </a:graphic>
          </wp:inline>
        </w:drawing>
      </w:r>
      <w:r>
        <w:drawing>
          <wp:inline distT="0" distB="0" distL="114300" distR="114300">
            <wp:extent cx="5259070" cy="7437755"/>
            <wp:effectExtent l="0" t="0" r="17780" b="10795"/>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94"/>
                    <a:stretch>
                      <a:fillRect/>
                    </a:stretch>
                  </pic:blipFill>
                  <pic:spPr>
                    <a:xfrm>
                      <a:off x="0" y="0"/>
                      <a:ext cx="5259070" cy="7437755"/>
                    </a:xfrm>
                    <a:prstGeom prst="rect">
                      <a:avLst/>
                    </a:prstGeom>
                    <a:noFill/>
                    <a:ln>
                      <a:noFill/>
                    </a:ln>
                  </pic:spPr>
                </pic:pic>
              </a:graphicData>
            </a:graphic>
          </wp:inline>
        </w:drawing>
      </w:r>
      <w:r>
        <w:drawing>
          <wp:inline distT="0" distB="0" distL="114300" distR="114300">
            <wp:extent cx="5259070" cy="7437755"/>
            <wp:effectExtent l="0" t="0" r="17780" b="1079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95"/>
                    <a:stretch>
                      <a:fillRect/>
                    </a:stretch>
                  </pic:blipFill>
                  <pic:spPr>
                    <a:xfrm>
                      <a:off x="0" y="0"/>
                      <a:ext cx="5259070" cy="7437755"/>
                    </a:xfrm>
                    <a:prstGeom prst="rect">
                      <a:avLst/>
                    </a:prstGeom>
                    <a:noFill/>
                    <a:ln>
                      <a:noFill/>
                    </a:ln>
                  </pic:spPr>
                </pic:pic>
              </a:graphicData>
            </a:graphic>
          </wp:inline>
        </w:drawing>
      </w:r>
      <w:r>
        <w:drawing>
          <wp:inline distT="0" distB="0" distL="114300" distR="114300">
            <wp:extent cx="5259070" cy="7437755"/>
            <wp:effectExtent l="0" t="0" r="17780" b="1079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96"/>
                    <a:stretch>
                      <a:fillRect/>
                    </a:stretch>
                  </pic:blipFill>
                  <pic:spPr>
                    <a:xfrm>
                      <a:off x="0" y="0"/>
                      <a:ext cx="5259070" cy="743775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cs="Times New Roman"/>
          <w:b/>
          <w:bCs/>
          <w:snapToGrid w:val="0"/>
          <w:color w:val="000000"/>
          <w:sz w:val="24"/>
          <w:szCs w:val="24"/>
          <w:highlight w:val="none"/>
          <w:lang w:val="en-US" w:eastAsia="zh-CN"/>
        </w:rPr>
      </w:pPr>
      <w:bookmarkStart w:id="80" w:name="_Toc4699"/>
      <w:r>
        <w:rPr>
          <w:rFonts w:hint="eastAsia" w:ascii="Times New Roman" w:hAnsi="Times New Roman" w:eastAsia="宋体" w:cs="Times New Roman"/>
          <w:b/>
          <w:bCs/>
          <w:snapToGrid w:val="0"/>
          <w:color w:val="000000"/>
          <w:sz w:val="24"/>
          <w:szCs w:val="24"/>
          <w:highlight w:val="none"/>
          <w:lang w:val="en-US" w:eastAsia="zh-CN"/>
        </w:rPr>
        <w:t>附件1</w:t>
      </w:r>
      <w:r>
        <w:rPr>
          <w:rFonts w:hint="eastAsia" w:cs="Times New Roman"/>
          <w:b/>
          <w:bCs/>
          <w:snapToGrid w:val="0"/>
          <w:color w:val="000000"/>
          <w:sz w:val="24"/>
          <w:szCs w:val="24"/>
          <w:highlight w:val="none"/>
          <w:lang w:val="en-US" w:eastAsia="zh-CN"/>
        </w:rPr>
        <w:t xml:space="preserve">0 </w:t>
      </w:r>
      <w:r>
        <w:rPr>
          <w:rFonts w:hint="default" w:ascii="Times New Roman" w:hAnsi="Times New Roman" w:eastAsia="宋体" w:cs="Times New Roman"/>
          <w:b/>
          <w:bCs/>
          <w:snapToGrid w:val="0"/>
          <w:color w:val="000000"/>
          <w:sz w:val="24"/>
          <w:szCs w:val="24"/>
          <w:highlight w:val="none"/>
          <w:lang w:val="en-US" w:eastAsia="zh-CN"/>
        </w:rPr>
        <w:t>黑龙江省自然资源厅 黑龙江省发展和改革委员会 关于简化用地管理加快电网建设的通知</w:t>
      </w:r>
      <w:r>
        <w:rPr>
          <w:color w:val="000000"/>
          <w:highlight w:val="none"/>
        </w:rPr>
        <w:drawing>
          <wp:inline distT="0" distB="0" distL="114300" distR="114300">
            <wp:extent cx="5159375" cy="7986395"/>
            <wp:effectExtent l="0" t="0" r="3175" b="14605"/>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97"/>
                    <a:stretch>
                      <a:fillRect/>
                    </a:stretch>
                  </pic:blipFill>
                  <pic:spPr>
                    <a:xfrm>
                      <a:off x="0" y="0"/>
                      <a:ext cx="5159375" cy="7986395"/>
                    </a:xfrm>
                    <a:prstGeom prst="rect">
                      <a:avLst/>
                    </a:prstGeom>
                    <a:noFill/>
                    <a:ln>
                      <a:noFill/>
                    </a:ln>
                  </pic:spPr>
                </pic:pic>
              </a:graphicData>
            </a:graphic>
          </wp:inline>
        </w:drawing>
      </w:r>
      <w:bookmarkEnd w:id="80"/>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color w:val="000000"/>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rPr>
          <w:color w:val="000000"/>
          <w:highlight w:val="none"/>
        </w:rPr>
        <w:drawing>
          <wp:inline distT="0" distB="0" distL="114300" distR="114300">
            <wp:extent cx="5238115" cy="8006715"/>
            <wp:effectExtent l="0" t="0" r="635" b="13335"/>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98"/>
                    <a:stretch>
                      <a:fillRect/>
                    </a:stretch>
                  </pic:blipFill>
                  <pic:spPr>
                    <a:xfrm>
                      <a:off x="0" y="0"/>
                      <a:ext cx="5238115" cy="800671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eastAsia" w:cs="Times New Roman"/>
          <w:b/>
          <w:bCs/>
          <w:snapToGrid w:val="0"/>
          <w:color w:val="000000"/>
          <w:sz w:val="24"/>
          <w:szCs w:val="24"/>
          <w:highlight w:val="none"/>
          <w:lang w:val="en-US" w:eastAsia="zh-CN"/>
        </w:rPr>
      </w:pPr>
      <w:bookmarkStart w:id="81" w:name="_Toc8669"/>
      <w:bookmarkStart w:id="82" w:name="_Toc16566"/>
      <w:bookmarkStart w:id="83" w:name="_Toc25046"/>
      <w:r>
        <w:rPr>
          <w:rFonts w:hint="default" w:ascii="Times New Roman" w:hAnsi="Times New Roman" w:eastAsia="宋体" w:cs="Times New Roman"/>
          <w:b/>
          <w:bCs/>
          <w:snapToGrid w:val="0"/>
          <w:color w:val="000000"/>
          <w:sz w:val="24"/>
          <w:szCs w:val="24"/>
          <w:highlight w:val="none"/>
          <w:lang w:val="en-US" w:eastAsia="zh-CN"/>
        </w:rPr>
        <w:t>附件1</w:t>
      </w:r>
      <w:r>
        <w:rPr>
          <w:rFonts w:hint="eastAsia" w:cs="Times New Roman"/>
          <w:b/>
          <w:bCs/>
          <w:snapToGrid w:val="0"/>
          <w:color w:val="000000"/>
          <w:sz w:val="24"/>
          <w:szCs w:val="24"/>
          <w:highlight w:val="none"/>
          <w:lang w:val="en-US" w:eastAsia="zh-CN"/>
        </w:rPr>
        <w:t>1 补偿协议</w:t>
      </w:r>
      <w:bookmarkEnd w:id="81"/>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default" w:cs="Times New Roman"/>
          <w:b/>
          <w:bCs/>
          <w:snapToGrid w:val="0"/>
          <w:color w:val="000000"/>
          <w:sz w:val="24"/>
          <w:szCs w:val="24"/>
          <w:highlight w:val="none"/>
          <w:lang w:val="en-US" w:eastAsia="zh-CN"/>
        </w:rPr>
      </w:pPr>
      <w:r>
        <w:drawing>
          <wp:inline distT="0" distB="0" distL="114300" distR="114300">
            <wp:extent cx="5271135" cy="7415530"/>
            <wp:effectExtent l="0" t="0" r="5715" b="13970"/>
            <wp:docPr id="1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
                    <pic:cNvPicPr>
                      <a:picLocks noChangeAspect="1"/>
                    </pic:cNvPicPr>
                  </pic:nvPicPr>
                  <pic:blipFill>
                    <a:blip r:embed="rId99"/>
                    <a:stretch>
                      <a:fillRect/>
                    </a:stretch>
                  </pic:blipFill>
                  <pic:spPr>
                    <a:xfrm>
                      <a:off x="0" y="0"/>
                      <a:ext cx="5271135" cy="741553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eastAsia" w:cs="Times New Roman"/>
          <w:b/>
          <w:bCs/>
          <w:snapToGrid w:val="0"/>
          <w:color w:val="000000"/>
          <w:sz w:val="24"/>
          <w:szCs w:val="24"/>
          <w:highlight w:val="none"/>
          <w:lang w:val="en-US" w:eastAsia="zh-CN"/>
        </w:rPr>
      </w:pPr>
      <w:r>
        <w:drawing>
          <wp:inline distT="0" distB="0" distL="114300" distR="114300">
            <wp:extent cx="5270500" cy="7430135"/>
            <wp:effectExtent l="0" t="0" r="6350" b="18415"/>
            <wp:docPr id="1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
                    <pic:cNvPicPr>
                      <a:picLocks noChangeAspect="1"/>
                    </pic:cNvPicPr>
                  </pic:nvPicPr>
                  <pic:blipFill>
                    <a:blip r:embed="rId100"/>
                    <a:stretch>
                      <a:fillRect/>
                    </a:stretch>
                  </pic:blipFill>
                  <pic:spPr>
                    <a:xfrm>
                      <a:off x="0" y="0"/>
                      <a:ext cx="5270500" cy="7430135"/>
                    </a:xfrm>
                    <a:prstGeom prst="rect">
                      <a:avLst/>
                    </a:prstGeom>
                    <a:noFill/>
                    <a:ln>
                      <a:noFill/>
                    </a:ln>
                  </pic:spPr>
                </pic:pic>
              </a:graphicData>
            </a:graphic>
          </wp:inline>
        </w:drawing>
      </w:r>
      <w:r>
        <w:drawing>
          <wp:inline distT="0" distB="0" distL="114300" distR="114300">
            <wp:extent cx="5273675" cy="7413625"/>
            <wp:effectExtent l="0" t="0" r="3175" b="15875"/>
            <wp:docPr id="1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
                    <pic:cNvPicPr>
                      <a:picLocks noChangeAspect="1"/>
                    </pic:cNvPicPr>
                  </pic:nvPicPr>
                  <pic:blipFill>
                    <a:blip r:embed="rId101"/>
                    <a:stretch>
                      <a:fillRect/>
                    </a:stretch>
                  </pic:blipFill>
                  <pic:spPr>
                    <a:xfrm>
                      <a:off x="0" y="0"/>
                      <a:ext cx="5273675" cy="7413625"/>
                    </a:xfrm>
                    <a:prstGeom prst="rect">
                      <a:avLst/>
                    </a:prstGeom>
                    <a:noFill/>
                    <a:ln>
                      <a:noFill/>
                    </a:ln>
                  </pic:spPr>
                </pic:pic>
              </a:graphicData>
            </a:graphic>
          </wp:inline>
        </w:drawing>
      </w:r>
      <w:r>
        <w:drawing>
          <wp:inline distT="0" distB="0" distL="114300" distR="114300">
            <wp:extent cx="5270500" cy="7439025"/>
            <wp:effectExtent l="0" t="0" r="6350" b="9525"/>
            <wp:docPr id="1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
                    <pic:cNvPicPr>
                      <a:picLocks noChangeAspect="1"/>
                    </pic:cNvPicPr>
                  </pic:nvPicPr>
                  <pic:blipFill>
                    <a:blip r:embed="rId102"/>
                    <a:stretch>
                      <a:fillRect/>
                    </a:stretch>
                  </pic:blipFill>
                  <pic:spPr>
                    <a:xfrm>
                      <a:off x="0" y="0"/>
                      <a:ext cx="5270500" cy="7439025"/>
                    </a:xfrm>
                    <a:prstGeom prst="rect">
                      <a:avLst/>
                    </a:prstGeom>
                    <a:noFill/>
                    <a:ln>
                      <a:noFill/>
                    </a:ln>
                  </pic:spPr>
                </pic:pic>
              </a:graphicData>
            </a:graphic>
          </wp:inline>
        </w:drawing>
      </w:r>
      <w:r>
        <w:drawing>
          <wp:inline distT="0" distB="0" distL="114300" distR="114300">
            <wp:extent cx="5272405" cy="7437120"/>
            <wp:effectExtent l="0" t="0" r="4445" b="11430"/>
            <wp:docPr id="1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7"/>
                    <pic:cNvPicPr>
                      <a:picLocks noChangeAspect="1"/>
                    </pic:cNvPicPr>
                  </pic:nvPicPr>
                  <pic:blipFill>
                    <a:blip r:embed="rId103"/>
                    <a:stretch>
                      <a:fillRect/>
                    </a:stretch>
                  </pic:blipFill>
                  <pic:spPr>
                    <a:xfrm>
                      <a:off x="0" y="0"/>
                      <a:ext cx="5272405" cy="7437120"/>
                    </a:xfrm>
                    <a:prstGeom prst="rect">
                      <a:avLst/>
                    </a:prstGeom>
                    <a:noFill/>
                    <a:ln>
                      <a:noFill/>
                    </a:ln>
                  </pic:spPr>
                </pic:pic>
              </a:graphicData>
            </a:graphic>
          </wp:inline>
        </w:drawing>
      </w:r>
      <w:r>
        <w:drawing>
          <wp:inline distT="0" distB="0" distL="114300" distR="114300">
            <wp:extent cx="5273675" cy="7431405"/>
            <wp:effectExtent l="0" t="0" r="3175" b="17145"/>
            <wp:docPr id="1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
                    <pic:cNvPicPr>
                      <a:picLocks noChangeAspect="1"/>
                    </pic:cNvPicPr>
                  </pic:nvPicPr>
                  <pic:blipFill>
                    <a:blip r:embed="rId104"/>
                    <a:stretch>
                      <a:fillRect/>
                    </a:stretch>
                  </pic:blipFill>
                  <pic:spPr>
                    <a:xfrm>
                      <a:off x="0" y="0"/>
                      <a:ext cx="5273675" cy="7431405"/>
                    </a:xfrm>
                    <a:prstGeom prst="rect">
                      <a:avLst/>
                    </a:prstGeom>
                    <a:noFill/>
                    <a:ln>
                      <a:noFill/>
                    </a:ln>
                  </pic:spPr>
                </pic:pic>
              </a:graphicData>
            </a:graphic>
          </wp:inline>
        </w:drawing>
      </w:r>
      <w:r>
        <w:drawing>
          <wp:inline distT="0" distB="0" distL="114300" distR="114300">
            <wp:extent cx="5270500" cy="7430135"/>
            <wp:effectExtent l="0" t="0" r="6350" b="18415"/>
            <wp:docPr id="1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
                    <pic:cNvPicPr>
                      <a:picLocks noChangeAspect="1"/>
                    </pic:cNvPicPr>
                  </pic:nvPicPr>
                  <pic:blipFill>
                    <a:blip r:embed="rId105"/>
                    <a:stretch>
                      <a:fillRect/>
                    </a:stretch>
                  </pic:blipFill>
                  <pic:spPr>
                    <a:xfrm>
                      <a:off x="0" y="0"/>
                      <a:ext cx="5270500" cy="7430135"/>
                    </a:xfrm>
                    <a:prstGeom prst="rect">
                      <a:avLst/>
                    </a:prstGeom>
                    <a:noFill/>
                    <a:ln>
                      <a:noFill/>
                    </a:ln>
                  </pic:spPr>
                </pic:pic>
              </a:graphicData>
            </a:graphic>
          </wp:inline>
        </w:drawing>
      </w:r>
      <w:r>
        <w:drawing>
          <wp:inline distT="0" distB="0" distL="114300" distR="114300">
            <wp:extent cx="5271135" cy="7442835"/>
            <wp:effectExtent l="0" t="0" r="5715" b="5715"/>
            <wp:docPr id="1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0"/>
                    <pic:cNvPicPr>
                      <a:picLocks noChangeAspect="1"/>
                    </pic:cNvPicPr>
                  </pic:nvPicPr>
                  <pic:blipFill>
                    <a:blip r:embed="rId106"/>
                    <a:stretch>
                      <a:fillRect/>
                    </a:stretch>
                  </pic:blipFill>
                  <pic:spPr>
                    <a:xfrm>
                      <a:off x="0" y="0"/>
                      <a:ext cx="5271135" cy="7442835"/>
                    </a:xfrm>
                    <a:prstGeom prst="rect">
                      <a:avLst/>
                    </a:prstGeom>
                    <a:noFill/>
                    <a:ln>
                      <a:noFill/>
                    </a:ln>
                  </pic:spPr>
                </pic:pic>
              </a:graphicData>
            </a:graphic>
          </wp:inline>
        </w:drawing>
      </w:r>
      <w:r>
        <w:drawing>
          <wp:inline distT="0" distB="0" distL="114300" distR="114300">
            <wp:extent cx="5270500" cy="7430135"/>
            <wp:effectExtent l="0" t="0" r="6350" b="18415"/>
            <wp:docPr id="1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1"/>
                    <pic:cNvPicPr>
                      <a:picLocks noChangeAspect="1"/>
                    </pic:cNvPicPr>
                  </pic:nvPicPr>
                  <pic:blipFill>
                    <a:blip r:embed="rId107"/>
                    <a:stretch>
                      <a:fillRect/>
                    </a:stretch>
                  </pic:blipFill>
                  <pic:spPr>
                    <a:xfrm>
                      <a:off x="0" y="0"/>
                      <a:ext cx="5270500" cy="7430135"/>
                    </a:xfrm>
                    <a:prstGeom prst="rect">
                      <a:avLst/>
                    </a:prstGeom>
                    <a:noFill/>
                    <a:ln>
                      <a:noFill/>
                    </a:ln>
                  </pic:spPr>
                </pic:pic>
              </a:graphicData>
            </a:graphic>
          </wp:inline>
        </w:drawing>
      </w:r>
      <w:r>
        <w:drawing>
          <wp:inline distT="0" distB="0" distL="114300" distR="114300">
            <wp:extent cx="5270500" cy="7430135"/>
            <wp:effectExtent l="0" t="0" r="6350" b="18415"/>
            <wp:docPr id="1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2"/>
                    <pic:cNvPicPr>
                      <a:picLocks noChangeAspect="1"/>
                    </pic:cNvPicPr>
                  </pic:nvPicPr>
                  <pic:blipFill>
                    <a:blip r:embed="rId108"/>
                    <a:stretch>
                      <a:fillRect/>
                    </a:stretch>
                  </pic:blipFill>
                  <pic:spPr>
                    <a:xfrm>
                      <a:off x="0" y="0"/>
                      <a:ext cx="5270500" cy="7430135"/>
                    </a:xfrm>
                    <a:prstGeom prst="rect">
                      <a:avLst/>
                    </a:prstGeom>
                    <a:noFill/>
                    <a:ln>
                      <a:noFill/>
                    </a:ln>
                  </pic:spPr>
                </pic:pic>
              </a:graphicData>
            </a:graphic>
          </wp:inline>
        </w:drawing>
      </w:r>
      <w:r>
        <w:drawing>
          <wp:inline distT="0" distB="0" distL="114300" distR="114300">
            <wp:extent cx="5273675" cy="7413625"/>
            <wp:effectExtent l="0" t="0" r="3175" b="15875"/>
            <wp:docPr id="1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
                    <pic:cNvPicPr>
                      <a:picLocks noChangeAspect="1"/>
                    </pic:cNvPicPr>
                  </pic:nvPicPr>
                  <pic:blipFill>
                    <a:blip r:embed="rId109"/>
                    <a:stretch>
                      <a:fillRect/>
                    </a:stretch>
                  </pic:blipFill>
                  <pic:spPr>
                    <a:xfrm>
                      <a:off x="0" y="0"/>
                      <a:ext cx="5273675" cy="7413625"/>
                    </a:xfrm>
                    <a:prstGeom prst="rect">
                      <a:avLst/>
                    </a:prstGeom>
                    <a:noFill/>
                    <a:ln>
                      <a:noFill/>
                    </a:ln>
                  </pic:spPr>
                </pic:pic>
              </a:graphicData>
            </a:graphic>
          </wp:inline>
        </w:drawing>
      </w:r>
      <w:r>
        <w:drawing>
          <wp:inline distT="0" distB="0" distL="114300" distR="114300">
            <wp:extent cx="5269230" cy="7408545"/>
            <wp:effectExtent l="0" t="0" r="7620" b="1905"/>
            <wp:docPr id="1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4"/>
                    <pic:cNvPicPr>
                      <a:picLocks noChangeAspect="1"/>
                    </pic:cNvPicPr>
                  </pic:nvPicPr>
                  <pic:blipFill>
                    <a:blip r:embed="rId110"/>
                    <a:stretch>
                      <a:fillRect/>
                    </a:stretch>
                  </pic:blipFill>
                  <pic:spPr>
                    <a:xfrm>
                      <a:off x="0" y="0"/>
                      <a:ext cx="5269230" cy="7408545"/>
                    </a:xfrm>
                    <a:prstGeom prst="rect">
                      <a:avLst/>
                    </a:prstGeom>
                    <a:noFill/>
                    <a:ln>
                      <a:noFill/>
                    </a:ln>
                  </pic:spPr>
                </pic:pic>
              </a:graphicData>
            </a:graphic>
          </wp:inline>
        </w:drawing>
      </w:r>
      <w:r>
        <w:drawing>
          <wp:inline distT="0" distB="0" distL="114300" distR="114300">
            <wp:extent cx="5271135" cy="7406640"/>
            <wp:effectExtent l="0" t="0" r="5715" b="3810"/>
            <wp:docPr id="1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5"/>
                    <pic:cNvPicPr>
                      <a:picLocks noChangeAspect="1"/>
                    </pic:cNvPicPr>
                  </pic:nvPicPr>
                  <pic:blipFill>
                    <a:blip r:embed="rId111"/>
                    <a:stretch>
                      <a:fillRect/>
                    </a:stretch>
                  </pic:blipFill>
                  <pic:spPr>
                    <a:xfrm>
                      <a:off x="0" y="0"/>
                      <a:ext cx="5271135" cy="7406640"/>
                    </a:xfrm>
                    <a:prstGeom prst="rect">
                      <a:avLst/>
                    </a:prstGeom>
                    <a:noFill/>
                    <a:ln>
                      <a:noFill/>
                    </a:ln>
                  </pic:spPr>
                </pic:pic>
              </a:graphicData>
            </a:graphic>
          </wp:inline>
        </w:drawing>
      </w:r>
      <w:r>
        <w:drawing>
          <wp:inline distT="0" distB="0" distL="114300" distR="114300">
            <wp:extent cx="5270500" cy="7439025"/>
            <wp:effectExtent l="0" t="0" r="6350" b="9525"/>
            <wp:docPr id="1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6"/>
                    <pic:cNvPicPr>
                      <a:picLocks noChangeAspect="1"/>
                    </pic:cNvPicPr>
                  </pic:nvPicPr>
                  <pic:blipFill>
                    <a:blip r:embed="rId112"/>
                    <a:stretch>
                      <a:fillRect/>
                    </a:stretch>
                  </pic:blipFill>
                  <pic:spPr>
                    <a:xfrm>
                      <a:off x="0" y="0"/>
                      <a:ext cx="5270500" cy="7439025"/>
                    </a:xfrm>
                    <a:prstGeom prst="rect">
                      <a:avLst/>
                    </a:prstGeom>
                    <a:noFill/>
                    <a:ln>
                      <a:noFill/>
                    </a:ln>
                  </pic:spPr>
                </pic:pic>
              </a:graphicData>
            </a:graphic>
          </wp:inline>
        </w:drawing>
      </w:r>
      <w:r>
        <w:drawing>
          <wp:inline distT="0" distB="0" distL="114300" distR="114300">
            <wp:extent cx="5269230" cy="7463155"/>
            <wp:effectExtent l="0" t="0" r="7620" b="4445"/>
            <wp:docPr id="1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7"/>
                    <pic:cNvPicPr>
                      <a:picLocks noChangeAspect="1"/>
                    </pic:cNvPicPr>
                  </pic:nvPicPr>
                  <pic:blipFill>
                    <a:blip r:embed="rId113"/>
                    <a:stretch>
                      <a:fillRect/>
                    </a:stretch>
                  </pic:blipFill>
                  <pic:spPr>
                    <a:xfrm>
                      <a:off x="0" y="0"/>
                      <a:ext cx="5269230" cy="7463155"/>
                    </a:xfrm>
                    <a:prstGeom prst="rect">
                      <a:avLst/>
                    </a:prstGeom>
                    <a:noFill/>
                    <a:ln>
                      <a:noFill/>
                    </a:ln>
                  </pic:spPr>
                </pic:pic>
              </a:graphicData>
            </a:graphic>
          </wp:inline>
        </w:drawing>
      </w:r>
      <w:r>
        <w:drawing>
          <wp:inline distT="0" distB="0" distL="114300" distR="114300">
            <wp:extent cx="5269230" cy="7409180"/>
            <wp:effectExtent l="0" t="0" r="7620" b="1270"/>
            <wp:docPr id="1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8"/>
                    <pic:cNvPicPr>
                      <a:picLocks noChangeAspect="1"/>
                    </pic:cNvPicPr>
                  </pic:nvPicPr>
                  <pic:blipFill>
                    <a:blip r:embed="rId114"/>
                    <a:stretch>
                      <a:fillRect/>
                    </a:stretch>
                  </pic:blipFill>
                  <pic:spPr>
                    <a:xfrm>
                      <a:off x="0" y="0"/>
                      <a:ext cx="5269230" cy="7409180"/>
                    </a:xfrm>
                    <a:prstGeom prst="rect">
                      <a:avLst/>
                    </a:prstGeom>
                    <a:noFill/>
                    <a:ln>
                      <a:noFill/>
                    </a:ln>
                  </pic:spPr>
                </pic:pic>
              </a:graphicData>
            </a:graphic>
          </wp:inline>
        </w:drawing>
      </w:r>
      <w:r>
        <w:drawing>
          <wp:inline distT="0" distB="0" distL="114300" distR="114300">
            <wp:extent cx="5271135" cy="7460615"/>
            <wp:effectExtent l="0" t="0" r="5715" b="6985"/>
            <wp:docPr id="1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9"/>
                    <pic:cNvPicPr>
                      <a:picLocks noChangeAspect="1"/>
                    </pic:cNvPicPr>
                  </pic:nvPicPr>
                  <pic:blipFill>
                    <a:blip r:embed="rId115"/>
                    <a:stretch>
                      <a:fillRect/>
                    </a:stretch>
                  </pic:blipFill>
                  <pic:spPr>
                    <a:xfrm>
                      <a:off x="0" y="0"/>
                      <a:ext cx="5271135" cy="7460615"/>
                    </a:xfrm>
                    <a:prstGeom prst="rect">
                      <a:avLst/>
                    </a:prstGeom>
                    <a:noFill/>
                    <a:ln>
                      <a:noFill/>
                    </a:ln>
                  </pic:spPr>
                </pic:pic>
              </a:graphicData>
            </a:graphic>
          </wp:inline>
        </w:drawing>
      </w:r>
      <w:r>
        <w:drawing>
          <wp:inline distT="0" distB="0" distL="114300" distR="114300">
            <wp:extent cx="5269230" cy="7463155"/>
            <wp:effectExtent l="0" t="0" r="7620" b="4445"/>
            <wp:docPr id="1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0"/>
                    <pic:cNvPicPr>
                      <a:picLocks noChangeAspect="1"/>
                    </pic:cNvPicPr>
                  </pic:nvPicPr>
                  <pic:blipFill>
                    <a:blip r:embed="rId116"/>
                    <a:stretch>
                      <a:fillRect/>
                    </a:stretch>
                  </pic:blipFill>
                  <pic:spPr>
                    <a:xfrm>
                      <a:off x="0" y="0"/>
                      <a:ext cx="5269230" cy="7463155"/>
                    </a:xfrm>
                    <a:prstGeom prst="rect">
                      <a:avLst/>
                    </a:prstGeom>
                    <a:noFill/>
                    <a:ln>
                      <a:noFill/>
                    </a:ln>
                  </pic:spPr>
                </pic:pic>
              </a:graphicData>
            </a:graphic>
          </wp:inline>
        </w:drawing>
      </w:r>
      <w:r>
        <w:drawing>
          <wp:inline distT="0" distB="0" distL="114300" distR="114300">
            <wp:extent cx="5273675" cy="7431405"/>
            <wp:effectExtent l="0" t="0" r="3175" b="17145"/>
            <wp:docPr id="1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1"/>
                    <pic:cNvPicPr>
                      <a:picLocks noChangeAspect="1"/>
                    </pic:cNvPicPr>
                  </pic:nvPicPr>
                  <pic:blipFill>
                    <a:blip r:embed="rId117"/>
                    <a:stretch>
                      <a:fillRect/>
                    </a:stretch>
                  </pic:blipFill>
                  <pic:spPr>
                    <a:xfrm>
                      <a:off x="0" y="0"/>
                      <a:ext cx="5273675" cy="7431405"/>
                    </a:xfrm>
                    <a:prstGeom prst="rect">
                      <a:avLst/>
                    </a:prstGeom>
                    <a:noFill/>
                    <a:ln>
                      <a:noFill/>
                    </a:ln>
                  </pic:spPr>
                </pic:pic>
              </a:graphicData>
            </a:graphic>
          </wp:inline>
        </w:drawing>
      </w:r>
      <w:r>
        <w:drawing>
          <wp:inline distT="0" distB="0" distL="114300" distR="114300">
            <wp:extent cx="5273675" cy="7413625"/>
            <wp:effectExtent l="0" t="0" r="3175" b="15875"/>
            <wp:docPr id="1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pic:cNvPicPr>
                      <a:picLocks noChangeAspect="1"/>
                    </pic:cNvPicPr>
                  </pic:nvPicPr>
                  <pic:blipFill>
                    <a:blip r:embed="rId118"/>
                    <a:stretch>
                      <a:fillRect/>
                    </a:stretch>
                  </pic:blipFill>
                  <pic:spPr>
                    <a:xfrm>
                      <a:off x="0" y="0"/>
                      <a:ext cx="5273675" cy="741362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eastAsia" w:cs="Times New Roman"/>
          <w:b/>
          <w:bCs/>
          <w:snapToGrid w:val="0"/>
          <w:color w:val="000000"/>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84" w:name="_Toc14135"/>
      <w:r>
        <w:rPr>
          <w:rFonts w:hint="eastAsia" w:cs="Times New Roman"/>
          <w:b/>
          <w:bCs/>
          <w:snapToGrid w:val="0"/>
          <w:color w:val="000000"/>
          <w:sz w:val="24"/>
          <w:szCs w:val="24"/>
          <w:highlight w:val="none"/>
          <w:lang w:val="en-US" w:eastAsia="zh-CN"/>
        </w:rPr>
        <w:t xml:space="preserve">附件12 </w:t>
      </w:r>
      <w:r>
        <w:rPr>
          <w:rFonts w:hint="default" w:ascii="Times New Roman" w:hAnsi="Times New Roman" w:eastAsia="宋体" w:cs="Times New Roman"/>
          <w:b/>
          <w:bCs/>
          <w:snapToGrid w:val="0"/>
          <w:color w:val="000000"/>
          <w:sz w:val="24"/>
          <w:szCs w:val="24"/>
          <w:highlight w:val="none"/>
          <w:lang w:val="en-US" w:eastAsia="zh-CN"/>
        </w:rPr>
        <w:t>网络全本公示截图</w:t>
      </w:r>
      <w:bookmarkEnd w:id="82"/>
      <w:bookmarkEnd w:id="83"/>
      <w:bookmarkEnd w:id="84"/>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bCs/>
          <w:snapToGrid w:val="0"/>
          <w:color w:val="000000"/>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85" w:name="_Toc31520"/>
      <w:bookmarkStart w:id="86" w:name="_Toc13175"/>
      <w:r>
        <w:rPr>
          <w:rFonts w:hint="default" w:ascii="Times New Roman" w:hAnsi="Times New Roman" w:eastAsia="宋体" w:cs="Times New Roman"/>
          <w:b/>
          <w:bCs/>
          <w:snapToGrid w:val="0"/>
          <w:color w:val="000000"/>
          <w:sz w:val="24"/>
          <w:szCs w:val="24"/>
          <w:highlight w:val="none"/>
          <w:lang w:val="en-US" w:eastAsia="zh-CN"/>
        </w:rPr>
        <w:t>附图</w:t>
      </w:r>
      <w:bookmarkEnd w:id="85"/>
      <w:bookmarkEnd w:id="86"/>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87" w:name="_Toc3334"/>
      <w:bookmarkStart w:id="88" w:name="_Toc12800"/>
      <w:bookmarkStart w:id="89" w:name="_Toc28773"/>
      <w:r>
        <w:rPr>
          <w:rFonts w:hint="default" w:ascii="Times New Roman" w:hAnsi="Times New Roman" w:eastAsia="宋体" w:cs="Times New Roman"/>
          <w:b/>
          <w:bCs/>
          <w:snapToGrid w:val="0"/>
          <w:color w:val="000000"/>
          <w:sz w:val="24"/>
          <w:szCs w:val="24"/>
          <w:highlight w:val="none"/>
          <w:lang w:val="en-US" w:eastAsia="zh-CN"/>
        </w:rPr>
        <w:t>附图1</w:t>
      </w:r>
      <w:r>
        <w:rPr>
          <w:rFonts w:hint="eastAsia" w:cs="Times New Roman"/>
          <w:b/>
          <w:bCs/>
          <w:snapToGrid w:val="0"/>
          <w:color w:val="000000"/>
          <w:sz w:val="24"/>
          <w:szCs w:val="24"/>
          <w:highlight w:val="none"/>
          <w:lang w:val="en-US" w:eastAsia="zh-CN"/>
        </w:rPr>
        <w:t xml:space="preserve"> </w:t>
      </w:r>
      <w:r>
        <w:rPr>
          <w:rFonts w:hint="default" w:ascii="Times New Roman" w:hAnsi="Times New Roman" w:eastAsia="宋体" w:cs="Times New Roman"/>
          <w:b/>
          <w:bCs/>
          <w:snapToGrid w:val="0"/>
          <w:color w:val="000000"/>
          <w:sz w:val="24"/>
          <w:szCs w:val="24"/>
          <w:highlight w:val="none"/>
          <w:lang w:val="en-US" w:eastAsia="zh-CN"/>
        </w:rPr>
        <w:t>地理位置图</w:t>
      </w:r>
      <w:bookmarkEnd w:id="87"/>
      <w:bookmarkEnd w:id="88"/>
      <w:bookmarkEnd w:id="89"/>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snapToGrid w:val="0"/>
          <w:color w:val="000000"/>
          <w:sz w:val="24"/>
          <w:szCs w:val="24"/>
          <w:highlight w:val="none"/>
          <w:lang w:val="en-US" w:eastAsia="zh-CN"/>
        </w:rPr>
      </w:pPr>
      <w:r>
        <w:drawing>
          <wp:inline distT="0" distB="0" distL="114300" distR="114300">
            <wp:extent cx="6287135" cy="4592955"/>
            <wp:effectExtent l="0" t="0" r="18415" b="17145"/>
            <wp:docPr id="6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9"/>
                    <pic:cNvPicPr>
                      <a:picLocks noChangeAspect="1"/>
                    </pic:cNvPicPr>
                  </pic:nvPicPr>
                  <pic:blipFill>
                    <a:blip r:embed="rId119"/>
                    <a:stretch>
                      <a:fillRect/>
                    </a:stretch>
                  </pic:blipFill>
                  <pic:spPr>
                    <a:xfrm>
                      <a:off x="0" y="0"/>
                      <a:ext cx="6287135" cy="459295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snapToGrid w:val="0"/>
          <w:color w:val="000000"/>
          <w:sz w:val="24"/>
          <w:szCs w:val="24"/>
          <w:highlight w:val="none"/>
          <w:lang w:val="en-US"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90" w:name="_Toc9204"/>
      <w:r>
        <w:rPr>
          <w:rFonts w:hint="default" w:ascii="Times New Roman" w:hAnsi="Times New Roman" w:eastAsia="宋体" w:cs="Times New Roman"/>
          <w:b/>
          <w:bCs/>
          <w:snapToGrid w:val="0"/>
          <w:color w:val="000000"/>
          <w:sz w:val="24"/>
          <w:szCs w:val="24"/>
          <w:highlight w:val="none"/>
          <w:lang w:val="en-US" w:eastAsia="zh-CN"/>
        </w:rPr>
        <w:t>附图2</w:t>
      </w:r>
      <w:r>
        <w:rPr>
          <w:rFonts w:hint="eastAsia" w:cs="Times New Roman"/>
          <w:b/>
          <w:bCs/>
          <w:snapToGrid w:val="0"/>
          <w:color w:val="000000"/>
          <w:sz w:val="24"/>
          <w:szCs w:val="24"/>
          <w:highlight w:val="none"/>
          <w:lang w:val="en-US" w:eastAsia="zh-CN"/>
        </w:rPr>
        <w:t xml:space="preserve"> </w:t>
      </w:r>
      <w:r>
        <w:rPr>
          <w:rFonts w:hint="default" w:ascii="Times New Roman" w:hAnsi="Times New Roman" w:eastAsia="宋体" w:cs="Times New Roman"/>
          <w:b/>
          <w:bCs/>
          <w:snapToGrid w:val="0"/>
          <w:color w:val="000000"/>
          <w:sz w:val="24"/>
          <w:szCs w:val="24"/>
          <w:highlight w:val="none"/>
          <w:lang w:val="en-US" w:eastAsia="zh-CN"/>
        </w:rPr>
        <w:t>线路走向图</w:t>
      </w:r>
      <w:bookmarkEnd w:id="90"/>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eastAsia="宋体" w:cs="Times New Roman"/>
          <w:b/>
          <w:bCs/>
          <w:snapToGrid w:val="0"/>
          <w:color w:val="000000"/>
          <w:sz w:val="24"/>
          <w:szCs w:val="24"/>
          <w:highlight w:val="none"/>
          <w:lang w:val="en-US" w:eastAsia="zh-CN"/>
        </w:rPr>
      </w:pPr>
      <w:r>
        <w:drawing>
          <wp:inline distT="0" distB="0" distL="114300" distR="114300">
            <wp:extent cx="7159625" cy="4674235"/>
            <wp:effectExtent l="0" t="0" r="3175" b="12065"/>
            <wp:docPr id="10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7"/>
                    <pic:cNvPicPr>
                      <a:picLocks noChangeAspect="1"/>
                    </pic:cNvPicPr>
                  </pic:nvPicPr>
                  <pic:blipFill>
                    <a:blip r:embed="rId120"/>
                    <a:stretch>
                      <a:fillRect/>
                    </a:stretch>
                  </pic:blipFill>
                  <pic:spPr>
                    <a:xfrm>
                      <a:off x="0" y="0"/>
                      <a:ext cx="7159625" cy="467423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bCs/>
          <w:snapToGrid w:val="0"/>
          <w:color w:val="000000"/>
          <w:sz w:val="24"/>
          <w:szCs w:val="24"/>
          <w:highlight w:val="none"/>
          <w:lang w:val="en-US"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91" w:name="_Toc28444"/>
      <w:bookmarkStart w:id="92" w:name="_Toc29597"/>
      <w:r>
        <w:rPr>
          <w:rFonts w:hint="default" w:ascii="Times New Roman" w:hAnsi="Times New Roman" w:eastAsia="宋体" w:cs="Times New Roman"/>
          <w:b/>
          <w:bCs/>
          <w:snapToGrid w:val="0"/>
          <w:color w:val="000000"/>
          <w:sz w:val="24"/>
          <w:szCs w:val="24"/>
          <w:highlight w:val="none"/>
          <w:lang w:val="en-US" w:eastAsia="zh-CN"/>
        </w:rPr>
        <w:t>附图3</w:t>
      </w:r>
      <w:r>
        <w:rPr>
          <w:rFonts w:hint="eastAsia" w:cs="Times New Roman"/>
          <w:b/>
          <w:bCs/>
          <w:snapToGrid w:val="0"/>
          <w:color w:val="000000"/>
          <w:sz w:val="24"/>
          <w:szCs w:val="24"/>
          <w:highlight w:val="none"/>
          <w:lang w:val="en-US" w:eastAsia="zh-CN"/>
        </w:rPr>
        <w:t xml:space="preserve"> </w:t>
      </w:r>
      <w:r>
        <w:rPr>
          <w:rFonts w:hint="default" w:ascii="Times New Roman" w:hAnsi="Times New Roman" w:eastAsia="宋体" w:cs="Times New Roman"/>
          <w:b/>
          <w:bCs/>
          <w:snapToGrid w:val="0"/>
          <w:color w:val="000000"/>
          <w:sz w:val="24"/>
          <w:szCs w:val="24"/>
          <w:highlight w:val="none"/>
          <w:lang w:val="en-US" w:eastAsia="zh-CN"/>
        </w:rPr>
        <w:t>环境保护措施施工布置图</w:t>
      </w:r>
      <w:bookmarkEnd w:id="91"/>
      <w:bookmarkEnd w:id="92"/>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cs="Times New Roman"/>
          <w:b/>
          <w:bCs/>
          <w:snapToGrid w:val="0"/>
          <w:color w:val="000000"/>
          <w:sz w:val="24"/>
          <w:szCs w:val="24"/>
          <w:highlight w:val="none"/>
          <w:lang w:val="en-US" w:eastAsia="zh-CN"/>
        </w:rPr>
      </w:pPr>
      <w:r>
        <w:drawing>
          <wp:inline distT="0" distB="0" distL="114300" distR="114300">
            <wp:extent cx="8244205" cy="4700270"/>
            <wp:effectExtent l="0" t="0" r="4445" b="5080"/>
            <wp:docPr id="10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8"/>
                    <pic:cNvPicPr>
                      <a:picLocks noChangeAspect="1"/>
                    </pic:cNvPicPr>
                  </pic:nvPicPr>
                  <pic:blipFill>
                    <a:blip r:embed="rId121"/>
                    <a:stretch>
                      <a:fillRect/>
                    </a:stretch>
                  </pic:blipFill>
                  <pic:spPr>
                    <a:xfrm>
                      <a:off x="0" y="0"/>
                      <a:ext cx="8244205" cy="470027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cs="Times New Roman"/>
          <w:b/>
          <w:bCs/>
          <w:snapToGrid w:val="0"/>
          <w:color w:val="000000"/>
          <w:sz w:val="24"/>
          <w:szCs w:val="24"/>
          <w:highlight w:val="none"/>
          <w:lang w:val="en-US" w:eastAsia="zh-CN"/>
        </w:rPr>
      </w:pPr>
      <w:r>
        <w:drawing>
          <wp:inline distT="0" distB="0" distL="114300" distR="114300">
            <wp:extent cx="6677660" cy="5026025"/>
            <wp:effectExtent l="0" t="0" r="8890" b="3175"/>
            <wp:docPr id="10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1"/>
                    <pic:cNvPicPr>
                      <a:picLocks noChangeAspect="1"/>
                    </pic:cNvPicPr>
                  </pic:nvPicPr>
                  <pic:blipFill>
                    <a:blip r:embed="rId122"/>
                    <a:stretch>
                      <a:fillRect/>
                    </a:stretch>
                  </pic:blipFill>
                  <pic:spPr>
                    <a:xfrm>
                      <a:off x="0" y="0"/>
                      <a:ext cx="6677660" cy="5026025"/>
                    </a:xfrm>
                    <a:prstGeom prst="rect">
                      <a:avLst/>
                    </a:prstGeom>
                    <a:noFill/>
                    <a:ln>
                      <a:noFill/>
                    </a:ln>
                  </pic:spPr>
                </pic:pic>
              </a:graphicData>
            </a:graphic>
          </wp:inline>
        </w:drawing>
      </w:r>
      <w:r>
        <w:drawing>
          <wp:inline distT="0" distB="0" distL="114300" distR="114300">
            <wp:extent cx="8173720" cy="4968240"/>
            <wp:effectExtent l="0" t="0" r="17780" b="3810"/>
            <wp:docPr id="10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2"/>
                    <pic:cNvPicPr>
                      <a:picLocks noChangeAspect="1"/>
                    </pic:cNvPicPr>
                  </pic:nvPicPr>
                  <pic:blipFill>
                    <a:blip r:embed="rId123"/>
                    <a:stretch>
                      <a:fillRect/>
                    </a:stretch>
                  </pic:blipFill>
                  <pic:spPr>
                    <a:xfrm>
                      <a:off x="0" y="0"/>
                      <a:ext cx="8173720" cy="496824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cs="Times New Roman"/>
          <w:b/>
          <w:bCs/>
          <w:snapToGrid w:val="0"/>
          <w:color w:val="000000"/>
          <w:sz w:val="24"/>
          <w:szCs w:val="24"/>
          <w:highlight w:val="none"/>
          <w:lang w:val="en-US"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93" w:name="_Toc30182"/>
      <w:bookmarkStart w:id="94" w:name="_Toc11657"/>
      <w:r>
        <w:rPr>
          <w:rFonts w:hint="default" w:ascii="Times New Roman" w:hAnsi="Times New Roman" w:eastAsia="宋体" w:cs="Times New Roman"/>
          <w:b/>
          <w:bCs/>
          <w:snapToGrid w:val="0"/>
          <w:color w:val="000000"/>
          <w:sz w:val="24"/>
          <w:szCs w:val="24"/>
          <w:highlight w:val="none"/>
          <w:lang w:val="en-US" w:eastAsia="zh-CN"/>
        </w:rPr>
        <w:t>附</w:t>
      </w:r>
      <w:r>
        <w:rPr>
          <w:rFonts w:hint="eastAsia" w:cs="Times New Roman"/>
          <w:b/>
          <w:bCs/>
          <w:snapToGrid w:val="0"/>
          <w:color w:val="000000"/>
          <w:sz w:val="24"/>
          <w:szCs w:val="24"/>
          <w:highlight w:val="none"/>
          <w:lang w:val="en-US" w:eastAsia="zh-CN"/>
        </w:rPr>
        <w:t>图</w:t>
      </w:r>
      <w:r>
        <w:rPr>
          <w:rFonts w:hint="default" w:ascii="Times New Roman" w:hAnsi="Times New Roman" w:eastAsia="宋体" w:cs="Times New Roman"/>
          <w:b/>
          <w:bCs/>
          <w:snapToGrid w:val="0"/>
          <w:color w:val="000000"/>
          <w:sz w:val="24"/>
          <w:szCs w:val="24"/>
          <w:highlight w:val="none"/>
          <w:lang w:val="en-US" w:eastAsia="zh-CN"/>
        </w:rPr>
        <w:t>4</w:t>
      </w:r>
      <w:r>
        <w:rPr>
          <w:rFonts w:hint="eastAsia" w:cs="Times New Roman"/>
          <w:b/>
          <w:bCs/>
          <w:snapToGrid w:val="0"/>
          <w:color w:val="000000"/>
          <w:sz w:val="24"/>
          <w:szCs w:val="24"/>
          <w:highlight w:val="none"/>
          <w:lang w:val="en-US" w:eastAsia="zh-CN"/>
        </w:rPr>
        <w:t xml:space="preserve"> </w:t>
      </w:r>
      <w:r>
        <w:rPr>
          <w:rFonts w:hint="default" w:ascii="Times New Roman" w:hAnsi="Times New Roman" w:eastAsia="宋体" w:cs="Times New Roman"/>
          <w:b/>
          <w:bCs/>
          <w:snapToGrid w:val="0"/>
          <w:color w:val="000000"/>
          <w:sz w:val="24"/>
          <w:szCs w:val="24"/>
          <w:highlight w:val="none"/>
          <w:lang w:val="en-US" w:eastAsia="zh-CN"/>
        </w:rPr>
        <w:t>光缆建设方案图</w:t>
      </w:r>
      <w:bookmarkEnd w:id="93"/>
      <w:bookmarkEnd w:id="94"/>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cs="Times New Roman"/>
          <w:b/>
          <w:bCs/>
          <w:snapToGrid w:val="0"/>
          <w:color w:val="000000"/>
          <w:sz w:val="24"/>
          <w:szCs w:val="24"/>
          <w:highlight w:val="none"/>
          <w:lang w:val="en-US" w:eastAsia="zh-CN"/>
        </w:rPr>
      </w:pPr>
      <w:r>
        <w:drawing>
          <wp:inline distT="0" distB="0" distL="114300" distR="114300">
            <wp:extent cx="6311900" cy="4176395"/>
            <wp:effectExtent l="0" t="0" r="12700" b="14605"/>
            <wp:docPr id="10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3"/>
                    <pic:cNvPicPr>
                      <a:picLocks noChangeAspect="1"/>
                    </pic:cNvPicPr>
                  </pic:nvPicPr>
                  <pic:blipFill>
                    <a:blip r:embed="rId124"/>
                    <a:stretch>
                      <a:fillRect/>
                    </a:stretch>
                  </pic:blipFill>
                  <pic:spPr>
                    <a:xfrm>
                      <a:off x="0" y="0"/>
                      <a:ext cx="6311900" cy="417639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bCs/>
          <w:snapToGrid w:val="0"/>
          <w:color w:val="000000"/>
          <w:sz w:val="24"/>
          <w:szCs w:val="24"/>
          <w:highlight w:val="none"/>
          <w:lang w:val="en-US"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95" w:name="_Toc18886"/>
      <w:bookmarkStart w:id="96" w:name="_Toc5608"/>
      <w:r>
        <w:rPr>
          <w:rFonts w:hint="default" w:ascii="Times New Roman" w:hAnsi="Times New Roman" w:eastAsia="宋体" w:cs="Times New Roman"/>
          <w:b/>
          <w:bCs/>
          <w:snapToGrid w:val="0"/>
          <w:color w:val="000000"/>
          <w:sz w:val="24"/>
          <w:szCs w:val="24"/>
          <w:highlight w:val="none"/>
          <w:lang w:val="en-US" w:eastAsia="zh-CN"/>
        </w:rPr>
        <w:t>附图5</w:t>
      </w:r>
      <w:r>
        <w:rPr>
          <w:rFonts w:hint="eastAsia" w:cs="Times New Roman"/>
          <w:b/>
          <w:bCs/>
          <w:snapToGrid w:val="0"/>
          <w:color w:val="000000"/>
          <w:sz w:val="24"/>
          <w:szCs w:val="24"/>
          <w:highlight w:val="none"/>
          <w:lang w:val="en-US" w:eastAsia="zh-CN"/>
        </w:rPr>
        <w:t xml:space="preserve"> </w:t>
      </w:r>
      <w:r>
        <w:rPr>
          <w:rFonts w:hint="eastAsia" w:ascii="Times New Roman" w:hAnsi="Times New Roman" w:eastAsia="宋体" w:cs="Times New Roman"/>
          <w:b/>
          <w:bCs/>
          <w:snapToGrid w:val="0"/>
          <w:color w:val="000000"/>
          <w:sz w:val="24"/>
          <w:szCs w:val="24"/>
          <w:highlight w:val="none"/>
          <w:lang w:val="en-US" w:eastAsia="zh-CN"/>
        </w:rPr>
        <w:t>太保</w:t>
      </w:r>
      <w:r>
        <w:rPr>
          <w:rFonts w:hint="default" w:ascii="Times New Roman" w:hAnsi="Times New Roman" w:eastAsia="宋体" w:cs="Times New Roman"/>
          <w:b/>
          <w:bCs/>
          <w:snapToGrid w:val="0"/>
          <w:color w:val="000000"/>
          <w:sz w:val="24"/>
          <w:szCs w:val="24"/>
          <w:highlight w:val="none"/>
          <w:lang w:val="en-US" w:eastAsia="zh-CN"/>
        </w:rPr>
        <w:t>变间隔平面图</w:t>
      </w:r>
      <w:bookmarkEnd w:id="95"/>
      <w:bookmarkEnd w:id="96"/>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eastAsia="宋体" w:cs="Times New Roman"/>
          <w:b/>
          <w:bCs/>
          <w:snapToGrid w:val="0"/>
          <w:color w:val="000000"/>
          <w:sz w:val="24"/>
          <w:szCs w:val="24"/>
          <w:highlight w:val="none"/>
          <w:lang w:val="en-US" w:eastAsia="zh-CN"/>
        </w:rPr>
      </w:pPr>
      <w:r>
        <w:drawing>
          <wp:inline distT="0" distB="0" distL="114300" distR="114300">
            <wp:extent cx="8340725" cy="3943350"/>
            <wp:effectExtent l="0" t="0" r="3175" b="0"/>
            <wp:docPr id="10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5"/>
                    <pic:cNvPicPr>
                      <a:picLocks noChangeAspect="1"/>
                    </pic:cNvPicPr>
                  </pic:nvPicPr>
                  <pic:blipFill>
                    <a:blip r:embed="rId125"/>
                    <a:stretch>
                      <a:fillRect/>
                    </a:stretch>
                  </pic:blipFill>
                  <pic:spPr>
                    <a:xfrm>
                      <a:off x="0" y="0"/>
                      <a:ext cx="8340725" cy="394335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000000"/>
          <w:sz w:val="24"/>
          <w:szCs w:val="24"/>
          <w:highlight w:val="none"/>
          <w:lang w:val="en-US" w:eastAsia="zh-CN"/>
        </w:rPr>
      </w:pPr>
      <w:bookmarkStart w:id="97" w:name="_Toc11727"/>
      <w:bookmarkStart w:id="98" w:name="_Toc2291"/>
      <w:r>
        <w:rPr>
          <w:rFonts w:hint="default" w:ascii="Times New Roman" w:hAnsi="Times New Roman" w:eastAsia="宋体" w:cs="Times New Roman"/>
          <w:b/>
          <w:bCs/>
          <w:snapToGrid w:val="0"/>
          <w:color w:val="000000"/>
          <w:sz w:val="24"/>
          <w:szCs w:val="24"/>
          <w:highlight w:val="none"/>
          <w:lang w:val="en-US" w:eastAsia="zh-CN"/>
        </w:rPr>
        <w:t>附</w:t>
      </w:r>
      <w:r>
        <w:rPr>
          <w:rFonts w:hint="eastAsia" w:cs="Times New Roman"/>
          <w:b/>
          <w:bCs/>
          <w:snapToGrid w:val="0"/>
          <w:color w:val="000000"/>
          <w:sz w:val="24"/>
          <w:szCs w:val="24"/>
          <w:highlight w:val="none"/>
          <w:lang w:val="en-US" w:eastAsia="zh-CN"/>
        </w:rPr>
        <w:t>图</w:t>
      </w:r>
      <w:r>
        <w:rPr>
          <w:rFonts w:hint="default" w:ascii="Times New Roman" w:hAnsi="Times New Roman" w:eastAsia="宋体" w:cs="Times New Roman"/>
          <w:b/>
          <w:bCs/>
          <w:snapToGrid w:val="0"/>
          <w:color w:val="000000"/>
          <w:sz w:val="24"/>
          <w:szCs w:val="24"/>
          <w:highlight w:val="none"/>
          <w:lang w:val="en-US" w:eastAsia="zh-CN"/>
        </w:rPr>
        <w:t>6</w:t>
      </w:r>
      <w:r>
        <w:rPr>
          <w:rFonts w:hint="eastAsia" w:cs="Times New Roman"/>
          <w:b/>
          <w:bCs/>
          <w:snapToGrid w:val="0"/>
          <w:color w:val="000000"/>
          <w:sz w:val="24"/>
          <w:szCs w:val="24"/>
          <w:highlight w:val="none"/>
          <w:lang w:val="en-US" w:eastAsia="zh-CN"/>
        </w:rPr>
        <w:t xml:space="preserve"> </w:t>
      </w:r>
      <w:r>
        <w:rPr>
          <w:rFonts w:hint="default" w:ascii="Times New Roman" w:hAnsi="Times New Roman" w:eastAsia="宋体" w:cs="Times New Roman"/>
          <w:b/>
          <w:bCs/>
          <w:snapToGrid w:val="0"/>
          <w:color w:val="000000"/>
          <w:sz w:val="24"/>
          <w:szCs w:val="24"/>
          <w:highlight w:val="none"/>
          <w:lang w:val="en-US" w:eastAsia="zh-CN"/>
        </w:rPr>
        <w:t>塔基平面图</w:t>
      </w:r>
      <w:bookmarkEnd w:id="97"/>
      <w:bookmarkEnd w:id="98"/>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cs="Times New Roman"/>
          <w:b/>
          <w:bCs/>
          <w:snapToGrid w:val="0"/>
          <w:color w:val="000000"/>
          <w:sz w:val="24"/>
          <w:szCs w:val="24"/>
          <w:highlight w:val="none"/>
          <w:lang w:val="en-US" w:eastAsia="zh-CN"/>
        </w:rPr>
      </w:pPr>
      <w:r>
        <w:drawing>
          <wp:inline distT="0" distB="0" distL="114300" distR="114300">
            <wp:extent cx="4295775" cy="7153275"/>
            <wp:effectExtent l="0" t="0" r="9525" b="9525"/>
            <wp:docPr id="9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5"/>
                    <pic:cNvPicPr>
                      <a:picLocks noChangeAspect="1"/>
                    </pic:cNvPicPr>
                  </pic:nvPicPr>
                  <pic:blipFill>
                    <a:blip r:embed="rId126"/>
                    <a:stretch>
                      <a:fillRect/>
                    </a:stretch>
                  </pic:blipFill>
                  <pic:spPr>
                    <a:xfrm>
                      <a:off x="0" y="0"/>
                      <a:ext cx="4295775" cy="715327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outlineLvl w:val="9"/>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drawing>
          <wp:inline distT="0" distB="0" distL="114300" distR="114300">
            <wp:extent cx="5270500" cy="7378700"/>
            <wp:effectExtent l="0" t="0" r="6350" b="12700"/>
            <wp:docPr id="9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6"/>
                    <pic:cNvPicPr>
                      <a:picLocks noChangeAspect="1"/>
                    </pic:cNvPicPr>
                  </pic:nvPicPr>
                  <pic:blipFill>
                    <a:blip r:embed="rId127"/>
                    <a:stretch>
                      <a:fillRect/>
                    </a:stretch>
                  </pic:blipFill>
                  <pic:spPr>
                    <a:xfrm>
                      <a:off x="0" y="0"/>
                      <a:ext cx="5270500" cy="737870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eastAsia" w:ascii="Times New Roman" w:hAnsi="Times New Roman" w:eastAsia="宋体" w:cs="Times New Roman"/>
          <w:b/>
          <w:bCs/>
          <w:snapToGrid w:val="0"/>
          <w:color w:val="auto"/>
          <w:sz w:val="24"/>
          <w:szCs w:val="24"/>
          <w:highlight w:val="none"/>
          <w:lang w:val="en-US" w:eastAsia="zh-CN"/>
        </w:rPr>
      </w:pPr>
      <w:bookmarkStart w:id="99" w:name="_Toc110"/>
      <w:r>
        <w:rPr>
          <w:rFonts w:hint="eastAsia" w:eastAsia="宋体" w:cs="Times New Roman"/>
          <w:b/>
          <w:bCs/>
          <w:snapToGrid w:val="0"/>
          <w:color w:val="auto"/>
          <w:sz w:val="24"/>
          <w:szCs w:val="24"/>
          <w:highlight w:val="none"/>
          <w:lang w:val="en-US" w:eastAsia="zh-CN"/>
        </w:rPr>
        <w:t xml:space="preserve">附图7 </w:t>
      </w:r>
      <w:r>
        <w:rPr>
          <w:rFonts w:hint="eastAsia" w:ascii="Times New Roman" w:hAnsi="Times New Roman" w:eastAsia="宋体" w:cs="Times New Roman"/>
          <w:b/>
          <w:bCs/>
          <w:snapToGrid w:val="0"/>
          <w:color w:val="auto"/>
          <w:sz w:val="24"/>
          <w:szCs w:val="24"/>
          <w:highlight w:val="none"/>
          <w:lang w:val="en-US" w:eastAsia="zh-CN"/>
        </w:rPr>
        <w:t>本项目与黑龙江生态功能区划位置关系</w:t>
      </w:r>
      <w:bookmarkEnd w:id="99"/>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outlineLvl w:val="9"/>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r>
        <w:drawing>
          <wp:inline distT="0" distB="0" distL="114300" distR="114300">
            <wp:extent cx="6748780" cy="4758690"/>
            <wp:effectExtent l="0" t="0" r="13970" b="3810"/>
            <wp:docPr id="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
                    <pic:cNvPicPr>
                      <a:picLocks noChangeAspect="1"/>
                    </pic:cNvPicPr>
                  </pic:nvPicPr>
                  <pic:blipFill>
                    <a:blip r:embed="rId128"/>
                    <a:stretch>
                      <a:fillRect/>
                    </a:stretch>
                  </pic:blipFill>
                  <pic:spPr>
                    <a:xfrm>
                      <a:off x="0" y="0"/>
                      <a:ext cx="6748780" cy="475869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auto"/>
          <w:sz w:val="24"/>
          <w:szCs w:val="24"/>
          <w:highlight w:val="none"/>
          <w:lang w:val="en-US" w:eastAsia="zh-CN"/>
        </w:rPr>
      </w:pPr>
      <w:bookmarkStart w:id="100" w:name="_Toc26855"/>
      <w:r>
        <w:rPr>
          <w:rFonts w:hint="eastAsia" w:ascii="Times New Roman" w:hAnsi="Times New Roman" w:eastAsia="宋体" w:cs="Times New Roman"/>
          <w:b/>
          <w:bCs/>
          <w:snapToGrid w:val="0"/>
          <w:color w:val="auto"/>
          <w:sz w:val="24"/>
          <w:szCs w:val="24"/>
          <w:highlight w:val="none"/>
          <w:lang w:val="en-US" w:eastAsia="zh-CN"/>
        </w:rPr>
        <w:t>附图8 本项目与重要生态敏感区相对位置关系示意图</w:t>
      </w:r>
      <w:bookmarkEnd w:id="100"/>
    </w:p>
    <w:p>
      <w:pPr>
        <w:keepNext w:val="0"/>
        <w:keepLines w:val="0"/>
        <w:pageBreakBefore w:val="0"/>
        <w:widowControl/>
        <w:kinsoku/>
        <w:wordWrap/>
        <w:overflowPunct/>
        <w:topLinePunct w:val="0"/>
        <w:autoSpaceDE/>
        <w:autoSpaceDN/>
        <w:bidi w:val="0"/>
        <w:adjustRightInd w:val="0"/>
        <w:snapToGrid w:val="0"/>
        <w:spacing w:line="360" w:lineRule="auto"/>
        <w:jc w:val="both"/>
        <w:textAlignment w:val="auto"/>
        <w:outlineLvl w:val="9"/>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r>
        <w:drawing>
          <wp:inline distT="0" distB="0" distL="114300" distR="114300">
            <wp:extent cx="8855710" cy="4512310"/>
            <wp:effectExtent l="0" t="0" r="2540" b="2540"/>
            <wp:docPr id="1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pic:cNvPicPr>
                      <a:picLocks noChangeAspect="1"/>
                    </pic:cNvPicPr>
                  </pic:nvPicPr>
                  <pic:blipFill>
                    <a:blip r:embed="rId129"/>
                    <a:stretch>
                      <a:fillRect/>
                    </a:stretch>
                  </pic:blipFill>
                  <pic:spPr>
                    <a:xfrm>
                      <a:off x="0" y="0"/>
                      <a:ext cx="8855710" cy="451231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auto"/>
          <w:sz w:val="24"/>
          <w:szCs w:val="24"/>
          <w:highlight w:val="none"/>
          <w:lang w:val="en-US" w:eastAsia="zh-CN"/>
        </w:rPr>
      </w:pPr>
      <w:bookmarkStart w:id="101" w:name="_Toc14579"/>
      <w:r>
        <w:rPr>
          <w:rFonts w:hint="eastAsia" w:ascii="Times New Roman" w:hAnsi="Times New Roman" w:eastAsia="宋体" w:cs="Times New Roman"/>
          <w:b/>
          <w:bCs/>
          <w:snapToGrid w:val="0"/>
          <w:color w:val="auto"/>
          <w:sz w:val="24"/>
          <w:szCs w:val="24"/>
          <w:highlight w:val="none"/>
          <w:lang w:val="en-US" w:eastAsia="zh-CN"/>
        </w:rPr>
        <w:t xml:space="preserve">附图9 </w:t>
      </w:r>
      <w:r>
        <w:rPr>
          <w:rFonts w:hint="default" w:ascii="Times New Roman" w:hAnsi="Times New Roman" w:eastAsia="宋体" w:cs="Times New Roman"/>
          <w:b/>
          <w:bCs/>
          <w:snapToGrid w:val="0"/>
          <w:color w:val="auto"/>
          <w:sz w:val="24"/>
          <w:szCs w:val="24"/>
          <w:highlight w:val="none"/>
          <w:lang w:val="en-US" w:eastAsia="zh-CN"/>
        </w:rPr>
        <w:t>本项目声环境影响评价范围图</w:t>
      </w:r>
      <w:bookmarkEnd w:id="101"/>
    </w:p>
    <w:p>
      <w:pPr>
        <w:pStyle w:val="9"/>
        <w:ind w:left="0" w:leftChars="0" w:firstLine="0" w:firstLineChars="0"/>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drawing>
          <wp:inline distT="0" distB="0" distL="114300" distR="114300">
            <wp:extent cx="5269230" cy="7435850"/>
            <wp:effectExtent l="0" t="0" r="7620" b="1270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30"/>
                    <a:stretch>
                      <a:fillRect/>
                    </a:stretch>
                  </pic:blipFill>
                  <pic:spPr>
                    <a:xfrm>
                      <a:off x="0" y="0"/>
                      <a:ext cx="5269230" cy="743585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auto"/>
          <w:sz w:val="24"/>
          <w:szCs w:val="24"/>
          <w:highlight w:val="none"/>
          <w:lang w:val="en-US" w:eastAsia="zh-CN"/>
        </w:rPr>
      </w:pPr>
      <w:bookmarkStart w:id="102" w:name="_Toc2517"/>
      <w:r>
        <w:rPr>
          <w:rFonts w:hint="eastAsia" w:ascii="Times New Roman" w:hAnsi="Times New Roman" w:eastAsia="宋体" w:cs="Times New Roman"/>
          <w:b/>
          <w:bCs/>
          <w:snapToGrid w:val="0"/>
          <w:color w:val="auto"/>
          <w:sz w:val="24"/>
          <w:szCs w:val="24"/>
          <w:highlight w:val="none"/>
          <w:lang w:val="en-US" w:eastAsia="zh-CN"/>
        </w:rPr>
        <w:t xml:space="preserve">附图10 </w:t>
      </w:r>
      <w:r>
        <w:rPr>
          <w:rFonts w:hint="default" w:ascii="Times New Roman" w:hAnsi="Times New Roman" w:eastAsia="宋体" w:cs="Times New Roman"/>
          <w:b/>
          <w:bCs/>
          <w:snapToGrid w:val="0"/>
          <w:color w:val="auto"/>
          <w:sz w:val="24"/>
          <w:szCs w:val="24"/>
          <w:highlight w:val="none"/>
          <w:lang w:val="en-US" w:eastAsia="zh-CN"/>
        </w:rPr>
        <w:t>本项目电磁环境影响评价范围图</w:t>
      </w:r>
      <w:bookmarkEnd w:id="102"/>
    </w:p>
    <w:p>
      <w:pPr>
        <w:pStyle w:val="2"/>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drawing>
          <wp:inline distT="0" distB="0" distL="114300" distR="114300">
            <wp:extent cx="5270500" cy="7430135"/>
            <wp:effectExtent l="0" t="0" r="6350" b="1841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131"/>
                    <a:stretch>
                      <a:fillRect/>
                    </a:stretch>
                  </pic:blipFill>
                  <pic:spPr>
                    <a:xfrm>
                      <a:off x="0" y="0"/>
                      <a:ext cx="5270500" cy="743013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auto"/>
          <w:sz w:val="24"/>
          <w:szCs w:val="24"/>
          <w:highlight w:val="none"/>
          <w:lang w:val="en-US" w:eastAsia="zh-CN"/>
        </w:rPr>
      </w:pPr>
      <w:bookmarkStart w:id="103" w:name="_Toc31694"/>
      <w:r>
        <w:rPr>
          <w:rFonts w:hint="eastAsia" w:ascii="Times New Roman" w:hAnsi="Times New Roman" w:eastAsia="宋体" w:cs="Times New Roman"/>
          <w:b/>
          <w:bCs/>
          <w:snapToGrid w:val="0"/>
          <w:color w:val="auto"/>
          <w:sz w:val="24"/>
          <w:szCs w:val="24"/>
          <w:highlight w:val="none"/>
          <w:lang w:val="en-US" w:eastAsia="zh-CN"/>
        </w:rPr>
        <w:t xml:space="preserve">附图11 </w:t>
      </w:r>
      <w:r>
        <w:rPr>
          <w:rFonts w:hint="default" w:ascii="Times New Roman" w:hAnsi="Times New Roman" w:eastAsia="宋体" w:cs="Times New Roman"/>
          <w:b/>
          <w:bCs/>
          <w:snapToGrid w:val="0"/>
          <w:color w:val="auto"/>
          <w:sz w:val="24"/>
          <w:szCs w:val="24"/>
          <w:highlight w:val="none"/>
          <w:lang w:val="en-US" w:eastAsia="zh-CN"/>
        </w:rPr>
        <w:t>本项目生态环境影响评价范围图</w:t>
      </w:r>
      <w:bookmarkEnd w:id="103"/>
    </w:p>
    <w:p>
      <w:p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drawing>
          <wp:inline distT="0" distB="0" distL="114300" distR="114300">
            <wp:extent cx="5272405" cy="7437120"/>
            <wp:effectExtent l="0" t="0" r="4445" b="11430"/>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132"/>
                    <a:stretch>
                      <a:fillRect/>
                    </a:stretch>
                  </pic:blipFill>
                  <pic:spPr>
                    <a:xfrm>
                      <a:off x="0" y="0"/>
                      <a:ext cx="5272405" cy="743712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0"/>
        <w:rPr>
          <w:rFonts w:hint="default" w:ascii="Times New Roman" w:hAnsi="Times New Roman" w:eastAsia="宋体" w:cs="Times New Roman"/>
          <w:b/>
          <w:bCs/>
          <w:snapToGrid w:val="0"/>
          <w:color w:val="FF0000"/>
          <w:sz w:val="24"/>
          <w:szCs w:val="24"/>
          <w:highlight w:val="none"/>
          <w:lang w:val="en-US" w:eastAsia="zh-CN"/>
        </w:rPr>
      </w:pPr>
      <w:bookmarkStart w:id="104" w:name="_Toc16632"/>
      <w:r>
        <w:rPr>
          <w:rFonts w:hint="eastAsia" w:ascii="Times New Roman" w:hAnsi="Times New Roman" w:eastAsia="宋体" w:cs="Times New Roman"/>
          <w:b/>
          <w:bCs/>
          <w:snapToGrid w:val="0"/>
          <w:color w:val="FF0000"/>
          <w:sz w:val="24"/>
          <w:szCs w:val="24"/>
          <w:highlight w:val="none"/>
          <w:lang w:val="en-US" w:eastAsia="zh-CN"/>
        </w:rPr>
        <w:t>附图1</w:t>
      </w:r>
      <w:r>
        <w:rPr>
          <w:rFonts w:hint="eastAsia" w:cs="Times New Roman"/>
          <w:b/>
          <w:bCs/>
          <w:snapToGrid w:val="0"/>
          <w:color w:val="FF0000"/>
          <w:sz w:val="24"/>
          <w:szCs w:val="24"/>
          <w:highlight w:val="none"/>
          <w:lang w:val="en-US" w:eastAsia="zh-CN"/>
        </w:rPr>
        <w:t>2</w:t>
      </w:r>
      <w:r>
        <w:rPr>
          <w:rFonts w:hint="eastAsia" w:ascii="Times New Roman" w:hAnsi="Times New Roman" w:eastAsia="宋体" w:cs="Times New Roman"/>
          <w:b/>
          <w:bCs/>
          <w:snapToGrid w:val="0"/>
          <w:color w:val="FF0000"/>
          <w:sz w:val="24"/>
          <w:szCs w:val="24"/>
          <w:highlight w:val="none"/>
          <w:lang w:val="en-US" w:eastAsia="zh-CN"/>
        </w:rPr>
        <w:t xml:space="preserve"> 本项目输电线路与声功能区的位置关系</w:t>
      </w:r>
      <w:r>
        <w:rPr>
          <w:rFonts w:hint="eastAsia" w:cs="Times New Roman"/>
          <w:b/>
          <w:bCs/>
          <w:snapToGrid w:val="0"/>
          <w:color w:val="FF0000"/>
          <w:sz w:val="24"/>
          <w:szCs w:val="24"/>
          <w:highlight w:val="none"/>
          <w:lang w:val="en-US" w:eastAsia="zh-CN"/>
        </w:rPr>
        <w:t>图</w:t>
      </w:r>
      <w:bookmarkEnd w:id="104"/>
    </w:p>
    <w:p>
      <w:pPr>
        <w:pStyle w:val="2"/>
        <w:jc w:val="center"/>
        <w:rPr>
          <w:rFonts w:hint="default"/>
          <w:lang w:val="en-US" w:eastAsia="zh-CN"/>
        </w:rPr>
      </w:pPr>
      <w:r>
        <w:drawing>
          <wp:inline distT="0" distB="0" distL="114300" distR="114300">
            <wp:extent cx="6189980" cy="4829175"/>
            <wp:effectExtent l="0" t="0" r="1270" b="952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33"/>
                    <a:stretch>
                      <a:fillRect/>
                    </a:stretch>
                  </pic:blipFill>
                  <pic:spPr>
                    <a:xfrm>
                      <a:off x="0" y="0"/>
                      <a:ext cx="6189980" cy="4829175"/>
                    </a:xfrm>
                    <a:prstGeom prst="rect">
                      <a:avLst/>
                    </a:prstGeom>
                    <a:noFill/>
                    <a:ln>
                      <a:noFill/>
                    </a:ln>
                  </pic:spPr>
                </pic:pic>
              </a:graphicData>
            </a:graphic>
          </wp:inline>
        </w:drawing>
      </w:r>
    </w:p>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华文仿宋">
    <w:altName w:val="仿宋"/>
    <w:panose1 w:val="02010600040101010101"/>
    <w:charset w:val="86"/>
    <w:family w:val="auto"/>
    <w:pitch w:val="default"/>
    <w:sig w:usb0="00000000" w:usb1="00000000" w:usb2="00000010" w:usb3="00000000" w:csb0="0004009F"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imesNewRomanPSMT">
    <w:altName w:val="Times New Roman"/>
    <w:panose1 w:val="00000000000000000000"/>
    <w:charset w:val="00"/>
    <w:family w:val="roman"/>
    <w:pitch w:val="default"/>
    <w:sig w:usb0="00000000" w:usb1="00000000" w:usb2="00000010" w:usb3="00000000" w:csb0="00040001" w:csb1="00000000"/>
  </w:font>
  <w:font w:name="TimesNewRomanPS-BoldMT">
    <w:altName w:val="宋体"/>
    <w:panose1 w:val="00000000000000000000"/>
    <w:charset w:val="86"/>
    <w:family w:val="auto"/>
    <w:pitch w:val="default"/>
    <w:sig w:usb0="00000000" w:usb1="00000000" w:usb2="00000010" w:usb3="00000000" w:csb0="00040000" w:csb1="00000000"/>
  </w:font>
  <w:font w:name="等线">
    <w:altName w:val="微软雅黑"/>
    <w:panose1 w:val="02010600030101010101"/>
    <w:charset w:val="86"/>
    <w:family w:val="auto"/>
    <w:pitch w:val="default"/>
    <w:sig w:usb0="00000000" w:usb1="00000000" w:usb2="00000016" w:usb3="00000000" w:csb0="0004000F" w:csb1="00000000"/>
  </w:font>
  <w:font w:name="Cambria Math">
    <w:panose1 w:val="02040503050406030204"/>
    <w:charset w:val="00"/>
    <w:family w:val="auto"/>
    <w:pitch w:val="default"/>
    <w:sig w:usb0="E00002FF" w:usb1="420024FF" w:usb2="00000000" w:usb3="00000000" w:csb0="2000019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outside" w:y="1"/>
      <w:rPr>
        <w:rStyle w:val="23"/>
      </w:rPr>
    </w:pPr>
    <w:r>
      <w:rPr>
        <w:rStyle w:val="23"/>
      </w:rPr>
      <w:fldChar w:fldCharType="begin"/>
    </w:r>
    <w:r>
      <w:rPr>
        <w:rStyle w:val="23"/>
      </w:rPr>
      <w:instrText xml:space="preserve">PAGE  </w:instrText>
    </w:r>
    <w:r>
      <w:rPr>
        <w:rStyle w:val="23"/>
      </w:rPr>
      <w:fldChar w:fldCharType="end"/>
    </w:r>
  </w:p>
  <w:p>
    <w:pPr>
      <w:pStyle w:val="1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outside" w:y="1"/>
      <w:rPr>
        <w:rStyle w:val="23"/>
        <w:rFonts w:ascii="宋体" w:hAnsi="宋体"/>
        <w:sz w:val="28"/>
        <w:szCs w:val="28"/>
      </w:rPr>
    </w:pPr>
    <w:r>
      <w:rPr>
        <w:rStyle w:val="23"/>
        <w:rFonts w:hint="eastAsia" w:ascii="宋体" w:hAnsi="宋体"/>
        <w:sz w:val="28"/>
        <w:szCs w:val="28"/>
      </w:rPr>
      <w:t>—</w:t>
    </w:r>
    <w:r>
      <w:rPr>
        <w:rStyle w:val="23"/>
        <w:rFonts w:hint="eastAsia" w:ascii="宋体" w:hAnsi="宋体"/>
        <w:sz w:val="20"/>
        <w:szCs w:val="20"/>
      </w:rPr>
      <w:t xml:space="preserve">  </w:t>
    </w:r>
    <w:r>
      <w:rPr>
        <w:rStyle w:val="23"/>
        <w:rFonts w:ascii="宋体" w:hAnsi="宋体"/>
        <w:sz w:val="26"/>
        <w:szCs w:val="26"/>
      </w:rPr>
      <w:fldChar w:fldCharType="begin"/>
    </w:r>
    <w:r>
      <w:rPr>
        <w:rStyle w:val="23"/>
        <w:rFonts w:ascii="宋体" w:hAnsi="宋体"/>
        <w:sz w:val="26"/>
        <w:szCs w:val="26"/>
      </w:rPr>
      <w:instrText xml:space="preserve">PAGE  </w:instrText>
    </w:r>
    <w:r>
      <w:rPr>
        <w:rStyle w:val="23"/>
        <w:rFonts w:ascii="宋体" w:hAnsi="宋体"/>
        <w:sz w:val="26"/>
        <w:szCs w:val="26"/>
      </w:rPr>
      <w:fldChar w:fldCharType="separate"/>
    </w:r>
    <w:r>
      <w:rPr>
        <w:rStyle w:val="23"/>
        <w:rFonts w:ascii="宋体" w:hAnsi="宋体"/>
        <w:sz w:val="26"/>
        <w:szCs w:val="26"/>
      </w:rPr>
      <w:t>22</w:t>
    </w:r>
    <w:r>
      <w:rPr>
        <w:rStyle w:val="23"/>
        <w:rFonts w:ascii="宋体" w:hAnsi="宋体"/>
        <w:sz w:val="26"/>
        <w:szCs w:val="26"/>
      </w:rPr>
      <w:fldChar w:fldCharType="end"/>
    </w:r>
    <w:r>
      <w:rPr>
        <w:rStyle w:val="23"/>
        <w:rFonts w:hint="eastAsia" w:ascii="宋体" w:hAnsi="宋体"/>
        <w:sz w:val="20"/>
        <w:szCs w:val="20"/>
      </w:rPr>
      <w:t xml:space="preserve">  </w:t>
    </w:r>
    <w:r>
      <w:rPr>
        <w:rStyle w:val="23"/>
        <w:rFonts w:hint="eastAsia" w:ascii="宋体" w:hAnsi="宋体"/>
        <w:sz w:val="28"/>
        <w:szCs w:val="28"/>
      </w:rPr>
      <w:t>—</w:t>
    </w:r>
  </w:p>
  <w:p>
    <w:pPr>
      <w:pStyle w:val="12"/>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Style w:val="23"/>
                              <w:rFonts w:ascii="宋体" w:hAnsi="宋体"/>
                              <w:sz w:val="28"/>
                              <w:szCs w:val="28"/>
                            </w:rPr>
                          </w:pPr>
                          <w:r>
                            <w:rPr>
                              <w:rStyle w:val="23"/>
                              <w:rFonts w:hint="eastAsia" w:ascii="宋体" w:hAnsi="宋体"/>
                              <w:sz w:val="28"/>
                              <w:szCs w:val="28"/>
                            </w:rPr>
                            <w:t>—</w:t>
                          </w:r>
                          <w:r>
                            <w:rPr>
                              <w:rStyle w:val="23"/>
                              <w:rFonts w:hint="eastAsia" w:ascii="宋体" w:hAnsi="宋体"/>
                              <w:sz w:val="20"/>
                              <w:szCs w:val="20"/>
                            </w:rPr>
                            <w:t xml:space="preserve">  </w:t>
                          </w:r>
                          <w:r>
                            <w:rPr>
                              <w:rStyle w:val="23"/>
                              <w:rFonts w:ascii="宋体" w:hAnsi="宋体"/>
                              <w:sz w:val="26"/>
                              <w:szCs w:val="26"/>
                            </w:rPr>
                            <w:fldChar w:fldCharType="begin"/>
                          </w:r>
                          <w:r>
                            <w:rPr>
                              <w:rStyle w:val="23"/>
                              <w:rFonts w:ascii="宋体" w:hAnsi="宋体"/>
                              <w:sz w:val="26"/>
                              <w:szCs w:val="26"/>
                            </w:rPr>
                            <w:instrText xml:space="preserve">PAGE  </w:instrText>
                          </w:r>
                          <w:r>
                            <w:rPr>
                              <w:rStyle w:val="23"/>
                              <w:rFonts w:ascii="宋体" w:hAnsi="宋体"/>
                              <w:sz w:val="26"/>
                              <w:szCs w:val="26"/>
                            </w:rPr>
                            <w:fldChar w:fldCharType="separate"/>
                          </w:r>
                          <w:r>
                            <w:rPr>
                              <w:rStyle w:val="23"/>
                              <w:rFonts w:ascii="宋体" w:hAnsi="宋体"/>
                              <w:sz w:val="26"/>
                              <w:szCs w:val="26"/>
                            </w:rPr>
                            <w:t>22</w:t>
                          </w:r>
                          <w:r>
                            <w:rPr>
                              <w:rStyle w:val="23"/>
                              <w:rFonts w:ascii="宋体" w:hAnsi="宋体"/>
                              <w:sz w:val="26"/>
                              <w:szCs w:val="26"/>
                            </w:rPr>
                            <w:fldChar w:fldCharType="end"/>
                          </w:r>
                          <w:r>
                            <w:rPr>
                              <w:rStyle w:val="23"/>
                              <w:rFonts w:hint="eastAsia" w:ascii="宋体" w:hAnsi="宋体"/>
                              <w:sz w:val="20"/>
                              <w:szCs w:val="20"/>
                            </w:rPr>
                            <w:t xml:space="preserve">  </w:t>
                          </w:r>
                          <w:r>
                            <w:rPr>
                              <w:rStyle w:val="23"/>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2inEzAgAAYw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n2inEzAgAAYwQAAA4AAAAAAAAAAQAgAAAAHwEAAGRycy9lMm9Eb2MueG1sUEsF&#10;BgAAAAAGAAYAWQEAAMQFAAAAAA==&#10;">
              <v:fill on="f" focussize="0,0"/>
              <v:stroke on="f" weight="0.5pt"/>
              <v:imagedata o:title=""/>
              <o:lock v:ext="edit" aspectratio="f"/>
              <v:textbox inset="0mm,0mm,0mm,0mm" style="mso-fit-shape-to-text:t;">
                <w:txbxContent>
                  <w:p>
                    <w:pPr>
                      <w:pStyle w:val="12"/>
                      <w:rPr>
                        <w:rStyle w:val="23"/>
                        <w:rFonts w:ascii="宋体" w:hAnsi="宋体"/>
                        <w:sz w:val="28"/>
                        <w:szCs w:val="28"/>
                      </w:rPr>
                    </w:pPr>
                    <w:r>
                      <w:rPr>
                        <w:rStyle w:val="23"/>
                        <w:rFonts w:hint="eastAsia" w:ascii="宋体" w:hAnsi="宋体"/>
                        <w:sz w:val="28"/>
                        <w:szCs w:val="28"/>
                      </w:rPr>
                      <w:t>—</w:t>
                    </w:r>
                    <w:r>
                      <w:rPr>
                        <w:rStyle w:val="23"/>
                        <w:rFonts w:hint="eastAsia" w:ascii="宋体" w:hAnsi="宋体"/>
                        <w:sz w:val="20"/>
                        <w:szCs w:val="20"/>
                      </w:rPr>
                      <w:t xml:space="preserve">  </w:t>
                    </w:r>
                    <w:r>
                      <w:rPr>
                        <w:rStyle w:val="23"/>
                        <w:rFonts w:ascii="宋体" w:hAnsi="宋体"/>
                        <w:sz w:val="26"/>
                        <w:szCs w:val="26"/>
                      </w:rPr>
                      <w:fldChar w:fldCharType="begin"/>
                    </w:r>
                    <w:r>
                      <w:rPr>
                        <w:rStyle w:val="23"/>
                        <w:rFonts w:ascii="宋体" w:hAnsi="宋体"/>
                        <w:sz w:val="26"/>
                        <w:szCs w:val="26"/>
                      </w:rPr>
                      <w:instrText xml:space="preserve">PAGE  </w:instrText>
                    </w:r>
                    <w:r>
                      <w:rPr>
                        <w:rStyle w:val="23"/>
                        <w:rFonts w:ascii="宋体" w:hAnsi="宋体"/>
                        <w:sz w:val="26"/>
                        <w:szCs w:val="26"/>
                      </w:rPr>
                      <w:fldChar w:fldCharType="separate"/>
                    </w:r>
                    <w:r>
                      <w:rPr>
                        <w:rStyle w:val="23"/>
                        <w:rFonts w:ascii="宋体" w:hAnsi="宋体"/>
                        <w:sz w:val="26"/>
                        <w:szCs w:val="26"/>
                      </w:rPr>
                      <w:t>22</w:t>
                    </w:r>
                    <w:r>
                      <w:rPr>
                        <w:rStyle w:val="23"/>
                        <w:rFonts w:ascii="宋体" w:hAnsi="宋体"/>
                        <w:sz w:val="26"/>
                        <w:szCs w:val="26"/>
                      </w:rPr>
                      <w:fldChar w:fldCharType="end"/>
                    </w:r>
                    <w:r>
                      <w:rPr>
                        <w:rStyle w:val="23"/>
                        <w:rFonts w:hint="eastAsia" w:ascii="宋体" w:hAnsi="宋体"/>
                        <w:sz w:val="20"/>
                        <w:szCs w:val="20"/>
                      </w:rPr>
                      <w:t xml:space="preserve">  </w:t>
                    </w:r>
                    <w:r>
                      <w:rPr>
                        <w:rStyle w:val="23"/>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1C87206"/>
    <w:multiLevelType w:val="singleLevel"/>
    <w:tmpl w:val="E1C87206"/>
    <w:lvl w:ilvl="0" w:tentative="0">
      <w:start w:val="7"/>
      <w:numFmt w:val="chineseCounting"/>
      <w:suff w:val="nothing"/>
      <w:lvlText w:val="%1、"/>
      <w:lvlJc w:val="left"/>
      <w:rPr>
        <w:rFonts w:hint="eastAsia"/>
      </w:rPr>
    </w:lvl>
  </w:abstractNum>
  <w:abstractNum w:abstractNumId="1">
    <w:nsid w:val="763CA0DE"/>
    <w:multiLevelType w:val="singleLevel"/>
    <w:tmpl w:val="763CA0DE"/>
    <w:lvl w:ilvl="0" w:tentative="0">
      <w:start w:val="1"/>
      <w:numFmt w:val="decimal"/>
      <w:lvlText w:val="%1."/>
      <w:lvlJc w:val="left"/>
      <w:pPr>
        <w:ind w:left="425" w:hanging="425"/>
      </w:pPr>
      <w:rPr>
        <w:rFonts w:hint="default"/>
      </w:rPr>
    </w:lvl>
  </w:abstractNum>
  <w:abstractNum w:abstractNumId="2">
    <w:nsid w:val="7DD22C7E"/>
    <w:multiLevelType w:val="singleLevel"/>
    <w:tmpl w:val="7DD22C7E"/>
    <w:lvl w:ilvl="0" w:tentative="0">
      <w:start w:val="1"/>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UyMDgxOTM2NDRmMDdmZjg0YWFjNWM5NTdiMDU3MTAifQ=="/>
  </w:docVars>
  <w:rsids>
    <w:rsidRoot w:val="00A1494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76791"/>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504D"/>
    <w:rsid w:val="00177422"/>
    <w:rsid w:val="00182E6C"/>
    <w:rsid w:val="00184F10"/>
    <w:rsid w:val="00185546"/>
    <w:rsid w:val="0019146B"/>
    <w:rsid w:val="00194398"/>
    <w:rsid w:val="001A7D2A"/>
    <w:rsid w:val="001B574C"/>
    <w:rsid w:val="001C0AF9"/>
    <w:rsid w:val="001C155A"/>
    <w:rsid w:val="001C48C0"/>
    <w:rsid w:val="001D6726"/>
    <w:rsid w:val="001F3347"/>
    <w:rsid w:val="001F4440"/>
    <w:rsid w:val="001F69E4"/>
    <w:rsid w:val="00206A65"/>
    <w:rsid w:val="00212D31"/>
    <w:rsid w:val="00212E12"/>
    <w:rsid w:val="002130C7"/>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37586"/>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E7681"/>
    <w:rsid w:val="003F0809"/>
    <w:rsid w:val="003F611C"/>
    <w:rsid w:val="003F755C"/>
    <w:rsid w:val="00400E75"/>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56910"/>
    <w:rsid w:val="00663016"/>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3D9C"/>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10BF"/>
    <w:rsid w:val="00A03607"/>
    <w:rsid w:val="00A047FF"/>
    <w:rsid w:val="00A04FEF"/>
    <w:rsid w:val="00A122CD"/>
    <w:rsid w:val="00A12A32"/>
    <w:rsid w:val="00A14248"/>
    <w:rsid w:val="00A14947"/>
    <w:rsid w:val="00A23DC5"/>
    <w:rsid w:val="00A34028"/>
    <w:rsid w:val="00A34C56"/>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3618"/>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05BA"/>
    <w:rsid w:val="00C328FE"/>
    <w:rsid w:val="00C33A05"/>
    <w:rsid w:val="00C42500"/>
    <w:rsid w:val="00C4409D"/>
    <w:rsid w:val="00C455BE"/>
    <w:rsid w:val="00C51E5F"/>
    <w:rsid w:val="00C61E4B"/>
    <w:rsid w:val="00C621A8"/>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0F7FF3"/>
    <w:rsid w:val="01141165"/>
    <w:rsid w:val="017A38C2"/>
    <w:rsid w:val="018502B5"/>
    <w:rsid w:val="01AF5332"/>
    <w:rsid w:val="01AF70E0"/>
    <w:rsid w:val="01CE1437"/>
    <w:rsid w:val="01DD59FB"/>
    <w:rsid w:val="01EE5E5A"/>
    <w:rsid w:val="01EE7455"/>
    <w:rsid w:val="0204110C"/>
    <w:rsid w:val="02063AB2"/>
    <w:rsid w:val="02210598"/>
    <w:rsid w:val="0233386D"/>
    <w:rsid w:val="025913EA"/>
    <w:rsid w:val="02AD361F"/>
    <w:rsid w:val="02BE1699"/>
    <w:rsid w:val="02DE7C7D"/>
    <w:rsid w:val="02E80AFB"/>
    <w:rsid w:val="02EA4873"/>
    <w:rsid w:val="02F62AAB"/>
    <w:rsid w:val="03192A63"/>
    <w:rsid w:val="032F6F45"/>
    <w:rsid w:val="03343D40"/>
    <w:rsid w:val="0368705F"/>
    <w:rsid w:val="037153A5"/>
    <w:rsid w:val="038F6065"/>
    <w:rsid w:val="03AF786B"/>
    <w:rsid w:val="03FE7EAB"/>
    <w:rsid w:val="04082AB1"/>
    <w:rsid w:val="045D1075"/>
    <w:rsid w:val="04675A50"/>
    <w:rsid w:val="046B5540"/>
    <w:rsid w:val="047A1C27"/>
    <w:rsid w:val="049F7370"/>
    <w:rsid w:val="04DA0918"/>
    <w:rsid w:val="053242B0"/>
    <w:rsid w:val="055C3532"/>
    <w:rsid w:val="05742AC8"/>
    <w:rsid w:val="057B5C57"/>
    <w:rsid w:val="05816FE5"/>
    <w:rsid w:val="05A625A8"/>
    <w:rsid w:val="05B760B1"/>
    <w:rsid w:val="05B76E9D"/>
    <w:rsid w:val="05BC16D1"/>
    <w:rsid w:val="05C018BB"/>
    <w:rsid w:val="05D44C82"/>
    <w:rsid w:val="060043AE"/>
    <w:rsid w:val="0608494D"/>
    <w:rsid w:val="060F00ED"/>
    <w:rsid w:val="06352F05"/>
    <w:rsid w:val="063E7D85"/>
    <w:rsid w:val="064F3871"/>
    <w:rsid w:val="068B1EC9"/>
    <w:rsid w:val="069265E6"/>
    <w:rsid w:val="069F4B8B"/>
    <w:rsid w:val="06C07699"/>
    <w:rsid w:val="0701086C"/>
    <w:rsid w:val="0701218C"/>
    <w:rsid w:val="070875E0"/>
    <w:rsid w:val="071E42E2"/>
    <w:rsid w:val="07293586"/>
    <w:rsid w:val="07295285"/>
    <w:rsid w:val="07667FF2"/>
    <w:rsid w:val="076D3380"/>
    <w:rsid w:val="07770C56"/>
    <w:rsid w:val="0784374B"/>
    <w:rsid w:val="07A53B7C"/>
    <w:rsid w:val="07E15B19"/>
    <w:rsid w:val="07FF7FD8"/>
    <w:rsid w:val="082D09E7"/>
    <w:rsid w:val="08326375"/>
    <w:rsid w:val="08362309"/>
    <w:rsid w:val="08444585"/>
    <w:rsid w:val="084A5DB4"/>
    <w:rsid w:val="08D8516E"/>
    <w:rsid w:val="08E51639"/>
    <w:rsid w:val="0908041B"/>
    <w:rsid w:val="091D7025"/>
    <w:rsid w:val="09201271"/>
    <w:rsid w:val="092217DD"/>
    <w:rsid w:val="09290A37"/>
    <w:rsid w:val="092C701D"/>
    <w:rsid w:val="092F1E34"/>
    <w:rsid w:val="093A7294"/>
    <w:rsid w:val="094367B3"/>
    <w:rsid w:val="09447E96"/>
    <w:rsid w:val="0955733C"/>
    <w:rsid w:val="0958005D"/>
    <w:rsid w:val="0980684D"/>
    <w:rsid w:val="09AD2157"/>
    <w:rsid w:val="09C474A0"/>
    <w:rsid w:val="09D96BC8"/>
    <w:rsid w:val="09E11F77"/>
    <w:rsid w:val="09F61D50"/>
    <w:rsid w:val="0A406160"/>
    <w:rsid w:val="0A7D4828"/>
    <w:rsid w:val="0A912212"/>
    <w:rsid w:val="0AD5440A"/>
    <w:rsid w:val="0B0E131B"/>
    <w:rsid w:val="0B160A76"/>
    <w:rsid w:val="0B1701D0"/>
    <w:rsid w:val="0B4E34C6"/>
    <w:rsid w:val="0B505490"/>
    <w:rsid w:val="0B5730A8"/>
    <w:rsid w:val="0BC9324D"/>
    <w:rsid w:val="0BCA00DC"/>
    <w:rsid w:val="0BD27BF6"/>
    <w:rsid w:val="0BFA2261"/>
    <w:rsid w:val="0BFB189F"/>
    <w:rsid w:val="0C2D3A23"/>
    <w:rsid w:val="0C51279F"/>
    <w:rsid w:val="0C782EF0"/>
    <w:rsid w:val="0CB47CA0"/>
    <w:rsid w:val="0CC20F2F"/>
    <w:rsid w:val="0CDA7707"/>
    <w:rsid w:val="0CDF2F6F"/>
    <w:rsid w:val="0CF74077"/>
    <w:rsid w:val="0D0E6197"/>
    <w:rsid w:val="0D5D5C42"/>
    <w:rsid w:val="0D6375DA"/>
    <w:rsid w:val="0D672E30"/>
    <w:rsid w:val="0D6A4FC9"/>
    <w:rsid w:val="0DA73361"/>
    <w:rsid w:val="0DC56A5D"/>
    <w:rsid w:val="0DD61012"/>
    <w:rsid w:val="0DF63ED1"/>
    <w:rsid w:val="0E110D06"/>
    <w:rsid w:val="0E1837F4"/>
    <w:rsid w:val="0E4A08BC"/>
    <w:rsid w:val="0E625C06"/>
    <w:rsid w:val="0EA50F6A"/>
    <w:rsid w:val="0EB21FBD"/>
    <w:rsid w:val="0EB45D35"/>
    <w:rsid w:val="0EDF0ACC"/>
    <w:rsid w:val="0EEE4032"/>
    <w:rsid w:val="0EFD148A"/>
    <w:rsid w:val="0F13775A"/>
    <w:rsid w:val="0F2360F9"/>
    <w:rsid w:val="0F3B6457"/>
    <w:rsid w:val="0F517A28"/>
    <w:rsid w:val="0F694D72"/>
    <w:rsid w:val="0F73799F"/>
    <w:rsid w:val="0F986232"/>
    <w:rsid w:val="0F9A112B"/>
    <w:rsid w:val="0FDF2F6F"/>
    <w:rsid w:val="0FFD3863"/>
    <w:rsid w:val="10305E2E"/>
    <w:rsid w:val="103D3938"/>
    <w:rsid w:val="10482BD9"/>
    <w:rsid w:val="104F3F68"/>
    <w:rsid w:val="106D2F64"/>
    <w:rsid w:val="10780FD8"/>
    <w:rsid w:val="108D2CE2"/>
    <w:rsid w:val="10B63710"/>
    <w:rsid w:val="10B661A8"/>
    <w:rsid w:val="10C00446"/>
    <w:rsid w:val="111C2F7A"/>
    <w:rsid w:val="112F5B47"/>
    <w:rsid w:val="113013DE"/>
    <w:rsid w:val="11382C4E"/>
    <w:rsid w:val="11401B02"/>
    <w:rsid w:val="1143501A"/>
    <w:rsid w:val="11576D6C"/>
    <w:rsid w:val="11E41CBE"/>
    <w:rsid w:val="11E46932"/>
    <w:rsid w:val="120079DA"/>
    <w:rsid w:val="1214120C"/>
    <w:rsid w:val="122B06C2"/>
    <w:rsid w:val="124B1167"/>
    <w:rsid w:val="12665599"/>
    <w:rsid w:val="127756E9"/>
    <w:rsid w:val="129B0E0E"/>
    <w:rsid w:val="12B04A66"/>
    <w:rsid w:val="12BE6EB0"/>
    <w:rsid w:val="12C0739F"/>
    <w:rsid w:val="12CD73C6"/>
    <w:rsid w:val="12D017F3"/>
    <w:rsid w:val="12F82894"/>
    <w:rsid w:val="12F92BFB"/>
    <w:rsid w:val="13021765"/>
    <w:rsid w:val="131274CE"/>
    <w:rsid w:val="133A2F95"/>
    <w:rsid w:val="133D4C82"/>
    <w:rsid w:val="134F24D1"/>
    <w:rsid w:val="135F1D64"/>
    <w:rsid w:val="13835FBC"/>
    <w:rsid w:val="13951726"/>
    <w:rsid w:val="13AA0600"/>
    <w:rsid w:val="13AE369B"/>
    <w:rsid w:val="13BB6555"/>
    <w:rsid w:val="13C07276"/>
    <w:rsid w:val="13DA182D"/>
    <w:rsid w:val="13F34767"/>
    <w:rsid w:val="13FD017F"/>
    <w:rsid w:val="140137CB"/>
    <w:rsid w:val="140E7E0D"/>
    <w:rsid w:val="14153E12"/>
    <w:rsid w:val="14327E28"/>
    <w:rsid w:val="14396509"/>
    <w:rsid w:val="143C4803"/>
    <w:rsid w:val="1447165C"/>
    <w:rsid w:val="14641516"/>
    <w:rsid w:val="147746BC"/>
    <w:rsid w:val="147F6DE6"/>
    <w:rsid w:val="149411FE"/>
    <w:rsid w:val="149A59CD"/>
    <w:rsid w:val="14AF514A"/>
    <w:rsid w:val="14FB26F4"/>
    <w:rsid w:val="1574489B"/>
    <w:rsid w:val="15867CCA"/>
    <w:rsid w:val="15A30C01"/>
    <w:rsid w:val="15D32F45"/>
    <w:rsid w:val="15FA088E"/>
    <w:rsid w:val="163D2AB4"/>
    <w:rsid w:val="16484E9E"/>
    <w:rsid w:val="16970417"/>
    <w:rsid w:val="16F4374F"/>
    <w:rsid w:val="171C4DC0"/>
    <w:rsid w:val="171E28E6"/>
    <w:rsid w:val="175B1444"/>
    <w:rsid w:val="17735226"/>
    <w:rsid w:val="1791130A"/>
    <w:rsid w:val="17970792"/>
    <w:rsid w:val="17A5171C"/>
    <w:rsid w:val="17AC7EF2"/>
    <w:rsid w:val="18235059"/>
    <w:rsid w:val="18463EA2"/>
    <w:rsid w:val="18747ECC"/>
    <w:rsid w:val="18C4126B"/>
    <w:rsid w:val="18DE512C"/>
    <w:rsid w:val="18EE496B"/>
    <w:rsid w:val="198A4263"/>
    <w:rsid w:val="198C73DB"/>
    <w:rsid w:val="199333D3"/>
    <w:rsid w:val="199C5D44"/>
    <w:rsid w:val="19A40A22"/>
    <w:rsid w:val="19BB08C0"/>
    <w:rsid w:val="19D90D46"/>
    <w:rsid w:val="1A0F4768"/>
    <w:rsid w:val="1A1C66C0"/>
    <w:rsid w:val="1A345F7C"/>
    <w:rsid w:val="1A42393B"/>
    <w:rsid w:val="1A5814EC"/>
    <w:rsid w:val="1A6812F3"/>
    <w:rsid w:val="1A710931"/>
    <w:rsid w:val="1A7B12E8"/>
    <w:rsid w:val="1AB05F4B"/>
    <w:rsid w:val="1B046F80"/>
    <w:rsid w:val="1B154000"/>
    <w:rsid w:val="1B3267B5"/>
    <w:rsid w:val="1B3F107D"/>
    <w:rsid w:val="1B454C07"/>
    <w:rsid w:val="1B586AD4"/>
    <w:rsid w:val="1B762CF0"/>
    <w:rsid w:val="1B950C9D"/>
    <w:rsid w:val="1B997D1F"/>
    <w:rsid w:val="1BC11C9F"/>
    <w:rsid w:val="1BC25DC8"/>
    <w:rsid w:val="1C1B5646"/>
    <w:rsid w:val="1C1C324D"/>
    <w:rsid w:val="1C5E7925"/>
    <w:rsid w:val="1C7D1E5D"/>
    <w:rsid w:val="1C7E04C3"/>
    <w:rsid w:val="1C887FC8"/>
    <w:rsid w:val="1C961170"/>
    <w:rsid w:val="1C971E02"/>
    <w:rsid w:val="1CAA358D"/>
    <w:rsid w:val="1CB62A2F"/>
    <w:rsid w:val="1CFF0E50"/>
    <w:rsid w:val="1D3A1AFC"/>
    <w:rsid w:val="1D5D2BCC"/>
    <w:rsid w:val="1D5F6196"/>
    <w:rsid w:val="1D6132A5"/>
    <w:rsid w:val="1D8E56D5"/>
    <w:rsid w:val="1DCD7725"/>
    <w:rsid w:val="1DD412D3"/>
    <w:rsid w:val="1DDE2DCF"/>
    <w:rsid w:val="1E0F34E6"/>
    <w:rsid w:val="1E3A5AE5"/>
    <w:rsid w:val="1E4E66B3"/>
    <w:rsid w:val="1E4E75BB"/>
    <w:rsid w:val="1E68497F"/>
    <w:rsid w:val="1E7A43DA"/>
    <w:rsid w:val="1E8F5E77"/>
    <w:rsid w:val="1EA55092"/>
    <w:rsid w:val="1EB277FE"/>
    <w:rsid w:val="1EC15732"/>
    <w:rsid w:val="1F485739"/>
    <w:rsid w:val="1F662BDE"/>
    <w:rsid w:val="1F7F5EEC"/>
    <w:rsid w:val="1F8B61E1"/>
    <w:rsid w:val="1FB1793F"/>
    <w:rsid w:val="1FBF089C"/>
    <w:rsid w:val="1FE7539E"/>
    <w:rsid w:val="200F7270"/>
    <w:rsid w:val="20140D2A"/>
    <w:rsid w:val="204213F3"/>
    <w:rsid w:val="20442FE5"/>
    <w:rsid w:val="20542ED4"/>
    <w:rsid w:val="20935200"/>
    <w:rsid w:val="20963CB8"/>
    <w:rsid w:val="20A200E4"/>
    <w:rsid w:val="20AA343C"/>
    <w:rsid w:val="20AC4ABE"/>
    <w:rsid w:val="20B07FB6"/>
    <w:rsid w:val="20B160A6"/>
    <w:rsid w:val="20BE3057"/>
    <w:rsid w:val="20DC0176"/>
    <w:rsid w:val="20FA7F20"/>
    <w:rsid w:val="20FC3C98"/>
    <w:rsid w:val="2127683B"/>
    <w:rsid w:val="213B74B1"/>
    <w:rsid w:val="214E314D"/>
    <w:rsid w:val="215A2310"/>
    <w:rsid w:val="215C08E6"/>
    <w:rsid w:val="216435EB"/>
    <w:rsid w:val="21645399"/>
    <w:rsid w:val="21704269"/>
    <w:rsid w:val="21A1039B"/>
    <w:rsid w:val="21A514D3"/>
    <w:rsid w:val="21B537B5"/>
    <w:rsid w:val="21CD1190"/>
    <w:rsid w:val="21DB5880"/>
    <w:rsid w:val="21DE318A"/>
    <w:rsid w:val="21EF5B80"/>
    <w:rsid w:val="21FA58BD"/>
    <w:rsid w:val="22117A9B"/>
    <w:rsid w:val="223B07F0"/>
    <w:rsid w:val="22576990"/>
    <w:rsid w:val="229C4EAB"/>
    <w:rsid w:val="22BA0B2D"/>
    <w:rsid w:val="22C30F5F"/>
    <w:rsid w:val="2312270F"/>
    <w:rsid w:val="232F3335"/>
    <w:rsid w:val="234D4CE0"/>
    <w:rsid w:val="23675615"/>
    <w:rsid w:val="2375203C"/>
    <w:rsid w:val="23B245A0"/>
    <w:rsid w:val="23D231B8"/>
    <w:rsid w:val="240732CD"/>
    <w:rsid w:val="24150BCD"/>
    <w:rsid w:val="241A61E3"/>
    <w:rsid w:val="243F5C4A"/>
    <w:rsid w:val="24443260"/>
    <w:rsid w:val="247E4225"/>
    <w:rsid w:val="2497134E"/>
    <w:rsid w:val="24A17EF1"/>
    <w:rsid w:val="24A24B56"/>
    <w:rsid w:val="24AB32DF"/>
    <w:rsid w:val="24F46A34"/>
    <w:rsid w:val="24F627AC"/>
    <w:rsid w:val="25072C0B"/>
    <w:rsid w:val="25257535"/>
    <w:rsid w:val="252D53FE"/>
    <w:rsid w:val="25A95A70"/>
    <w:rsid w:val="25C96113"/>
    <w:rsid w:val="25EC2D81"/>
    <w:rsid w:val="25F56F08"/>
    <w:rsid w:val="25F66486"/>
    <w:rsid w:val="25FA451E"/>
    <w:rsid w:val="25FC6F8D"/>
    <w:rsid w:val="262F62F3"/>
    <w:rsid w:val="264528BD"/>
    <w:rsid w:val="265956E8"/>
    <w:rsid w:val="26836A3F"/>
    <w:rsid w:val="26F4790B"/>
    <w:rsid w:val="27070CA1"/>
    <w:rsid w:val="270A6CA4"/>
    <w:rsid w:val="271B0BF0"/>
    <w:rsid w:val="27291A5F"/>
    <w:rsid w:val="272C6959"/>
    <w:rsid w:val="27617694"/>
    <w:rsid w:val="27716366"/>
    <w:rsid w:val="27785A4A"/>
    <w:rsid w:val="27D15DD1"/>
    <w:rsid w:val="27E50111"/>
    <w:rsid w:val="27FC3F2C"/>
    <w:rsid w:val="28387C61"/>
    <w:rsid w:val="28A1537A"/>
    <w:rsid w:val="28A76295"/>
    <w:rsid w:val="29206EB8"/>
    <w:rsid w:val="29862F84"/>
    <w:rsid w:val="2994639C"/>
    <w:rsid w:val="29B95B6D"/>
    <w:rsid w:val="29D30A87"/>
    <w:rsid w:val="29E325E0"/>
    <w:rsid w:val="29EC23D0"/>
    <w:rsid w:val="2A125F97"/>
    <w:rsid w:val="2A452503"/>
    <w:rsid w:val="2A4F1336"/>
    <w:rsid w:val="2ABA427C"/>
    <w:rsid w:val="2B1F26F1"/>
    <w:rsid w:val="2B255B99"/>
    <w:rsid w:val="2B3109E2"/>
    <w:rsid w:val="2BA936A8"/>
    <w:rsid w:val="2BB60EE7"/>
    <w:rsid w:val="2BC628A0"/>
    <w:rsid w:val="2BDD2CAA"/>
    <w:rsid w:val="2BFE0BB6"/>
    <w:rsid w:val="2C077995"/>
    <w:rsid w:val="2C0E0D23"/>
    <w:rsid w:val="2C1A3224"/>
    <w:rsid w:val="2C1F4CDE"/>
    <w:rsid w:val="2C315A5A"/>
    <w:rsid w:val="2C6C39E1"/>
    <w:rsid w:val="2C6D2EC3"/>
    <w:rsid w:val="2C872BAE"/>
    <w:rsid w:val="2C8C0612"/>
    <w:rsid w:val="2C985221"/>
    <w:rsid w:val="2C98683F"/>
    <w:rsid w:val="2CA451E4"/>
    <w:rsid w:val="2CA46ACC"/>
    <w:rsid w:val="2CB03539"/>
    <w:rsid w:val="2CD930DF"/>
    <w:rsid w:val="2CF47537"/>
    <w:rsid w:val="2D10487F"/>
    <w:rsid w:val="2D9E56F5"/>
    <w:rsid w:val="2DA27975"/>
    <w:rsid w:val="2DA749AB"/>
    <w:rsid w:val="2DCE52B0"/>
    <w:rsid w:val="2E2C36E3"/>
    <w:rsid w:val="2E2E2FB7"/>
    <w:rsid w:val="2E5F529F"/>
    <w:rsid w:val="2E667F96"/>
    <w:rsid w:val="2E8226AB"/>
    <w:rsid w:val="2E8A1071"/>
    <w:rsid w:val="2E903886"/>
    <w:rsid w:val="2E9077CD"/>
    <w:rsid w:val="2E993699"/>
    <w:rsid w:val="2E9B6172"/>
    <w:rsid w:val="2F187F27"/>
    <w:rsid w:val="2F363C4A"/>
    <w:rsid w:val="2F410D5D"/>
    <w:rsid w:val="2F4112C8"/>
    <w:rsid w:val="2F832C79"/>
    <w:rsid w:val="2FAA2E8A"/>
    <w:rsid w:val="2FAA7FCD"/>
    <w:rsid w:val="2FBC1B76"/>
    <w:rsid w:val="2FD51E50"/>
    <w:rsid w:val="2FEB7E18"/>
    <w:rsid w:val="2FEF1586"/>
    <w:rsid w:val="2FEF2D58"/>
    <w:rsid w:val="2FF71A70"/>
    <w:rsid w:val="302452A5"/>
    <w:rsid w:val="303074BA"/>
    <w:rsid w:val="303E0430"/>
    <w:rsid w:val="30537797"/>
    <w:rsid w:val="30580BC9"/>
    <w:rsid w:val="30820F90"/>
    <w:rsid w:val="308F6DCB"/>
    <w:rsid w:val="309D7DAF"/>
    <w:rsid w:val="30B05F05"/>
    <w:rsid w:val="30F878AC"/>
    <w:rsid w:val="31126BC0"/>
    <w:rsid w:val="311E2ED7"/>
    <w:rsid w:val="311E37B6"/>
    <w:rsid w:val="313905F0"/>
    <w:rsid w:val="3144434D"/>
    <w:rsid w:val="31576CC8"/>
    <w:rsid w:val="315C449C"/>
    <w:rsid w:val="31B82709"/>
    <w:rsid w:val="31BA1F94"/>
    <w:rsid w:val="31C756D3"/>
    <w:rsid w:val="31F34273"/>
    <w:rsid w:val="3207424B"/>
    <w:rsid w:val="320D6F09"/>
    <w:rsid w:val="32400B34"/>
    <w:rsid w:val="324A7048"/>
    <w:rsid w:val="32986657"/>
    <w:rsid w:val="329E6876"/>
    <w:rsid w:val="32AE5AB2"/>
    <w:rsid w:val="32E67E0B"/>
    <w:rsid w:val="331704BD"/>
    <w:rsid w:val="333378C0"/>
    <w:rsid w:val="33337C2B"/>
    <w:rsid w:val="333550AA"/>
    <w:rsid w:val="3355548A"/>
    <w:rsid w:val="33757F5F"/>
    <w:rsid w:val="338F567E"/>
    <w:rsid w:val="33D934D4"/>
    <w:rsid w:val="33ED29C2"/>
    <w:rsid w:val="33FE2F6A"/>
    <w:rsid w:val="341E0659"/>
    <w:rsid w:val="347128CF"/>
    <w:rsid w:val="34CE2DFE"/>
    <w:rsid w:val="34DA5C46"/>
    <w:rsid w:val="34DF7C84"/>
    <w:rsid w:val="34FF407A"/>
    <w:rsid w:val="35274DC3"/>
    <w:rsid w:val="35447564"/>
    <w:rsid w:val="354C4FFC"/>
    <w:rsid w:val="355459CA"/>
    <w:rsid w:val="355D23D3"/>
    <w:rsid w:val="355D67FF"/>
    <w:rsid w:val="355F439E"/>
    <w:rsid w:val="358A48E5"/>
    <w:rsid w:val="35A63D7A"/>
    <w:rsid w:val="35BA06F3"/>
    <w:rsid w:val="3603072D"/>
    <w:rsid w:val="36070CBD"/>
    <w:rsid w:val="36074A7F"/>
    <w:rsid w:val="36274EBB"/>
    <w:rsid w:val="362D1DA6"/>
    <w:rsid w:val="3675669D"/>
    <w:rsid w:val="36923549"/>
    <w:rsid w:val="36AA560A"/>
    <w:rsid w:val="36B75FBF"/>
    <w:rsid w:val="36D8775A"/>
    <w:rsid w:val="36E44B5A"/>
    <w:rsid w:val="36FB4891"/>
    <w:rsid w:val="37240323"/>
    <w:rsid w:val="37256F21"/>
    <w:rsid w:val="372B460D"/>
    <w:rsid w:val="373A3C71"/>
    <w:rsid w:val="374B7B6D"/>
    <w:rsid w:val="37710A72"/>
    <w:rsid w:val="37857B55"/>
    <w:rsid w:val="37916D8F"/>
    <w:rsid w:val="3799592E"/>
    <w:rsid w:val="37AB38CA"/>
    <w:rsid w:val="38644FEF"/>
    <w:rsid w:val="387A5F6E"/>
    <w:rsid w:val="38883C0B"/>
    <w:rsid w:val="38984519"/>
    <w:rsid w:val="38B62D25"/>
    <w:rsid w:val="38D46E50"/>
    <w:rsid w:val="38E71381"/>
    <w:rsid w:val="38F12CD3"/>
    <w:rsid w:val="38F94775"/>
    <w:rsid w:val="38FA6F04"/>
    <w:rsid w:val="392971ED"/>
    <w:rsid w:val="393C6CAE"/>
    <w:rsid w:val="393F076E"/>
    <w:rsid w:val="39C24EFB"/>
    <w:rsid w:val="39C72511"/>
    <w:rsid w:val="3A26548A"/>
    <w:rsid w:val="3A58285D"/>
    <w:rsid w:val="3A712BA9"/>
    <w:rsid w:val="3A751F6D"/>
    <w:rsid w:val="3A8071B4"/>
    <w:rsid w:val="3A8328DC"/>
    <w:rsid w:val="3ACC532D"/>
    <w:rsid w:val="3B003F2D"/>
    <w:rsid w:val="3B084B8F"/>
    <w:rsid w:val="3B3763D1"/>
    <w:rsid w:val="3B533783"/>
    <w:rsid w:val="3B5E2A01"/>
    <w:rsid w:val="3B660234"/>
    <w:rsid w:val="3B9D352A"/>
    <w:rsid w:val="3BA725FA"/>
    <w:rsid w:val="3BA951BE"/>
    <w:rsid w:val="3BAB0EC3"/>
    <w:rsid w:val="3C1F4887"/>
    <w:rsid w:val="3C990195"/>
    <w:rsid w:val="3CB03869"/>
    <w:rsid w:val="3CC24B73"/>
    <w:rsid w:val="3CD1792F"/>
    <w:rsid w:val="3CDA245A"/>
    <w:rsid w:val="3CDE038F"/>
    <w:rsid w:val="3CE422AF"/>
    <w:rsid w:val="3CEE0A37"/>
    <w:rsid w:val="3D294DA2"/>
    <w:rsid w:val="3D762284"/>
    <w:rsid w:val="3D95479C"/>
    <w:rsid w:val="3D9E3DE0"/>
    <w:rsid w:val="3DA2751D"/>
    <w:rsid w:val="3DAB4624"/>
    <w:rsid w:val="3DCD032B"/>
    <w:rsid w:val="3DF633C5"/>
    <w:rsid w:val="3E104487"/>
    <w:rsid w:val="3E1C2375"/>
    <w:rsid w:val="3E687239"/>
    <w:rsid w:val="3E877EFE"/>
    <w:rsid w:val="3ED53137"/>
    <w:rsid w:val="3ED837BA"/>
    <w:rsid w:val="3EEF0540"/>
    <w:rsid w:val="3EEF6FFF"/>
    <w:rsid w:val="3F0F2990"/>
    <w:rsid w:val="3F2724A8"/>
    <w:rsid w:val="3F346C78"/>
    <w:rsid w:val="3F4C79EE"/>
    <w:rsid w:val="3F5C0A85"/>
    <w:rsid w:val="3F660E74"/>
    <w:rsid w:val="3FB452E6"/>
    <w:rsid w:val="3FB611F8"/>
    <w:rsid w:val="3FC25C55"/>
    <w:rsid w:val="3FE50A1C"/>
    <w:rsid w:val="400A6CD0"/>
    <w:rsid w:val="400C5E08"/>
    <w:rsid w:val="400D6B20"/>
    <w:rsid w:val="400D744B"/>
    <w:rsid w:val="400E07FB"/>
    <w:rsid w:val="401C5365"/>
    <w:rsid w:val="401D03DF"/>
    <w:rsid w:val="403A1C8F"/>
    <w:rsid w:val="40630DD7"/>
    <w:rsid w:val="40750F19"/>
    <w:rsid w:val="407928EC"/>
    <w:rsid w:val="407A6407"/>
    <w:rsid w:val="40907B01"/>
    <w:rsid w:val="40A35A86"/>
    <w:rsid w:val="40AA62D5"/>
    <w:rsid w:val="40B83C26"/>
    <w:rsid w:val="40BE466E"/>
    <w:rsid w:val="40CF4C1A"/>
    <w:rsid w:val="40E439A9"/>
    <w:rsid w:val="40E568A6"/>
    <w:rsid w:val="40EE06F9"/>
    <w:rsid w:val="412B15D8"/>
    <w:rsid w:val="412C22CF"/>
    <w:rsid w:val="416F3BBA"/>
    <w:rsid w:val="4188643F"/>
    <w:rsid w:val="41932F14"/>
    <w:rsid w:val="41974A06"/>
    <w:rsid w:val="41AF045B"/>
    <w:rsid w:val="41D170F5"/>
    <w:rsid w:val="41DE0A1F"/>
    <w:rsid w:val="42075BA1"/>
    <w:rsid w:val="423A3BCC"/>
    <w:rsid w:val="428E1E1E"/>
    <w:rsid w:val="429D442B"/>
    <w:rsid w:val="42AD499A"/>
    <w:rsid w:val="42BA3ABF"/>
    <w:rsid w:val="42F73E67"/>
    <w:rsid w:val="43222906"/>
    <w:rsid w:val="433A6FE6"/>
    <w:rsid w:val="43413334"/>
    <w:rsid w:val="4350713C"/>
    <w:rsid w:val="435B43F6"/>
    <w:rsid w:val="436653E0"/>
    <w:rsid w:val="436C4AB4"/>
    <w:rsid w:val="43B958AD"/>
    <w:rsid w:val="43C006FD"/>
    <w:rsid w:val="43D17563"/>
    <w:rsid w:val="43DD12AF"/>
    <w:rsid w:val="43E508A5"/>
    <w:rsid w:val="43FA3C0F"/>
    <w:rsid w:val="440D3A32"/>
    <w:rsid w:val="440F51E1"/>
    <w:rsid w:val="4470578F"/>
    <w:rsid w:val="44CD14E0"/>
    <w:rsid w:val="44EC71E6"/>
    <w:rsid w:val="44EE2E5B"/>
    <w:rsid w:val="45107462"/>
    <w:rsid w:val="45163349"/>
    <w:rsid w:val="453F38A4"/>
    <w:rsid w:val="458946E9"/>
    <w:rsid w:val="45E00A7B"/>
    <w:rsid w:val="45F30371"/>
    <w:rsid w:val="46431172"/>
    <w:rsid w:val="465975F0"/>
    <w:rsid w:val="465D0485"/>
    <w:rsid w:val="46715CDF"/>
    <w:rsid w:val="468F5299"/>
    <w:rsid w:val="46D955A7"/>
    <w:rsid w:val="46DA7D28"/>
    <w:rsid w:val="46DB2A5D"/>
    <w:rsid w:val="46EE5581"/>
    <w:rsid w:val="46F106CB"/>
    <w:rsid w:val="47133957"/>
    <w:rsid w:val="4779329E"/>
    <w:rsid w:val="478F238F"/>
    <w:rsid w:val="47A07E0C"/>
    <w:rsid w:val="47A8122C"/>
    <w:rsid w:val="47A81BD4"/>
    <w:rsid w:val="481700F5"/>
    <w:rsid w:val="48315726"/>
    <w:rsid w:val="48651873"/>
    <w:rsid w:val="4870272E"/>
    <w:rsid w:val="487C7DFF"/>
    <w:rsid w:val="488C5052"/>
    <w:rsid w:val="48A759E8"/>
    <w:rsid w:val="48C540C0"/>
    <w:rsid w:val="48DC62CB"/>
    <w:rsid w:val="49110E87"/>
    <w:rsid w:val="49310C32"/>
    <w:rsid w:val="494E6F71"/>
    <w:rsid w:val="495B713C"/>
    <w:rsid w:val="49843F7B"/>
    <w:rsid w:val="49DC7715"/>
    <w:rsid w:val="4A023139"/>
    <w:rsid w:val="4A1B668D"/>
    <w:rsid w:val="4A1E4B1A"/>
    <w:rsid w:val="4A365275"/>
    <w:rsid w:val="4A45370A"/>
    <w:rsid w:val="4A474C35"/>
    <w:rsid w:val="4A5714EB"/>
    <w:rsid w:val="4A7B576F"/>
    <w:rsid w:val="4A8478A5"/>
    <w:rsid w:val="4AC77625"/>
    <w:rsid w:val="4AE44CD1"/>
    <w:rsid w:val="4AF85222"/>
    <w:rsid w:val="4B320132"/>
    <w:rsid w:val="4B362C2A"/>
    <w:rsid w:val="4B5819E1"/>
    <w:rsid w:val="4B9C4805"/>
    <w:rsid w:val="4BAB1C93"/>
    <w:rsid w:val="4BB723E6"/>
    <w:rsid w:val="4BCA036B"/>
    <w:rsid w:val="4BE62CCB"/>
    <w:rsid w:val="4BFF4A93"/>
    <w:rsid w:val="4C0C793F"/>
    <w:rsid w:val="4C387FDA"/>
    <w:rsid w:val="4C4A0649"/>
    <w:rsid w:val="4C527F6F"/>
    <w:rsid w:val="4C96024D"/>
    <w:rsid w:val="4C9B3B4E"/>
    <w:rsid w:val="4CA00DF9"/>
    <w:rsid w:val="4CA41A82"/>
    <w:rsid w:val="4CB613F4"/>
    <w:rsid w:val="4CD40D75"/>
    <w:rsid w:val="4CE470D3"/>
    <w:rsid w:val="4D0A583C"/>
    <w:rsid w:val="4D1B78CA"/>
    <w:rsid w:val="4D36558C"/>
    <w:rsid w:val="4D4B6D7A"/>
    <w:rsid w:val="4D565C2E"/>
    <w:rsid w:val="4DBF2864"/>
    <w:rsid w:val="4DC91F90"/>
    <w:rsid w:val="4DE075E2"/>
    <w:rsid w:val="4DE1199C"/>
    <w:rsid w:val="4DE47F00"/>
    <w:rsid w:val="4DEC4FB0"/>
    <w:rsid w:val="4E075D8A"/>
    <w:rsid w:val="4E261AA5"/>
    <w:rsid w:val="4E38388D"/>
    <w:rsid w:val="4E451F2B"/>
    <w:rsid w:val="4E580571"/>
    <w:rsid w:val="4ED65279"/>
    <w:rsid w:val="4EEE26EB"/>
    <w:rsid w:val="4F056377"/>
    <w:rsid w:val="4F7561B8"/>
    <w:rsid w:val="4F7B48BD"/>
    <w:rsid w:val="4F8151E4"/>
    <w:rsid w:val="4F9939A1"/>
    <w:rsid w:val="4FC47104"/>
    <w:rsid w:val="4FC62A8C"/>
    <w:rsid w:val="4FE20F0D"/>
    <w:rsid w:val="501A73E7"/>
    <w:rsid w:val="50267B3A"/>
    <w:rsid w:val="50324731"/>
    <w:rsid w:val="50324875"/>
    <w:rsid w:val="5044111C"/>
    <w:rsid w:val="50497BF2"/>
    <w:rsid w:val="50504C4B"/>
    <w:rsid w:val="5080549C"/>
    <w:rsid w:val="509B03B4"/>
    <w:rsid w:val="509C6E7C"/>
    <w:rsid w:val="50A0169A"/>
    <w:rsid w:val="50E21CB3"/>
    <w:rsid w:val="513E0EB3"/>
    <w:rsid w:val="51556929"/>
    <w:rsid w:val="5162104E"/>
    <w:rsid w:val="516F0B4D"/>
    <w:rsid w:val="51903238"/>
    <w:rsid w:val="51A74CAA"/>
    <w:rsid w:val="51C4585C"/>
    <w:rsid w:val="51CC4711"/>
    <w:rsid w:val="51D610EC"/>
    <w:rsid w:val="52103093"/>
    <w:rsid w:val="52416EAD"/>
    <w:rsid w:val="524E35A7"/>
    <w:rsid w:val="52546BE0"/>
    <w:rsid w:val="52583DF3"/>
    <w:rsid w:val="5281374D"/>
    <w:rsid w:val="528B1ED6"/>
    <w:rsid w:val="5299437C"/>
    <w:rsid w:val="52B4767F"/>
    <w:rsid w:val="531A7E97"/>
    <w:rsid w:val="53395DD6"/>
    <w:rsid w:val="5349614D"/>
    <w:rsid w:val="53500DE1"/>
    <w:rsid w:val="53A039CC"/>
    <w:rsid w:val="53A1505A"/>
    <w:rsid w:val="53B84F4D"/>
    <w:rsid w:val="53C704CB"/>
    <w:rsid w:val="53F341D7"/>
    <w:rsid w:val="53F7133E"/>
    <w:rsid w:val="54063E08"/>
    <w:rsid w:val="543437E8"/>
    <w:rsid w:val="54387E3C"/>
    <w:rsid w:val="5459613F"/>
    <w:rsid w:val="54790B80"/>
    <w:rsid w:val="54E658DC"/>
    <w:rsid w:val="54FB77E7"/>
    <w:rsid w:val="557315FB"/>
    <w:rsid w:val="558B0235"/>
    <w:rsid w:val="559B174B"/>
    <w:rsid w:val="55AC288F"/>
    <w:rsid w:val="55B41744"/>
    <w:rsid w:val="55B826FF"/>
    <w:rsid w:val="55BA6C5E"/>
    <w:rsid w:val="55CE0CF4"/>
    <w:rsid w:val="55D342C0"/>
    <w:rsid w:val="55D81283"/>
    <w:rsid w:val="55F93BD0"/>
    <w:rsid w:val="56350AD7"/>
    <w:rsid w:val="565E46E5"/>
    <w:rsid w:val="56644413"/>
    <w:rsid w:val="567809C3"/>
    <w:rsid w:val="56836083"/>
    <w:rsid w:val="56861332"/>
    <w:rsid w:val="56A416CE"/>
    <w:rsid w:val="56B22A9C"/>
    <w:rsid w:val="56C43C09"/>
    <w:rsid w:val="56C63334"/>
    <w:rsid w:val="56C854A7"/>
    <w:rsid w:val="56E479CD"/>
    <w:rsid w:val="57014E5D"/>
    <w:rsid w:val="57016C0B"/>
    <w:rsid w:val="57296CE9"/>
    <w:rsid w:val="57392849"/>
    <w:rsid w:val="57613C4F"/>
    <w:rsid w:val="576D0CDC"/>
    <w:rsid w:val="577949F3"/>
    <w:rsid w:val="57843C61"/>
    <w:rsid w:val="57B72A76"/>
    <w:rsid w:val="57CC0FC7"/>
    <w:rsid w:val="58247055"/>
    <w:rsid w:val="587020A4"/>
    <w:rsid w:val="58893220"/>
    <w:rsid w:val="58ED3BC8"/>
    <w:rsid w:val="590B0E06"/>
    <w:rsid w:val="5915074C"/>
    <w:rsid w:val="5915699E"/>
    <w:rsid w:val="592D1F39"/>
    <w:rsid w:val="594F1EAF"/>
    <w:rsid w:val="59E3084A"/>
    <w:rsid w:val="59E446EB"/>
    <w:rsid w:val="59EF5441"/>
    <w:rsid w:val="59F12F67"/>
    <w:rsid w:val="5A36306F"/>
    <w:rsid w:val="5A382678"/>
    <w:rsid w:val="5A3C747D"/>
    <w:rsid w:val="5A7049B0"/>
    <w:rsid w:val="5AAC05F9"/>
    <w:rsid w:val="5AAF1AAA"/>
    <w:rsid w:val="5AB53F94"/>
    <w:rsid w:val="5ABE2233"/>
    <w:rsid w:val="5B276D18"/>
    <w:rsid w:val="5B57504B"/>
    <w:rsid w:val="5B9C5C71"/>
    <w:rsid w:val="5BD112A2"/>
    <w:rsid w:val="5BDC5041"/>
    <w:rsid w:val="5BDF5D95"/>
    <w:rsid w:val="5BFF1C79"/>
    <w:rsid w:val="5C003935"/>
    <w:rsid w:val="5C05719D"/>
    <w:rsid w:val="5C0E333F"/>
    <w:rsid w:val="5C1E200D"/>
    <w:rsid w:val="5C3D0947"/>
    <w:rsid w:val="5C915F61"/>
    <w:rsid w:val="5CB85FBE"/>
    <w:rsid w:val="5CC22998"/>
    <w:rsid w:val="5CC42BB4"/>
    <w:rsid w:val="5CCA5599"/>
    <w:rsid w:val="5CFB64E5"/>
    <w:rsid w:val="5D11431E"/>
    <w:rsid w:val="5D132369"/>
    <w:rsid w:val="5D1C04EB"/>
    <w:rsid w:val="5D551C37"/>
    <w:rsid w:val="5D6A375C"/>
    <w:rsid w:val="5D72616D"/>
    <w:rsid w:val="5D83481E"/>
    <w:rsid w:val="5D9F2CDA"/>
    <w:rsid w:val="5DBB0FAE"/>
    <w:rsid w:val="5DCA244C"/>
    <w:rsid w:val="5DE17C1F"/>
    <w:rsid w:val="5DE7127A"/>
    <w:rsid w:val="5DF87A0F"/>
    <w:rsid w:val="5E127950"/>
    <w:rsid w:val="5E317DD6"/>
    <w:rsid w:val="5E714CB3"/>
    <w:rsid w:val="5E86320C"/>
    <w:rsid w:val="5E8F2D4E"/>
    <w:rsid w:val="5EA05747"/>
    <w:rsid w:val="5EB83C58"/>
    <w:rsid w:val="5EBD12BD"/>
    <w:rsid w:val="5ED4433C"/>
    <w:rsid w:val="5F0932AE"/>
    <w:rsid w:val="5F0B4827"/>
    <w:rsid w:val="5F1A2B43"/>
    <w:rsid w:val="5F3A53B0"/>
    <w:rsid w:val="5F41345D"/>
    <w:rsid w:val="5FB104B5"/>
    <w:rsid w:val="5FB837BB"/>
    <w:rsid w:val="5FC86518"/>
    <w:rsid w:val="5FD56E87"/>
    <w:rsid w:val="5FF612D7"/>
    <w:rsid w:val="5FFB4B3F"/>
    <w:rsid w:val="603957F6"/>
    <w:rsid w:val="60471B32"/>
    <w:rsid w:val="604A33D1"/>
    <w:rsid w:val="60511DAC"/>
    <w:rsid w:val="60885CA7"/>
    <w:rsid w:val="60934F06"/>
    <w:rsid w:val="60990942"/>
    <w:rsid w:val="60A06F83"/>
    <w:rsid w:val="60BD61CF"/>
    <w:rsid w:val="60D77632"/>
    <w:rsid w:val="612C0D28"/>
    <w:rsid w:val="61333E65"/>
    <w:rsid w:val="613D1187"/>
    <w:rsid w:val="616808E3"/>
    <w:rsid w:val="616B35FF"/>
    <w:rsid w:val="61BB512B"/>
    <w:rsid w:val="61BF1B9C"/>
    <w:rsid w:val="61C34F67"/>
    <w:rsid w:val="61CE7315"/>
    <w:rsid w:val="61FD6C8C"/>
    <w:rsid w:val="62022DBF"/>
    <w:rsid w:val="62364782"/>
    <w:rsid w:val="623B56C7"/>
    <w:rsid w:val="62546789"/>
    <w:rsid w:val="62833FB4"/>
    <w:rsid w:val="628506F0"/>
    <w:rsid w:val="628F77C1"/>
    <w:rsid w:val="62A425F6"/>
    <w:rsid w:val="62AA66DA"/>
    <w:rsid w:val="62C82163"/>
    <w:rsid w:val="62E018F9"/>
    <w:rsid w:val="62E52CB5"/>
    <w:rsid w:val="630A6D34"/>
    <w:rsid w:val="633D546F"/>
    <w:rsid w:val="634E142A"/>
    <w:rsid w:val="63535476"/>
    <w:rsid w:val="638B7F88"/>
    <w:rsid w:val="63B149FB"/>
    <w:rsid w:val="63BE318B"/>
    <w:rsid w:val="63D3192F"/>
    <w:rsid w:val="63D40BE9"/>
    <w:rsid w:val="63E0211F"/>
    <w:rsid w:val="64011E50"/>
    <w:rsid w:val="64020B32"/>
    <w:rsid w:val="640F6E0B"/>
    <w:rsid w:val="641B57B0"/>
    <w:rsid w:val="6427160C"/>
    <w:rsid w:val="647C1FC7"/>
    <w:rsid w:val="648C045C"/>
    <w:rsid w:val="648E3D90"/>
    <w:rsid w:val="64C23E7D"/>
    <w:rsid w:val="64E85DAF"/>
    <w:rsid w:val="651D7306"/>
    <w:rsid w:val="652C12F7"/>
    <w:rsid w:val="65373578"/>
    <w:rsid w:val="65554CF2"/>
    <w:rsid w:val="656E2415"/>
    <w:rsid w:val="65D5198E"/>
    <w:rsid w:val="65ED4F2A"/>
    <w:rsid w:val="661A1A97"/>
    <w:rsid w:val="661F0E5C"/>
    <w:rsid w:val="662621EA"/>
    <w:rsid w:val="668F1B3D"/>
    <w:rsid w:val="66B42230"/>
    <w:rsid w:val="66D1485C"/>
    <w:rsid w:val="672229B1"/>
    <w:rsid w:val="673821D5"/>
    <w:rsid w:val="673F2C7A"/>
    <w:rsid w:val="67650D3E"/>
    <w:rsid w:val="676740FB"/>
    <w:rsid w:val="676C6322"/>
    <w:rsid w:val="6773145F"/>
    <w:rsid w:val="67AC671F"/>
    <w:rsid w:val="67BC10B3"/>
    <w:rsid w:val="67FB41E6"/>
    <w:rsid w:val="68183DB4"/>
    <w:rsid w:val="681F6961"/>
    <w:rsid w:val="683C6783"/>
    <w:rsid w:val="68610A2F"/>
    <w:rsid w:val="687C2595"/>
    <w:rsid w:val="68805514"/>
    <w:rsid w:val="68850646"/>
    <w:rsid w:val="689C16F1"/>
    <w:rsid w:val="68B11308"/>
    <w:rsid w:val="68C0149A"/>
    <w:rsid w:val="68DE648B"/>
    <w:rsid w:val="68EC5367"/>
    <w:rsid w:val="68F30B42"/>
    <w:rsid w:val="6908207B"/>
    <w:rsid w:val="694E2071"/>
    <w:rsid w:val="697A3B33"/>
    <w:rsid w:val="69825989"/>
    <w:rsid w:val="699E2456"/>
    <w:rsid w:val="6A25387A"/>
    <w:rsid w:val="6AD77F57"/>
    <w:rsid w:val="6AF042AC"/>
    <w:rsid w:val="6B272C8C"/>
    <w:rsid w:val="6B322639"/>
    <w:rsid w:val="6B347157"/>
    <w:rsid w:val="6B3727A3"/>
    <w:rsid w:val="6B431148"/>
    <w:rsid w:val="6B4D1AC4"/>
    <w:rsid w:val="6B695DE2"/>
    <w:rsid w:val="6B6E3EA3"/>
    <w:rsid w:val="6B6F63E1"/>
    <w:rsid w:val="6BD83F86"/>
    <w:rsid w:val="6BEE5558"/>
    <w:rsid w:val="6C1825D5"/>
    <w:rsid w:val="6C2140CC"/>
    <w:rsid w:val="6C3A69EF"/>
    <w:rsid w:val="6C636C38"/>
    <w:rsid w:val="6C663340"/>
    <w:rsid w:val="6C866D48"/>
    <w:rsid w:val="6C87087B"/>
    <w:rsid w:val="6C877A37"/>
    <w:rsid w:val="6CA64085"/>
    <w:rsid w:val="6CA83A15"/>
    <w:rsid w:val="6CAF7DAB"/>
    <w:rsid w:val="6CB93DB8"/>
    <w:rsid w:val="6CF248F1"/>
    <w:rsid w:val="6D0C7B36"/>
    <w:rsid w:val="6D464F20"/>
    <w:rsid w:val="6D793547"/>
    <w:rsid w:val="6D7970A3"/>
    <w:rsid w:val="6D7E290C"/>
    <w:rsid w:val="6D81609C"/>
    <w:rsid w:val="6DB34098"/>
    <w:rsid w:val="6DB545B6"/>
    <w:rsid w:val="6DCC18C9"/>
    <w:rsid w:val="6DE85CEA"/>
    <w:rsid w:val="6E1031EA"/>
    <w:rsid w:val="6E4375A0"/>
    <w:rsid w:val="6E514CED"/>
    <w:rsid w:val="6E5A0455"/>
    <w:rsid w:val="6E79491A"/>
    <w:rsid w:val="6EB563D5"/>
    <w:rsid w:val="6EC10D02"/>
    <w:rsid w:val="6ED01F84"/>
    <w:rsid w:val="6F1E43A6"/>
    <w:rsid w:val="6F225983"/>
    <w:rsid w:val="6F4B2CC1"/>
    <w:rsid w:val="6F8545BB"/>
    <w:rsid w:val="6F8F65CB"/>
    <w:rsid w:val="6FA42FFA"/>
    <w:rsid w:val="6FBF6E3C"/>
    <w:rsid w:val="6FC50CC6"/>
    <w:rsid w:val="6FCF56A0"/>
    <w:rsid w:val="6FFC5590"/>
    <w:rsid w:val="7013090D"/>
    <w:rsid w:val="70141305"/>
    <w:rsid w:val="702A0B29"/>
    <w:rsid w:val="70301DA3"/>
    <w:rsid w:val="7063058C"/>
    <w:rsid w:val="706D1DD0"/>
    <w:rsid w:val="70856B87"/>
    <w:rsid w:val="708C533F"/>
    <w:rsid w:val="70910BA8"/>
    <w:rsid w:val="709D59C5"/>
    <w:rsid w:val="70A06B84"/>
    <w:rsid w:val="70D527EE"/>
    <w:rsid w:val="70D947E1"/>
    <w:rsid w:val="70DC1E23"/>
    <w:rsid w:val="71235CA4"/>
    <w:rsid w:val="712C0858"/>
    <w:rsid w:val="7142463B"/>
    <w:rsid w:val="7148395C"/>
    <w:rsid w:val="71522FF8"/>
    <w:rsid w:val="715B5300"/>
    <w:rsid w:val="715F4BD7"/>
    <w:rsid w:val="716D33C3"/>
    <w:rsid w:val="717402AD"/>
    <w:rsid w:val="718E348E"/>
    <w:rsid w:val="71B92F56"/>
    <w:rsid w:val="71C254BD"/>
    <w:rsid w:val="71D27F8A"/>
    <w:rsid w:val="71D62D16"/>
    <w:rsid w:val="71F744C6"/>
    <w:rsid w:val="71F960CF"/>
    <w:rsid w:val="72031631"/>
    <w:rsid w:val="7205713C"/>
    <w:rsid w:val="72074B83"/>
    <w:rsid w:val="72195DA4"/>
    <w:rsid w:val="72233A82"/>
    <w:rsid w:val="724203AC"/>
    <w:rsid w:val="72623CB6"/>
    <w:rsid w:val="728E0759"/>
    <w:rsid w:val="72AD7B3D"/>
    <w:rsid w:val="72BD5C84"/>
    <w:rsid w:val="72BF7C4E"/>
    <w:rsid w:val="72F051C2"/>
    <w:rsid w:val="72F977B2"/>
    <w:rsid w:val="731F5D5E"/>
    <w:rsid w:val="734505C2"/>
    <w:rsid w:val="73594350"/>
    <w:rsid w:val="735E1215"/>
    <w:rsid w:val="73AF1A71"/>
    <w:rsid w:val="73D71A09"/>
    <w:rsid w:val="73DD7583"/>
    <w:rsid w:val="73FE0302"/>
    <w:rsid w:val="741E793C"/>
    <w:rsid w:val="744D4DE6"/>
    <w:rsid w:val="748702F8"/>
    <w:rsid w:val="74CE23CA"/>
    <w:rsid w:val="75023E22"/>
    <w:rsid w:val="75134281"/>
    <w:rsid w:val="753C0A3B"/>
    <w:rsid w:val="754E7067"/>
    <w:rsid w:val="758D75E2"/>
    <w:rsid w:val="75B6393A"/>
    <w:rsid w:val="75BA0B01"/>
    <w:rsid w:val="75DF6FC5"/>
    <w:rsid w:val="75E86FC4"/>
    <w:rsid w:val="761321A6"/>
    <w:rsid w:val="762B21A8"/>
    <w:rsid w:val="763F3CF2"/>
    <w:rsid w:val="76A21419"/>
    <w:rsid w:val="76EB38E3"/>
    <w:rsid w:val="76F0487A"/>
    <w:rsid w:val="76F36118"/>
    <w:rsid w:val="76F854DD"/>
    <w:rsid w:val="77195203"/>
    <w:rsid w:val="772E53A2"/>
    <w:rsid w:val="77334767"/>
    <w:rsid w:val="773C186D"/>
    <w:rsid w:val="775F2C73"/>
    <w:rsid w:val="77762421"/>
    <w:rsid w:val="77AB07A1"/>
    <w:rsid w:val="77D62BCB"/>
    <w:rsid w:val="77E86C88"/>
    <w:rsid w:val="780F09F4"/>
    <w:rsid w:val="782347DB"/>
    <w:rsid w:val="78250553"/>
    <w:rsid w:val="78482494"/>
    <w:rsid w:val="789C4F47"/>
    <w:rsid w:val="78A90480"/>
    <w:rsid w:val="78E60C20"/>
    <w:rsid w:val="78E7376A"/>
    <w:rsid w:val="78F47C2B"/>
    <w:rsid w:val="790E7239"/>
    <w:rsid w:val="793622EC"/>
    <w:rsid w:val="79811327"/>
    <w:rsid w:val="79AD31C2"/>
    <w:rsid w:val="79B25E17"/>
    <w:rsid w:val="79F3642F"/>
    <w:rsid w:val="79F90E16"/>
    <w:rsid w:val="79FC1690"/>
    <w:rsid w:val="7A0073B9"/>
    <w:rsid w:val="7A010B4C"/>
    <w:rsid w:val="7A1C773B"/>
    <w:rsid w:val="7A293BFF"/>
    <w:rsid w:val="7A364017"/>
    <w:rsid w:val="7A4B2370"/>
    <w:rsid w:val="7A4D63FD"/>
    <w:rsid w:val="7A8265E1"/>
    <w:rsid w:val="7AAC05DE"/>
    <w:rsid w:val="7AF144E1"/>
    <w:rsid w:val="7B263617"/>
    <w:rsid w:val="7B580C40"/>
    <w:rsid w:val="7B580DFE"/>
    <w:rsid w:val="7B686D42"/>
    <w:rsid w:val="7B841746"/>
    <w:rsid w:val="7B9F65A8"/>
    <w:rsid w:val="7BA7127F"/>
    <w:rsid w:val="7BB0282A"/>
    <w:rsid w:val="7BC57958"/>
    <w:rsid w:val="7BD76009"/>
    <w:rsid w:val="7BE73D72"/>
    <w:rsid w:val="7BEA130C"/>
    <w:rsid w:val="7BF354C3"/>
    <w:rsid w:val="7C0A7ACD"/>
    <w:rsid w:val="7C213223"/>
    <w:rsid w:val="7C5A3C73"/>
    <w:rsid w:val="7C606D66"/>
    <w:rsid w:val="7C683105"/>
    <w:rsid w:val="7C870E35"/>
    <w:rsid w:val="7C885555"/>
    <w:rsid w:val="7CF04D58"/>
    <w:rsid w:val="7CFB1883"/>
    <w:rsid w:val="7D0239FF"/>
    <w:rsid w:val="7D197F5B"/>
    <w:rsid w:val="7D1D5C9D"/>
    <w:rsid w:val="7D2D1788"/>
    <w:rsid w:val="7D5E40CD"/>
    <w:rsid w:val="7D693BED"/>
    <w:rsid w:val="7D834ED8"/>
    <w:rsid w:val="7DCE343B"/>
    <w:rsid w:val="7DF01BEF"/>
    <w:rsid w:val="7E0B01EB"/>
    <w:rsid w:val="7E492AC2"/>
    <w:rsid w:val="7E527BC8"/>
    <w:rsid w:val="7E663674"/>
    <w:rsid w:val="7E7A2C7B"/>
    <w:rsid w:val="7E7C5F29"/>
    <w:rsid w:val="7E9700A4"/>
    <w:rsid w:val="7EBC58F4"/>
    <w:rsid w:val="7EC108AA"/>
    <w:rsid w:val="7ED14241"/>
    <w:rsid w:val="7EE42F14"/>
    <w:rsid w:val="7EF42BFC"/>
    <w:rsid w:val="7EF47C62"/>
    <w:rsid w:val="7EFC7B34"/>
    <w:rsid w:val="7F2F3A66"/>
    <w:rsid w:val="7F3721B5"/>
    <w:rsid w:val="7F3C21FB"/>
    <w:rsid w:val="7F533FE1"/>
    <w:rsid w:val="7F6D09D2"/>
    <w:rsid w:val="7F6F6558"/>
    <w:rsid w:val="7F744857"/>
    <w:rsid w:val="7F8D74C2"/>
    <w:rsid w:val="7FD837E3"/>
    <w:rsid w:val="7FD83C6C"/>
    <w:rsid w:val="7FE47E50"/>
    <w:rsid w:val="7FEE212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unhideWhenUsed="0" w:uiPriority="0" w:semiHidden="0" w:name="heading 7"/>
    <w:lsdException w:unhideWhenUsed="0" w:uiPriority="0" w:semiHidden="0" w:name="heading 8"/>
    <w:lsdException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name="toc 2"/>
    <w:lsdException w:unhideWhenUsed="0" w:uiPriority="0" w:semiHidden="0" w:name="toc 3"/>
    <w:lsdException w:unhideWhenUsed="0" w:uiPriority="0" w:semiHidden="0" w:name="toc 4"/>
    <w:lsdException w:qFormat="1" w:unhideWhenUsed="0" w:uiPriority="39"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sdException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unhideWhenUsed/>
    <w:qFormat/>
    <w:uiPriority w:val="0"/>
    <w:pPr>
      <w:keepNext/>
      <w:keepLines/>
      <w:spacing w:before="260" w:after="260" w:line="415" w:lineRule="auto"/>
      <w:outlineLvl w:val="1"/>
    </w:pPr>
    <w:rPr>
      <w:rFonts w:ascii="Arial" w:hAnsi="Arial" w:eastAsia="黑体"/>
      <w:b/>
      <w:bCs/>
      <w:sz w:val="32"/>
      <w:szCs w:val="32"/>
    </w:rPr>
  </w:style>
  <w:style w:type="character" w:default="1" w:styleId="22">
    <w:name w:val="Default Paragraph Font"/>
    <w:semiHidden/>
    <w:qFormat/>
    <w:uiPriority w:val="0"/>
  </w:style>
  <w:style w:type="table" w:default="1" w:styleId="20">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3"/>
    <w:link w:val="27"/>
    <w:autoRedefine/>
    <w:qFormat/>
    <w:uiPriority w:val="0"/>
    <w:pPr>
      <w:widowControl/>
      <w:snapToGrid w:val="0"/>
      <w:spacing w:before="60" w:after="160" w:line="259" w:lineRule="auto"/>
      <w:ind w:right="113"/>
    </w:pPr>
    <w:rPr>
      <w:kern w:val="0"/>
      <w:sz w:val="18"/>
      <w:szCs w:val="18"/>
    </w:rPr>
  </w:style>
  <w:style w:type="paragraph" w:customStyle="1" w:styleId="3">
    <w:name w:val="Normal (Web)1"/>
    <w:basedOn w:val="1"/>
    <w:next w:val="4"/>
    <w:autoRedefine/>
    <w:qFormat/>
    <w:uiPriority w:val="99"/>
    <w:pPr>
      <w:widowControl/>
    </w:pPr>
    <w:rPr>
      <w:sz w:val="24"/>
      <w:szCs w:val="24"/>
    </w:rPr>
  </w:style>
  <w:style w:type="paragraph" w:customStyle="1" w:styleId="4">
    <w:name w:val="Date1"/>
    <w:basedOn w:val="1"/>
    <w:next w:val="1"/>
    <w:autoRedefine/>
    <w:qFormat/>
    <w:uiPriority w:val="99"/>
    <w:pPr>
      <w:ind w:left="2500" w:leftChars="2500"/>
    </w:pPr>
  </w:style>
  <w:style w:type="paragraph" w:styleId="7">
    <w:name w:val="annotation text"/>
    <w:basedOn w:val="1"/>
    <w:link w:val="36"/>
    <w:autoRedefine/>
    <w:semiHidden/>
    <w:qFormat/>
    <w:uiPriority w:val="0"/>
    <w:pPr>
      <w:jc w:val="left"/>
    </w:pPr>
    <w:rPr>
      <w:kern w:val="0"/>
      <w:sz w:val="20"/>
    </w:rPr>
  </w:style>
  <w:style w:type="paragraph" w:styleId="8">
    <w:name w:val="Body Text Indent"/>
    <w:basedOn w:val="1"/>
    <w:link w:val="38"/>
    <w:autoRedefine/>
    <w:semiHidden/>
    <w:qFormat/>
    <w:uiPriority w:val="0"/>
    <w:pPr>
      <w:spacing w:after="120"/>
      <w:ind w:left="420" w:leftChars="200"/>
    </w:pPr>
  </w:style>
  <w:style w:type="paragraph" w:styleId="9">
    <w:name w:val="toc 5"/>
    <w:basedOn w:val="1"/>
    <w:next w:val="1"/>
    <w:autoRedefine/>
    <w:qFormat/>
    <w:uiPriority w:val="39"/>
    <w:pPr>
      <w:ind w:left="1680" w:leftChars="800"/>
    </w:pPr>
  </w:style>
  <w:style w:type="paragraph" w:styleId="10">
    <w:name w:val="Date"/>
    <w:basedOn w:val="1"/>
    <w:next w:val="1"/>
    <w:link w:val="29"/>
    <w:autoRedefine/>
    <w:qFormat/>
    <w:uiPriority w:val="0"/>
    <w:pPr>
      <w:ind w:left="100" w:leftChars="2500"/>
    </w:pPr>
    <w:rPr>
      <w:kern w:val="0"/>
      <w:sz w:val="20"/>
    </w:rPr>
  </w:style>
  <w:style w:type="paragraph" w:styleId="11">
    <w:name w:val="Balloon Text"/>
    <w:basedOn w:val="1"/>
    <w:link w:val="35"/>
    <w:autoRedefine/>
    <w:semiHidden/>
    <w:qFormat/>
    <w:uiPriority w:val="0"/>
    <w:rPr>
      <w:sz w:val="18"/>
      <w:szCs w:val="18"/>
    </w:rPr>
  </w:style>
  <w:style w:type="paragraph" w:styleId="12">
    <w:name w:val="footer"/>
    <w:basedOn w:val="1"/>
    <w:link w:val="26"/>
    <w:autoRedefine/>
    <w:qFormat/>
    <w:uiPriority w:val="0"/>
    <w:pPr>
      <w:tabs>
        <w:tab w:val="center" w:pos="4153"/>
        <w:tab w:val="right" w:pos="8306"/>
      </w:tabs>
      <w:snapToGrid w:val="0"/>
      <w:jc w:val="left"/>
    </w:pPr>
    <w:rPr>
      <w:sz w:val="18"/>
      <w:szCs w:val="18"/>
    </w:rPr>
  </w:style>
  <w:style w:type="paragraph" w:styleId="13">
    <w:name w:val="header"/>
    <w:basedOn w:val="1"/>
    <w:link w:val="25"/>
    <w:autoRedefine/>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qFormat/>
    <w:uiPriority w:val="0"/>
  </w:style>
  <w:style w:type="paragraph" w:styleId="15">
    <w:name w:val="toc 2"/>
    <w:basedOn w:val="1"/>
    <w:next w:val="1"/>
    <w:autoRedefine/>
    <w:semiHidden/>
    <w:qFormat/>
    <w:uiPriority w:val="0"/>
    <w:pPr>
      <w:ind w:left="420" w:leftChars="200"/>
    </w:pPr>
  </w:style>
  <w:style w:type="paragraph" w:styleId="16">
    <w:name w:val="Message Header"/>
    <w:basedOn w:val="1"/>
    <w:autoRedefine/>
    <w:qFormat/>
    <w:uiPriority w:val="0"/>
    <w:pPr>
      <w:keepNext/>
      <w:pBdr>
        <w:top w:val="single" w:color="auto" w:sz="6" w:space="1"/>
        <w:left w:val="single" w:color="auto" w:sz="6" w:space="1"/>
        <w:bottom w:val="single" w:color="auto" w:sz="6" w:space="1"/>
        <w:right w:val="single" w:color="auto" w:sz="6" w:space="1"/>
      </w:pBdr>
      <w:shd w:val="pct20" w:color="auto" w:fill="auto"/>
      <w:spacing w:line="360" w:lineRule="auto"/>
      <w:ind w:left="1000" w:leftChars="500" w:hanging="500" w:hangingChars="500"/>
      <w:jc w:val="left"/>
    </w:pPr>
    <w:rPr>
      <w:rFonts w:ascii="Arial" w:hAnsi="Arial"/>
      <w:color w:val="000000"/>
      <w:kern w:val="0"/>
      <w:sz w:val="24"/>
      <w:szCs w:val="24"/>
      <w:lang w:val="zh-CN"/>
    </w:rPr>
  </w:style>
  <w:style w:type="paragraph" w:styleId="17">
    <w:name w:val="Normal (Web)"/>
    <w:basedOn w:val="1"/>
    <w:link w:val="28"/>
    <w:autoRedefine/>
    <w:qFormat/>
    <w:uiPriority w:val="0"/>
    <w:pPr>
      <w:widowControl/>
      <w:spacing w:before="100" w:beforeAutospacing="1" w:after="100" w:afterAutospacing="1"/>
      <w:jc w:val="left"/>
    </w:pPr>
    <w:rPr>
      <w:rFonts w:ascii="宋体" w:hAnsi="宋体"/>
      <w:kern w:val="0"/>
      <w:sz w:val="24"/>
    </w:rPr>
  </w:style>
  <w:style w:type="paragraph" w:styleId="18">
    <w:name w:val="annotation subject"/>
    <w:basedOn w:val="7"/>
    <w:next w:val="7"/>
    <w:link w:val="39"/>
    <w:autoRedefine/>
    <w:semiHidden/>
    <w:qFormat/>
    <w:uiPriority w:val="0"/>
    <w:rPr>
      <w:b/>
      <w:bCs/>
    </w:rPr>
  </w:style>
  <w:style w:type="paragraph" w:styleId="19">
    <w:name w:val="Body Text First Indent"/>
    <w:basedOn w:val="2"/>
    <w:next w:val="1"/>
    <w:autoRedefine/>
    <w:qFormat/>
    <w:uiPriority w:val="0"/>
    <w:pPr>
      <w:spacing w:line="440" w:lineRule="exact"/>
      <w:ind w:firstLine="504" w:firstLineChars="200"/>
    </w:pPr>
    <w:rPr>
      <w:spacing w:val="6"/>
      <w:sz w:val="24"/>
    </w:rPr>
  </w:style>
  <w:style w:type="table" w:styleId="21">
    <w:name w:val="Table Grid"/>
    <w:basedOn w:val="20"/>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autoRedefine/>
    <w:qFormat/>
    <w:uiPriority w:val="0"/>
  </w:style>
  <w:style w:type="character" w:styleId="24">
    <w:name w:val="annotation reference"/>
    <w:basedOn w:val="22"/>
    <w:autoRedefine/>
    <w:semiHidden/>
    <w:qFormat/>
    <w:uiPriority w:val="0"/>
    <w:rPr>
      <w:sz w:val="21"/>
    </w:rPr>
  </w:style>
  <w:style w:type="character" w:customStyle="1" w:styleId="25">
    <w:name w:val="Header Char"/>
    <w:basedOn w:val="22"/>
    <w:link w:val="13"/>
    <w:autoRedefine/>
    <w:qFormat/>
    <w:uiPriority w:val="0"/>
    <w:rPr>
      <w:rFonts w:cs="Times New Roman"/>
      <w:sz w:val="18"/>
      <w:szCs w:val="18"/>
    </w:rPr>
  </w:style>
  <w:style w:type="character" w:customStyle="1" w:styleId="26">
    <w:name w:val="Footer Char"/>
    <w:basedOn w:val="22"/>
    <w:link w:val="12"/>
    <w:autoRedefine/>
    <w:qFormat/>
    <w:uiPriority w:val="0"/>
    <w:rPr>
      <w:rFonts w:cs="Times New Roman"/>
      <w:sz w:val="18"/>
      <w:szCs w:val="18"/>
    </w:rPr>
  </w:style>
  <w:style w:type="character" w:customStyle="1" w:styleId="27">
    <w:name w:val="Body Text Char"/>
    <w:link w:val="2"/>
    <w:autoRedefine/>
    <w:qFormat/>
    <w:uiPriority w:val="0"/>
    <w:rPr>
      <w:sz w:val="18"/>
    </w:rPr>
  </w:style>
  <w:style w:type="character" w:customStyle="1" w:styleId="28">
    <w:name w:val="Normal (Web) Char"/>
    <w:link w:val="17"/>
    <w:autoRedefine/>
    <w:qFormat/>
    <w:uiPriority w:val="0"/>
    <w:rPr>
      <w:rFonts w:ascii="宋体" w:hAnsi="宋体" w:eastAsia="宋体"/>
      <w:sz w:val="24"/>
    </w:rPr>
  </w:style>
  <w:style w:type="character" w:customStyle="1" w:styleId="29">
    <w:name w:val="Date Char"/>
    <w:link w:val="10"/>
    <w:autoRedefine/>
    <w:qFormat/>
    <w:uiPriority w:val="0"/>
    <w:rPr>
      <w:rFonts w:ascii="Times New Roman" w:hAnsi="Times New Roman" w:eastAsia="宋体"/>
      <w:sz w:val="24"/>
    </w:rPr>
  </w:style>
  <w:style w:type="character" w:customStyle="1" w:styleId="30">
    <w:name w:val="日期 字符"/>
    <w:basedOn w:val="22"/>
    <w:semiHidden/>
    <w:qFormat/>
    <w:uiPriority w:val="0"/>
    <w:rPr>
      <w:rFonts w:ascii="Times New Roman" w:hAnsi="Times New Roman" w:eastAsia="宋体" w:cs="Times New Roman"/>
      <w:sz w:val="24"/>
      <w:szCs w:val="24"/>
    </w:rPr>
  </w:style>
  <w:style w:type="character" w:customStyle="1" w:styleId="31">
    <w:name w:val="正文文本 字符1"/>
    <w:basedOn w:val="22"/>
    <w:semiHidden/>
    <w:qFormat/>
    <w:uiPriority w:val="0"/>
    <w:rPr>
      <w:rFonts w:ascii="Times New Roman" w:hAnsi="Times New Roman" w:eastAsia="宋体" w:cs="Times New Roman"/>
      <w:sz w:val="24"/>
      <w:szCs w:val="24"/>
    </w:rPr>
  </w:style>
  <w:style w:type="paragraph" w:customStyle="1" w:styleId="32">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33">
    <w:name w:val="表格 Char"/>
    <w:link w:val="34"/>
    <w:autoRedefine/>
    <w:qFormat/>
    <w:uiPriority w:val="0"/>
    <w:rPr>
      <w:rFonts w:ascii="宋体"/>
      <w:sz w:val="21"/>
    </w:rPr>
  </w:style>
  <w:style w:type="paragraph" w:customStyle="1" w:styleId="34">
    <w:name w:val="表格"/>
    <w:basedOn w:val="1"/>
    <w:next w:val="1"/>
    <w:link w:val="33"/>
    <w:qFormat/>
    <w:uiPriority w:val="0"/>
    <w:pPr>
      <w:adjustRightInd w:val="0"/>
      <w:snapToGrid w:val="0"/>
      <w:spacing w:beforeLines="10" w:afterLines="10" w:line="259" w:lineRule="auto"/>
      <w:jc w:val="center"/>
    </w:pPr>
    <w:rPr>
      <w:rFonts w:ascii="宋体"/>
      <w:kern w:val="0"/>
      <w:sz w:val="20"/>
      <w:szCs w:val="21"/>
    </w:rPr>
  </w:style>
  <w:style w:type="character" w:customStyle="1" w:styleId="35">
    <w:name w:val="Balloon Text Char"/>
    <w:basedOn w:val="22"/>
    <w:link w:val="11"/>
    <w:semiHidden/>
    <w:qFormat/>
    <w:uiPriority w:val="0"/>
    <w:rPr>
      <w:rFonts w:ascii="Times New Roman" w:hAnsi="Times New Roman" w:eastAsia="宋体" w:cs="Times New Roman"/>
      <w:sz w:val="18"/>
      <w:szCs w:val="18"/>
    </w:rPr>
  </w:style>
  <w:style w:type="character" w:customStyle="1" w:styleId="36">
    <w:name w:val="Comment Text Char"/>
    <w:link w:val="7"/>
    <w:qFormat/>
    <w:uiPriority w:val="0"/>
    <w:rPr>
      <w:rFonts w:ascii="Times New Roman" w:hAnsi="Times New Roman" w:eastAsia="宋体"/>
      <w:sz w:val="24"/>
    </w:rPr>
  </w:style>
  <w:style w:type="character" w:customStyle="1" w:styleId="37">
    <w:name w:val="批注文字 字符1"/>
    <w:basedOn w:val="22"/>
    <w:semiHidden/>
    <w:qFormat/>
    <w:uiPriority w:val="0"/>
    <w:rPr>
      <w:rFonts w:ascii="Times New Roman" w:hAnsi="Times New Roman" w:eastAsia="宋体" w:cs="Times New Roman"/>
      <w:sz w:val="24"/>
      <w:szCs w:val="24"/>
    </w:rPr>
  </w:style>
  <w:style w:type="character" w:customStyle="1" w:styleId="38">
    <w:name w:val="Body Text Indent Char"/>
    <w:basedOn w:val="22"/>
    <w:link w:val="8"/>
    <w:semiHidden/>
    <w:qFormat/>
    <w:uiPriority w:val="0"/>
    <w:rPr>
      <w:rFonts w:ascii="Times New Roman" w:hAnsi="Times New Roman" w:eastAsia="宋体" w:cs="Times New Roman"/>
      <w:sz w:val="24"/>
      <w:szCs w:val="24"/>
    </w:rPr>
  </w:style>
  <w:style w:type="character" w:customStyle="1" w:styleId="39">
    <w:name w:val="Comment Subject Char"/>
    <w:basedOn w:val="36"/>
    <w:link w:val="18"/>
    <w:semiHidden/>
    <w:qFormat/>
    <w:uiPriority w:val="0"/>
    <w:rPr>
      <w:rFonts w:cs="Times New Roman"/>
      <w:b/>
      <w:bCs/>
      <w:kern w:val="2"/>
      <w:szCs w:val="24"/>
    </w:rPr>
  </w:style>
  <w:style w:type="character" w:customStyle="1" w:styleId="40">
    <w:name w:val="普通(网站) Char"/>
    <w:qFormat/>
    <w:uiPriority w:val="0"/>
    <w:rPr>
      <w:rFonts w:ascii="宋体" w:hAnsi="宋体" w:eastAsia="宋体"/>
      <w:sz w:val="24"/>
    </w:rPr>
  </w:style>
  <w:style w:type="paragraph" w:customStyle="1" w:styleId="41">
    <w:name w:val="Default"/>
    <w:basedOn w:val="42"/>
    <w:next w:val="1"/>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paragraph" w:customStyle="1" w:styleId="42">
    <w:name w:val="纯文本1"/>
    <w:basedOn w:val="1"/>
    <w:qFormat/>
    <w:uiPriority w:val="0"/>
    <w:pPr>
      <w:adjustRightInd w:val="0"/>
    </w:pPr>
    <w:rPr>
      <w:rFonts w:ascii="宋体" w:hAnsi="Courier New"/>
      <w:szCs w:val="20"/>
    </w:rPr>
  </w:style>
  <w:style w:type="paragraph" w:customStyle="1" w:styleId="43">
    <w:name w:val="正文00"/>
    <w:basedOn w:val="1"/>
    <w:qFormat/>
    <w:uiPriority w:val="0"/>
    <w:pPr>
      <w:ind w:firstLine="480" w:firstLineChars="200"/>
    </w:pPr>
    <w:rPr>
      <w:sz w:val="24"/>
    </w:rPr>
  </w:style>
  <w:style w:type="paragraph" w:customStyle="1" w:styleId="44">
    <w:name w:val="表头"/>
    <w:basedOn w:val="15"/>
    <w:next w:val="1"/>
    <w:qFormat/>
    <w:uiPriority w:val="0"/>
    <w:pPr>
      <w:adjustRightInd w:val="0"/>
      <w:snapToGrid w:val="0"/>
      <w:spacing w:line="240" w:lineRule="auto"/>
      <w:jc w:val="center"/>
    </w:pPr>
    <w:rPr>
      <w:rFonts w:eastAsia="黑体"/>
    </w:rPr>
  </w:style>
  <w:style w:type="character" w:customStyle="1" w:styleId="45">
    <w:name w:val="【正文】 Char1"/>
    <w:qFormat/>
    <w:uiPriority w:val="0"/>
    <w:rPr>
      <w:kern w:val="2"/>
      <w:sz w:val="24"/>
      <w:szCs w:val="24"/>
    </w:rPr>
  </w:style>
  <w:style w:type="paragraph" w:customStyle="1" w:styleId="46">
    <w:name w:val="FL正文"/>
    <w:basedOn w:val="1"/>
    <w:qFormat/>
    <w:uiPriority w:val="0"/>
    <w:pPr>
      <w:ind w:firstLine="425" w:firstLineChars="177"/>
    </w:pPr>
    <w:rPr>
      <w:rFonts w:ascii="Calibri" w:hAnsi="Calibri" w:eastAsia="宋体" w:cs="Times New Roman"/>
      <w:szCs w:val="22"/>
    </w:rPr>
  </w:style>
  <w:style w:type="paragraph" w:customStyle="1" w:styleId="47">
    <w:name w:val="表中字"/>
    <w:basedOn w:val="1"/>
    <w:next w:val="1"/>
    <w:qFormat/>
    <w:uiPriority w:val="0"/>
    <w:pPr>
      <w:spacing w:line="240" w:lineRule="auto"/>
      <w:ind w:firstLine="0" w:firstLineChars="0"/>
      <w:jc w:val="center"/>
    </w:pPr>
    <w:rPr>
      <w:rFonts w:eastAsia="仿宋_GB2312"/>
      <w:sz w:val="21"/>
      <w:szCs w:val="22"/>
      <w:lang w:val="zh-CN"/>
    </w:rPr>
  </w:style>
  <w:style w:type="paragraph" w:customStyle="1" w:styleId="48">
    <w:name w:val="正文小四"/>
    <w:basedOn w:val="1"/>
    <w:qFormat/>
    <w:uiPriority w:val="0"/>
    <w:pPr>
      <w:spacing w:line="360" w:lineRule="auto"/>
      <w:ind w:firstLine="480" w:firstLineChars="200"/>
    </w:pPr>
    <w:rPr>
      <w:rFonts w:eastAsia="仿宋_GB2312"/>
      <w:color w:val="000000"/>
      <w:kern w:val="0"/>
      <w:sz w:val="24"/>
      <w:szCs w:val="20"/>
    </w:rPr>
  </w:style>
  <w:style w:type="paragraph" w:customStyle="1" w:styleId="49">
    <w:name w:val="Default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50">
    <w:name w:val="内容"/>
    <w:basedOn w:val="1"/>
    <w:qFormat/>
    <w:uiPriority w:val="0"/>
    <w:pPr>
      <w:spacing w:beforeLines="50" w:afterLines="50"/>
      <w:ind w:firstLine="200" w:firstLineChars="200"/>
    </w:pPr>
    <w:rPr>
      <w:color w:val="000000"/>
      <w:sz w:val="24"/>
    </w:rPr>
  </w:style>
  <w:style w:type="paragraph" w:customStyle="1" w:styleId="51">
    <w:name w:val="【正文】"/>
    <w:basedOn w:val="1"/>
    <w:next w:val="16"/>
    <w:qFormat/>
    <w:uiPriority w:val="0"/>
    <w:pPr>
      <w:ind w:firstLine="480" w:firstLineChars="200"/>
    </w:pPr>
    <w:rPr>
      <w:sz w:val="24"/>
    </w:rPr>
  </w:style>
  <w:style w:type="paragraph" w:customStyle="1" w:styleId="52">
    <w:name w:val="表格内"/>
    <w:basedOn w:val="1"/>
    <w:qFormat/>
    <w:uiPriority w:val="0"/>
    <w:pPr>
      <w:spacing w:line="360" w:lineRule="exact"/>
      <w:jc w:val="center"/>
    </w:pPr>
    <w:rPr>
      <w:rFonts w:eastAsia="Times New Roman"/>
      <w:sz w:val="21"/>
      <w:szCs w:val="21"/>
    </w:rPr>
  </w:style>
  <w:style w:type="paragraph" w:customStyle="1" w:styleId="53">
    <w:name w:val="【表中文字】"/>
    <w:basedOn w:val="1"/>
    <w:qFormat/>
    <w:uiPriority w:val="0"/>
    <w:pPr>
      <w:adjustRightInd w:val="0"/>
      <w:snapToGrid w:val="0"/>
      <w:spacing w:line="240" w:lineRule="auto"/>
      <w:ind w:firstLine="0" w:firstLineChars="0"/>
      <w:jc w:val="center"/>
    </w:pPr>
    <w:rPr>
      <w:kern w:val="0"/>
      <w:szCs w:val="20"/>
    </w:rPr>
  </w:style>
  <w:style w:type="paragraph" w:customStyle="1" w:styleId="54">
    <w:name w:val="【表中文字】-"/>
    <w:basedOn w:val="1"/>
    <w:qFormat/>
    <w:uiPriority w:val="0"/>
    <w:pPr>
      <w:widowControl/>
      <w:spacing w:line="240" w:lineRule="auto"/>
      <w:ind w:firstLine="0" w:firstLineChars="0"/>
      <w:jc w:val="center"/>
    </w:pPr>
    <w:rPr>
      <w:kern w:val="0"/>
      <w:sz w:val="20"/>
      <w:szCs w:val="20"/>
    </w:rPr>
  </w:style>
  <w:style w:type="paragraph" w:customStyle="1" w:styleId="55">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56">
    <w:name w:val="正文1"/>
    <w:basedOn w:val="1"/>
    <w:qFormat/>
    <w:uiPriority w:val="0"/>
    <w:pPr>
      <w:spacing w:line="360" w:lineRule="auto"/>
      <w:ind w:firstLine="200" w:firstLineChars="200"/>
    </w:pPr>
  </w:style>
  <w:style w:type="paragraph" w:customStyle="1" w:styleId="57">
    <w:name w:val="报告书正文"/>
    <w:basedOn w:val="1"/>
    <w:qFormat/>
    <w:uiPriority w:val="0"/>
    <w:pPr>
      <w:adjustRightInd w:val="0"/>
      <w:snapToGrid w:val="0"/>
      <w:spacing w:line="360" w:lineRule="auto"/>
      <w:ind w:firstLine="425"/>
    </w:pPr>
    <w:rPr>
      <w:rFonts w:ascii="Arial" w:hAnsi="Arial"/>
      <w:kern w:val="0"/>
      <w:sz w:val="24"/>
    </w:rPr>
  </w:style>
  <w:style w:type="paragraph" w:customStyle="1" w:styleId="58">
    <w:name w:val="Table Paragraph"/>
    <w:basedOn w:val="1"/>
    <w:autoRedefine/>
    <w:qFormat/>
    <w:uiPriority w:val="1"/>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image" Target="media/image1.png"/><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jpeg"/><Relationship Id="rId85" Type="http://schemas.openxmlformats.org/officeDocument/2006/relationships/image" Target="media/image73.jpeg"/><Relationship Id="rId84" Type="http://schemas.openxmlformats.org/officeDocument/2006/relationships/image" Target="media/image72.jpeg"/><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theme" Target="theme/theme1.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5.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4.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chart" Target="charts/chart4.xml"/><Relationship Id="rId28" Type="http://schemas.openxmlformats.org/officeDocument/2006/relationships/chart" Target="charts/chart3.xml"/><Relationship Id="rId27" Type="http://schemas.openxmlformats.org/officeDocument/2006/relationships/chart" Target="charts/chart2.xml"/><Relationship Id="rId26" Type="http://schemas.openxmlformats.org/officeDocument/2006/relationships/chart" Target="charts/chart1.xml"/><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jpe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6" Type="http://schemas.openxmlformats.org/officeDocument/2006/relationships/fontTable" Target="fontTable.xml"/><Relationship Id="rId135" Type="http://schemas.openxmlformats.org/officeDocument/2006/relationships/numbering" Target="numbering.xml"/><Relationship Id="rId134" Type="http://schemas.openxmlformats.org/officeDocument/2006/relationships/customXml" Target="../customXml/item1.xml"/><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5.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image" Target="media/image4.png"/><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image" Target="media/image3.png"/><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image" Target="media/image2.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24464;&#20025;\&#29615;&#20445;&#39033;&#30446;\&#29615;&#35780;&#39033;&#30446;\&#40857;&#29028;&#21452;&#40493;&#23665;&#38598;&#36132;200MW&#39118;&#21147;&#21457;&#30005;&#39033;&#30446;&#25509;&#32593;&#24037;&#31243;\&#36164;&#26009;\ZM2\ZM2.xls"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E:\&#24464;&#20025;\&#29615;&#20445;&#39033;&#30446;\&#29615;&#35780;&#39033;&#30446;\&#40857;&#29028;&#21452;&#40493;&#23665;&#38598;&#36132;200MW&#39118;&#21147;&#21457;&#30005;&#39033;&#30446;&#25509;&#32593;&#24037;&#31243;\&#36164;&#26009;\ZM2\ZM2.xls"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24464;&#20025;\&#29615;&#20445;&#39033;&#30446;\&#29615;&#35780;&#39033;&#30446;\&#40857;&#29028;&#21452;&#40493;&#23665;&#38598;&#36132;200MW&#39118;&#21147;&#21457;&#30005;&#39033;&#30446;&#25509;&#32593;&#24037;&#31243;\&#36164;&#26009;\ZMK\2.xls"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E:\&#24464;&#20025;\&#29615;&#20445;&#39033;&#30446;\&#29615;&#35780;&#39033;&#30446;\&#40857;&#29028;&#21452;&#40493;&#23665;&#38598;&#36132;200MW&#39118;&#21147;&#21457;&#30005;&#39033;&#30446;&#25509;&#32593;&#24037;&#31243;\&#36164;&#26009;\ZMK\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gradFill>
                <a:gsLst>
                  <a:gs pos="100000">
                    <a:schemeClr val="accent1"/>
                  </a:gs>
                  <a:gs pos="0">
                    <a:schemeClr val="accent1">
                      <a:hueOff val="-1670000"/>
                    </a:schemeClr>
                  </a:gs>
                </a:gsLst>
                <a:lin ang="0" scaled="0"/>
              </a:gradFill>
              <a:round/>
            </a:ln>
            <a:effectLst/>
          </c:spPr>
          <c:marker>
            <c:symbol val="none"/>
          </c:marker>
          <c:dLbls>
            <c:delete val="1"/>
          </c:dLbls>
          <c:cat>
            <c:numRef>
              <c:f>[ZM2.xls]Sheet1!$B$1:$B$81</c:f>
              <c:numCache>
                <c:formatCode>General</c:formatCode>
                <c:ptCount val="81"/>
                <c:pt idx="0">
                  <c:v>-40</c:v>
                </c:pt>
                <c:pt idx="10">
                  <c:v>-30</c:v>
                </c:pt>
                <c:pt idx="20">
                  <c:v>-20</c:v>
                </c:pt>
                <c:pt idx="30">
                  <c:v>-10</c:v>
                </c:pt>
                <c:pt idx="40">
                  <c:v>0</c:v>
                </c:pt>
                <c:pt idx="50">
                  <c:v>10</c:v>
                </c:pt>
                <c:pt idx="60">
                  <c:v>20</c:v>
                </c:pt>
                <c:pt idx="70">
                  <c:v>30</c:v>
                </c:pt>
                <c:pt idx="80">
                  <c:v>40</c:v>
                </c:pt>
              </c:numCache>
            </c:numRef>
          </c:cat>
          <c:val>
            <c:numRef>
              <c:f>[ZM2.xls]Sheet1!$C$1:$C$81</c:f>
              <c:numCache>
                <c:formatCode>General</c:formatCode>
                <c:ptCount val="81"/>
                <c:pt idx="0">
                  <c:v>0.174</c:v>
                </c:pt>
                <c:pt idx="1">
                  <c:v>0.184</c:v>
                </c:pt>
                <c:pt idx="2">
                  <c:v>0.195</c:v>
                </c:pt>
                <c:pt idx="3">
                  <c:v>0.207</c:v>
                </c:pt>
                <c:pt idx="4">
                  <c:v>0.22</c:v>
                </c:pt>
                <c:pt idx="5">
                  <c:v>0.234</c:v>
                </c:pt>
                <c:pt idx="6">
                  <c:v>0.25</c:v>
                </c:pt>
                <c:pt idx="7">
                  <c:v>0.268</c:v>
                </c:pt>
                <c:pt idx="8">
                  <c:v>0.287</c:v>
                </c:pt>
                <c:pt idx="9">
                  <c:v>0.309</c:v>
                </c:pt>
                <c:pt idx="10">
                  <c:v>0.334</c:v>
                </c:pt>
                <c:pt idx="11">
                  <c:v>0.362</c:v>
                </c:pt>
                <c:pt idx="12">
                  <c:v>0.393</c:v>
                </c:pt>
                <c:pt idx="13">
                  <c:v>0.429</c:v>
                </c:pt>
                <c:pt idx="14">
                  <c:v>0.469</c:v>
                </c:pt>
                <c:pt idx="15">
                  <c:v>0.516</c:v>
                </c:pt>
                <c:pt idx="16">
                  <c:v>0.569</c:v>
                </c:pt>
                <c:pt idx="17">
                  <c:v>0.631</c:v>
                </c:pt>
                <c:pt idx="18">
                  <c:v>0.702</c:v>
                </c:pt>
                <c:pt idx="19">
                  <c:v>0.785</c:v>
                </c:pt>
                <c:pt idx="20">
                  <c:v>0.881</c:v>
                </c:pt>
                <c:pt idx="21">
                  <c:v>0.992</c:v>
                </c:pt>
                <c:pt idx="22">
                  <c:v>1.121</c:v>
                </c:pt>
                <c:pt idx="23">
                  <c:v>1.271</c:v>
                </c:pt>
                <c:pt idx="24">
                  <c:v>1.444</c:v>
                </c:pt>
                <c:pt idx="25">
                  <c:v>1.643</c:v>
                </c:pt>
                <c:pt idx="26">
                  <c:v>1.869</c:v>
                </c:pt>
                <c:pt idx="27">
                  <c:v>2.12</c:v>
                </c:pt>
                <c:pt idx="28">
                  <c:v>2.395</c:v>
                </c:pt>
                <c:pt idx="29">
                  <c:v>2.683</c:v>
                </c:pt>
                <c:pt idx="30">
                  <c:v>2.969</c:v>
                </c:pt>
                <c:pt idx="31">
                  <c:v>3.231</c:v>
                </c:pt>
                <c:pt idx="32">
                  <c:v>3.438</c:v>
                </c:pt>
                <c:pt idx="33">
                  <c:v>3.554</c:v>
                </c:pt>
                <c:pt idx="34">
                  <c:v>3.547</c:v>
                </c:pt>
                <c:pt idx="35">
                  <c:v>3.4</c:v>
                </c:pt>
                <c:pt idx="36">
                  <c:v>3.116</c:v>
                </c:pt>
                <c:pt idx="37">
                  <c:v>2.728</c:v>
                </c:pt>
                <c:pt idx="38">
                  <c:v>2.302</c:v>
                </c:pt>
                <c:pt idx="39">
                  <c:v>1.946</c:v>
                </c:pt>
                <c:pt idx="40">
                  <c:v>1.801</c:v>
                </c:pt>
                <c:pt idx="41">
                  <c:v>1.946</c:v>
                </c:pt>
                <c:pt idx="42">
                  <c:v>2.302</c:v>
                </c:pt>
                <c:pt idx="43">
                  <c:v>2.728</c:v>
                </c:pt>
                <c:pt idx="44">
                  <c:v>3.116</c:v>
                </c:pt>
                <c:pt idx="45">
                  <c:v>3.4</c:v>
                </c:pt>
                <c:pt idx="46">
                  <c:v>3.547</c:v>
                </c:pt>
                <c:pt idx="47">
                  <c:v>3.554</c:v>
                </c:pt>
                <c:pt idx="48">
                  <c:v>3.438</c:v>
                </c:pt>
                <c:pt idx="49">
                  <c:v>3.231</c:v>
                </c:pt>
                <c:pt idx="50">
                  <c:v>2.969</c:v>
                </c:pt>
                <c:pt idx="51">
                  <c:v>2.683</c:v>
                </c:pt>
                <c:pt idx="52">
                  <c:v>2.395</c:v>
                </c:pt>
                <c:pt idx="53">
                  <c:v>2.12</c:v>
                </c:pt>
                <c:pt idx="54">
                  <c:v>1.869</c:v>
                </c:pt>
                <c:pt idx="55">
                  <c:v>1.643</c:v>
                </c:pt>
                <c:pt idx="56">
                  <c:v>1.444</c:v>
                </c:pt>
                <c:pt idx="57">
                  <c:v>1.271</c:v>
                </c:pt>
                <c:pt idx="58">
                  <c:v>1.121</c:v>
                </c:pt>
                <c:pt idx="59">
                  <c:v>0.992</c:v>
                </c:pt>
                <c:pt idx="60">
                  <c:v>0.881</c:v>
                </c:pt>
                <c:pt idx="61">
                  <c:v>0.785</c:v>
                </c:pt>
                <c:pt idx="62">
                  <c:v>0.702</c:v>
                </c:pt>
                <c:pt idx="63">
                  <c:v>0.631</c:v>
                </c:pt>
                <c:pt idx="64">
                  <c:v>0.569</c:v>
                </c:pt>
                <c:pt idx="65">
                  <c:v>0.516</c:v>
                </c:pt>
                <c:pt idx="66">
                  <c:v>0.469</c:v>
                </c:pt>
                <c:pt idx="67">
                  <c:v>0.429</c:v>
                </c:pt>
                <c:pt idx="68">
                  <c:v>0.393</c:v>
                </c:pt>
                <c:pt idx="69">
                  <c:v>0.362</c:v>
                </c:pt>
                <c:pt idx="70">
                  <c:v>0.334</c:v>
                </c:pt>
                <c:pt idx="71">
                  <c:v>0.309</c:v>
                </c:pt>
                <c:pt idx="72">
                  <c:v>0.287</c:v>
                </c:pt>
                <c:pt idx="73">
                  <c:v>0.268</c:v>
                </c:pt>
                <c:pt idx="74">
                  <c:v>0.25</c:v>
                </c:pt>
                <c:pt idx="75">
                  <c:v>0.234</c:v>
                </c:pt>
                <c:pt idx="76">
                  <c:v>0.22</c:v>
                </c:pt>
                <c:pt idx="77">
                  <c:v>0.207</c:v>
                </c:pt>
                <c:pt idx="78">
                  <c:v>0.195</c:v>
                </c:pt>
                <c:pt idx="79">
                  <c:v>0.184</c:v>
                </c:pt>
                <c:pt idx="80">
                  <c:v>0.174</c:v>
                </c:pt>
              </c:numCache>
            </c:numRef>
          </c:val>
          <c:smooth val="1"/>
        </c:ser>
        <c:dLbls>
          <c:showLegendKey val="0"/>
          <c:showVal val="0"/>
          <c:showCatName val="0"/>
          <c:showSerName val="0"/>
          <c:showPercent val="0"/>
          <c:showBubbleSize val="0"/>
        </c:dLbls>
        <c:hiLowLines>
          <c:spPr>
            <a:ln w="9525" cap="flat" cmpd="sng" algn="ctr">
              <a:solidFill>
                <a:schemeClr val="tx1">
                  <a:lumMod val="75000"/>
                  <a:lumOff val="25000"/>
                </a:schemeClr>
              </a:solidFill>
              <a:round/>
            </a:ln>
            <a:effectLst/>
          </c:spPr>
        </c:hiLowLines>
        <c:marker val="0"/>
        <c:smooth val="1"/>
        <c:axId val="141944493"/>
        <c:axId val="735353118"/>
      </c:lineChart>
      <c:catAx>
        <c:axId val="141944493"/>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与中心点的水平距离（</a:t>
                </a:r>
                <a:r>
                  <a:rPr lang="en-US" altLang="zh-CN"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m</a:t>
                </a: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a:t>
                </a:r>
                <a:endPar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735353118"/>
        <c:crosses val="autoZero"/>
        <c:auto val="1"/>
        <c:lblAlgn val="ctr"/>
        <c:lblOffset val="100"/>
        <c:tickMarkSkip val="10"/>
        <c:noMultiLvlLbl val="0"/>
      </c:catAx>
      <c:valAx>
        <c:axId val="735353118"/>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电场强度（</a:t>
                </a:r>
                <a:r>
                  <a:rPr lang="en-US" altLang="zh-CN"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kV/m</a:t>
                </a: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a:t>
                </a:r>
                <a:endPar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14194449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1" i="0" u="none" strike="noStrike" kern="1200" baseline="0">
              <a:solidFill>
                <a:schemeClr val="tx1">
                  <a:lumMod val="75000"/>
                  <a:lumOff val="25000"/>
                </a:schemeClr>
              </a:solidFill>
              <a:latin typeface="+mn-lt"/>
              <a:ea typeface="+mn-ea"/>
              <a:cs typeface="+mn-cs"/>
            </a:defRPr>
          </a:pPr>
        </a:p>
      </c:txPr>
    </c:title>
    <c:autoTitleDeleted val="0"/>
    <c:plotArea>
      <c:layout/>
      <c:lineChart>
        <c:grouping val="standard"/>
        <c:varyColors val="0"/>
        <c:ser>
          <c:idx val="0"/>
          <c:order val="0"/>
          <c:spPr>
            <a:ln w="28575" cap="rnd">
              <a:gradFill>
                <a:gsLst>
                  <a:gs pos="100000">
                    <a:schemeClr val="accent1"/>
                  </a:gs>
                  <a:gs pos="0">
                    <a:schemeClr val="accent1">
                      <a:hueOff val="-1670000"/>
                    </a:schemeClr>
                  </a:gs>
                </a:gsLst>
                <a:lin ang="0" scaled="0"/>
              </a:gradFill>
              <a:round/>
            </a:ln>
            <a:effectLst/>
          </c:spPr>
          <c:marker>
            <c:symbol val="none"/>
          </c:marker>
          <c:dLbls>
            <c:delete val="1"/>
          </c:dLbls>
          <c:cat>
            <c:numRef>
              <c:f>[ZM2.xls]Sheet1!$E$1:$E$81</c:f>
              <c:numCache>
                <c:formatCode>General</c:formatCode>
                <c:ptCount val="81"/>
                <c:pt idx="0">
                  <c:v>-40</c:v>
                </c:pt>
                <c:pt idx="10">
                  <c:v>-30</c:v>
                </c:pt>
                <c:pt idx="20">
                  <c:v>-20</c:v>
                </c:pt>
                <c:pt idx="30">
                  <c:v>-10</c:v>
                </c:pt>
                <c:pt idx="40">
                  <c:v>0</c:v>
                </c:pt>
                <c:pt idx="50">
                  <c:v>10</c:v>
                </c:pt>
                <c:pt idx="60">
                  <c:v>20</c:v>
                </c:pt>
                <c:pt idx="70">
                  <c:v>30</c:v>
                </c:pt>
                <c:pt idx="80">
                  <c:v>40</c:v>
                </c:pt>
              </c:numCache>
            </c:numRef>
          </c:cat>
          <c:val>
            <c:numRef>
              <c:f>[ZM2.xls]Sheet1!$F$1:$F$81</c:f>
              <c:numCache>
                <c:formatCode>General</c:formatCode>
                <c:ptCount val="81"/>
                <c:pt idx="0">
                  <c:v>6.023</c:v>
                </c:pt>
                <c:pt idx="1">
                  <c:v>6.176</c:v>
                </c:pt>
                <c:pt idx="2">
                  <c:v>6.336</c:v>
                </c:pt>
                <c:pt idx="3">
                  <c:v>6.505</c:v>
                </c:pt>
                <c:pt idx="4">
                  <c:v>6.683</c:v>
                </c:pt>
                <c:pt idx="5">
                  <c:v>6.871</c:v>
                </c:pt>
                <c:pt idx="6">
                  <c:v>7.07</c:v>
                </c:pt>
                <c:pt idx="7">
                  <c:v>7.28</c:v>
                </c:pt>
                <c:pt idx="8">
                  <c:v>7.503</c:v>
                </c:pt>
                <c:pt idx="9">
                  <c:v>7.739</c:v>
                </c:pt>
                <c:pt idx="10">
                  <c:v>7.99</c:v>
                </c:pt>
                <c:pt idx="11">
                  <c:v>8.258</c:v>
                </c:pt>
                <c:pt idx="12">
                  <c:v>8.544</c:v>
                </c:pt>
                <c:pt idx="13">
                  <c:v>8.849</c:v>
                </c:pt>
                <c:pt idx="14">
                  <c:v>9.176</c:v>
                </c:pt>
                <c:pt idx="15">
                  <c:v>9.526</c:v>
                </c:pt>
                <c:pt idx="16">
                  <c:v>9.903</c:v>
                </c:pt>
                <c:pt idx="17">
                  <c:v>10.309</c:v>
                </c:pt>
                <c:pt idx="18">
                  <c:v>10.746</c:v>
                </c:pt>
                <c:pt idx="19">
                  <c:v>11.218</c:v>
                </c:pt>
                <c:pt idx="20">
                  <c:v>11.729</c:v>
                </c:pt>
                <c:pt idx="21">
                  <c:v>12.282</c:v>
                </c:pt>
                <c:pt idx="22">
                  <c:v>12.881</c:v>
                </c:pt>
                <c:pt idx="23">
                  <c:v>13.529</c:v>
                </c:pt>
                <c:pt idx="24">
                  <c:v>14.228</c:v>
                </c:pt>
                <c:pt idx="25">
                  <c:v>14.982</c:v>
                </c:pt>
                <c:pt idx="26">
                  <c:v>15.787</c:v>
                </c:pt>
                <c:pt idx="27">
                  <c:v>16.641</c:v>
                </c:pt>
                <c:pt idx="28">
                  <c:v>17.53</c:v>
                </c:pt>
                <c:pt idx="29">
                  <c:v>18.434</c:v>
                </c:pt>
                <c:pt idx="30">
                  <c:v>19.324</c:v>
                </c:pt>
                <c:pt idx="31">
                  <c:v>20.152</c:v>
                </c:pt>
                <c:pt idx="32">
                  <c:v>20.866</c:v>
                </c:pt>
                <c:pt idx="33">
                  <c:v>21.408</c:v>
                </c:pt>
                <c:pt idx="34">
                  <c:v>21.734</c:v>
                </c:pt>
                <c:pt idx="35">
                  <c:v>21.832</c:v>
                </c:pt>
                <c:pt idx="36">
                  <c:v>21.734</c:v>
                </c:pt>
                <c:pt idx="37">
                  <c:v>21.51</c:v>
                </c:pt>
                <c:pt idx="38">
                  <c:v>21.254</c:v>
                </c:pt>
                <c:pt idx="39">
                  <c:v>21.057</c:v>
                </c:pt>
                <c:pt idx="40">
                  <c:v>20.983</c:v>
                </c:pt>
                <c:pt idx="41">
                  <c:v>21.057</c:v>
                </c:pt>
                <c:pt idx="42">
                  <c:v>21.254</c:v>
                </c:pt>
                <c:pt idx="43">
                  <c:v>21.51</c:v>
                </c:pt>
                <c:pt idx="44">
                  <c:v>21.734</c:v>
                </c:pt>
                <c:pt idx="45">
                  <c:v>21.832</c:v>
                </c:pt>
                <c:pt idx="46">
                  <c:v>21.734</c:v>
                </c:pt>
                <c:pt idx="47">
                  <c:v>21.408</c:v>
                </c:pt>
                <c:pt idx="48">
                  <c:v>20.866</c:v>
                </c:pt>
                <c:pt idx="49">
                  <c:v>20.152</c:v>
                </c:pt>
                <c:pt idx="50">
                  <c:v>19.324</c:v>
                </c:pt>
                <c:pt idx="51">
                  <c:v>18.434</c:v>
                </c:pt>
                <c:pt idx="52">
                  <c:v>17.53</c:v>
                </c:pt>
                <c:pt idx="53">
                  <c:v>16.641</c:v>
                </c:pt>
                <c:pt idx="54">
                  <c:v>15.787</c:v>
                </c:pt>
                <c:pt idx="55">
                  <c:v>14.982</c:v>
                </c:pt>
                <c:pt idx="56">
                  <c:v>14.228</c:v>
                </c:pt>
                <c:pt idx="57">
                  <c:v>13.529</c:v>
                </c:pt>
                <c:pt idx="58">
                  <c:v>12.881</c:v>
                </c:pt>
                <c:pt idx="59">
                  <c:v>12.282</c:v>
                </c:pt>
                <c:pt idx="60">
                  <c:v>11.729</c:v>
                </c:pt>
                <c:pt idx="61">
                  <c:v>11.218</c:v>
                </c:pt>
                <c:pt idx="62">
                  <c:v>10.746</c:v>
                </c:pt>
                <c:pt idx="63">
                  <c:v>10.309</c:v>
                </c:pt>
                <c:pt idx="64">
                  <c:v>9.903</c:v>
                </c:pt>
                <c:pt idx="65">
                  <c:v>9.526</c:v>
                </c:pt>
                <c:pt idx="66">
                  <c:v>9.176</c:v>
                </c:pt>
                <c:pt idx="67">
                  <c:v>8.849</c:v>
                </c:pt>
                <c:pt idx="68">
                  <c:v>8.544</c:v>
                </c:pt>
                <c:pt idx="69">
                  <c:v>8.258</c:v>
                </c:pt>
                <c:pt idx="70">
                  <c:v>7.99</c:v>
                </c:pt>
                <c:pt idx="71">
                  <c:v>7.739</c:v>
                </c:pt>
                <c:pt idx="72">
                  <c:v>7.503</c:v>
                </c:pt>
                <c:pt idx="73">
                  <c:v>7.28</c:v>
                </c:pt>
                <c:pt idx="74">
                  <c:v>7.07</c:v>
                </c:pt>
                <c:pt idx="75">
                  <c:v>6.871</c:v>
                </c:pt>
                <c:pt idx="76">
                  <c:v>6.683</c:v>
                </c:pt>
                <c:pt idx="77">
                  <c:v>6.505</c:v>
                </c:pt>
                <c:pt idx="78">
                  <c:v>6.336</c:v>
                </c:pt>
                <c:pt idx="79">
                  <c:v>6.176</c:v>
                </c:pt>
                <c:pt idx="80">
                  <c:v>6.023</c:v>
                </c:pt>
              </c:numCache>
            </c:numRef>
          </c:val>
          <c:smooth val="1"/>
        </c:ser>
        <c:dLbls>
          <c:showLegendKey val="0"/>
          <c:showVal val="0"/>
          <c:showCatName val="0"/>
          <c:showSerName val="0"/>
          <c:showPercent val="0"/>
          <c:showBubbleSize val="0"/>
        </c:dLbls>
        <c:hiLowLines>
          <c:spPr>
            <a:ln w="9525" cap="flat" cmpd="sng" algn="ctr">
              <a:solidFill>
                <a:schemeClr val="tx1">
                  <a:lumMod val="75000"/>
                  <a:lumOff val="25000"/>
                </a:schemeClr>
              </a:solidFill>
              <a:round/>
            </a:ln>
            <a:effectLst/>
          </c:spPr>
        </c:hiLowLines>
        <c:marker val="0"/>
        <c:smooth val="1"/>
        <c:axId val="834322608"/>
        <c:axId val="446834306"/>
      </c:lineChart>
      <c:catAx>
        <c:axId val="834322608"/>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b="1">
                    <a:solidFill>
                      <a:schemeClr val="tx1"/>
                    </a:solidFill>
                    <a:latin typeface="Times New Roman" panose="02020603050405020304" charset="0"/>
                    <a:cs typeface="Times New Roman" panose="02020603050405020304" charset="0"/>
                  </a:rPr>
                  <a:t>与中心点的水平距离（m）</a:t>
                </a:r>
                <a:endParaRPr b="1">
                  <a:solidFill>
                    <a:schemeClr val="tx1"/>
                  </a:solidFill>
                  <a:latin typeface="Times New Roman" panose="02020603050405020304" charset="0"/>
                  <a:cs typeface="Times New Roman" panose="02020603050405020304" charset="0"/>
                </a:endParaRPr>
              </a:p>
            </c:rich>
          </c:tx>
          <c:layout>
            <c:manualLayout>
              <c:xMode val="edge"/>
              <c:yMode val="edge"/>
              <c:x val="0.355828947368421"/>
              <c:y val="0.90432212781677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46834306"/>
        <c:crosses val="autoZero"/>
        <c:auto val="1"/>
        <c:lblAlgn val="ctr"/>
        <c:lblOffset val="100"/>
        <c:noMultiLvlLbl val="0"/>
      </c:catAx>
      <c:valAx>
        <c:axId val="446834306"/>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b="1">
                    <a:solidFill>
                      <a:schemeClr val="tx1"/>
                    </a:solidFill>
                  </a:rPr>
                  <a:t>工</a:t>
                </a:r>
                <a:r>
                  <a:rPr b="1">
                    <a:solidFill>
                      <a:schemeClr val="tx1"/>
                    </a:solidFill>
                    <a:latin typeface="Times New Roman" panose="02020603050405020304" charset="0"/>
                    <a:cs typeface="Times New Roman" panose="02020603050405020304" charset="0"/>
                  </a:rPr>
                  <a:t>频磁感应强度(μT)</a:t>
                </a:r>
                <a:endParaRPr b="1">
                  <a:solidFill>
                    <a:schemeClr val="tx1"/>
                  </a:solidFill>
                  <a:latin typeface="Times New Roman" panose="02020603050405020304" charset="0"/>
                  <a:cs typeface="Times New Roman" panose="02020603050405020304" charset="0"/>
                </a:endParaRP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34322608"/>
        <c:crosses val="autoZero"/>
        <c:crossBetween val="between"/>
        <c:majorUnit val="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title>
    <c:autoTitleDeleted val="0"/>
    <c:plotArea>
      <c:layout/>
      <c:lineChart>
        <c:grouping val="standard"/>
        <c:varyColors val="0"/>
        <c:ser>
          <c:idx val="0"/>
          <c:order val="0"/>
          <c:spPr>
            <a:ln w="28575" cap="rnd">
              <a:gradFill>
                <a:gsLst>
                  <a:gs pos="100000">
                    <a:schemeClr val="accent1"/>
                  </a:gs>
                  <a:gs pos="0">
                    <a:schemeClr val="accent1">
                      <a:hueOff val="-1670000"/>
                    </a:schemeClr>
                  </a:gs>
                </a:gsLst>
                <a:lin ang="0" scaled="0"/>
              </a:gradFill>
              <a:round/>
            </a:ln>
            <a:effectLst/>
          </c:spPr>
          <c:marker>
            <c:symbol val="none"/>
          </c:marker>
          <c:dLbls>
            <c:delete val="1"/>
          </c:dLbls>
          <c:cat>
            <c:numRef>
              <c:f>[2.xls]Sheet1!$C$1:$C$81</c:f>
              <c:numCache>
                <c:formatCode>General</c:formatCode>
                <c:ptCount val="81"/>
                <c:pt idx="0">
                  <c:v>-40</c:v>
                </c:pt>
                <c:pt idx="9">
                  <c:v>-30</c:v>
                </c:pt>
                <c:pt idx="19">
                  <c:v>-20</c:v>
                </c:pt>
                <c:pt idx="29">
                  <c:v>-10</c:v>
                </c:pt>
                <c:pt idx="39">
                  <c:v>0</c:v>
                </c:pt>
                <c:pt idx="49">
                  <c:v>10</c:v>
                </c:pt>
                <c:pt idx="59">
                  <c:v>20</c:v>
                </c:pt>
                <c:pt idx="69">
                  <c:v>30</c:v>
                </c:pt>
                <c:pt idx="80">
                  <c:v>40</c:v>
                </c:pt>
              </c:numCache>
            </c:numRef>
          </c:cat>
          <c:val>
            <c:numRef>
              <c:f>[2.xls]Sheet1!$A$1:$A$81</c:f>
              <c:numCache>
                <c:formatCode>General</c:formatCode>
                <c:ptCount val="81"/>
                <c:pt idx="0">
                  <c:v>0.178</c:v>
                </c:pt>
                <c:pt idx="1">
                  <c:v>0.188</c:v>
                </c:pt>
                <c:pt idx="2">
                  <c:v>0.198</c:v>
                </c:pt>
                <c:pt idx="3">
                  <c:v>0.209</c:v>
                </c:pt>
                <c:pt idx="4">
                  <c:v>0.221</c:v>
                </c:pt>
                <c:pt idx="5">
                  <c:v>0.235</c:v>
                </c:pt>
                <c:pt idx="6">
                  <c:v>0.249</c:v>
                </c:pt>
                <c:pt idx="7">
                  <c:v>0.266</c:v>
                </c:pt>
                <c:pt idx="8">
                  <c:v>0.284</c:v>
                </c:pt>
                <c:pt idx="9">
                  <c:v>0.304</c:v>
                </c:pt>
                <c:pt idx="10">
                  <c:v>0.327</c:v>
                </c:pt>
                <c:pt idx="11">
                  <c:v>0.353</c:v>
                </c:pt>
                <c:pt idx="12">
                  <c:v>0.381</c:v>
                </c:pt>
                <c:pt idx="13">
                  <c:v>0.414</c:v>
                </c:pt>
                <c:pt idx="14">
                  <c:v>0.452</c:v>
                </c:pt>
                <c:pt idx="15">
                  <c:v>0.495</c:v>
                </c:pt>
                <c:pt idx="16">
                  <c:v>0.544</c:v>
                </c:pt>
                <c:pt idx="17">
                  <c:v>0.601</c:v>
                </c:pt>
                <c:pt idx="18">
                  <c:v>0.666</c:v>
                </c:pt>
                <c:pt idx="19">
                  <c:v>0.743</c:v>
                </c:pt>
                <c:pt idx="20">
                  <c:v>0.832</c:v>
                </c:pt>
                <c:pt idx="21">
                  <c:v>0.935</c:v>
                </c:pt>
                <c:pt idx="22">
                  <c:v>1.056</c:v>
                </c:pt>
                <c:pt idx="23">
                  <c:v>1.197</c:v>
                </c:pt>
                <c:pt idx="24">
                  <c:v>1.36</c:v>
                </c:pt>
                <c:pt idx="25">
                  <c:v>1.549</c:v>
                </c:pt>
                <c:pt idx="26">
                  <c:v>1.764</c:v>
                </c:pt>
                <c:pt idx="27">
                  <c:v>2.005</c:v>
                </c:pt>
                <c:pt idx="28">
                  <c:v>2.272</c:v>
                </c:pt>
                <c:pt idx="29">
                  <c:v>2.555</c:v>
                </c:pt>
                <c:pt idx="30">
                  <c:v>2.843</c:v>
                </c:pt>
                <c:pt idx="31">
                  <c:v>3.115</c:v>
                </c:pt>
                <c:pt idx="32">
                  <c:v>3.341</c:v>
                </c:pt>
                <c:pt idx="33">
                  <c:v>3.488</c:v>
                </c:pt>
                <c:pt idx="34">
                  <c:v>3.522</c:v>
                </c:pt>
                <c:pt idx="35">
                  <c:v>3.422</c:v>
                </c:pt>
                <c:pt idx="36">
                  <c:v>3.187</c:v>
                </c:pt>
                <c:pt idx="37">
                  <c:v>2.846</c:v>
                </c:pt>
                <c:pt idx="38">
                  <c:v>2.464</c:v>
                </c:pt>
                <c:pt idx="39">
                  <c:v>2.146</c:v>
                </c:pt>
                <c:pt idx="40">
                  <c:v>2.017</c:v>
                </c:pt>
                <c:pt idx="41">
                  <c:v>2.146</c:v>
                </c:pt>
                <c:pt idx="42">
                  <c:v>2.464</c:v>
                </c:pt>
                <c:pt idx="43">
                  <c:v>2.846</c:v>
                </c:pt>
                <c:pt idx="44">
                  <c:v>3.187</c:v>
                </c:pt>
                <c:pt idx="45">
                  <c:v>3.422</c:v>
                </c:pt>
                <c:pt idx="46">
                  <c:v>3.522</c:v>
                </c:pt>
                <c:pt idx="47">
                  <c:v>3.488</c:v>
                </c:pt>
                <c:pt idx="48">
                  <c:v>3.341</c:v>
                </c:pt>
                <c:pt idx="49">
                  <c:v>3.115</c:v>
                </c:pt>
                <c:pt idx="50">
                  <c:v>2.843</c:v>
                </c:pt>
                <c:pt idx="51">
                  <c:v>2.555</c:v>
                </c:pt>
                <c:pt idx="52">
                  <c:v>2.272</c:v>
                </c:pt>
                <c:pt idx="53">
                  <c:v>2.005</c:v>
                </c:pt>
                <c:pt idx="54">
                  <c:v>1.764</c:v>
                </c:pt>
                <c:pt idx="55">
                  <c:v>1.549</c:v>
                </c:pt>
                <c:pt idx="56">
                  <c:v>1.36</c:v>
                </c:pt>
                <c:pt idx="57">
                  <c:v>1.197</c:v>
                </c:pt>
                <c:pt idx="58">
                  <c:v>1.056</c:v>
                </c:pt>
                <c:pt idx="59">
                  <c:v>0.935</c:v>
                </c:pt>
                <c:pt idx="60">
                  <c:v>0.832</c:v>
                </c:pt>
                <c:pt idx="61">
                  <c:v>0.743</c:v>
                </c:pt>
                <c:pt idx="62">
                  <c:v>0.666</c:v>
                </c:pt>
                <c:pt idx="63">
                  <c:v>0.601</c:v>
                </c:pt>
                <c:pt idx="64">
                  <c:v>0.544</c:v>
                </c:pt>
                <c:pt idx="65">
                  <c:v>0.495</c:v>
                </c:pt>
                <c:pt idx="66">
                  <c:v>0.452</c:v>
                </c:pt>
                <c:pt idx="67">
                  <c:v>0.414</c:v>
                </c:pt>
                <c:pt idx="68">
                  <c:v>0.381</c:v>
                </c:pt>
                <c:pt idx="69">
                  <c:v>0.353</c:v>
                </c:pt>
                <c:pt idx="70">
                  <c:v>0.327</c:v>
                </c:pt>
                <c:pt idx="71">
                  <c:v>0.304</c:v>
                </c:pt>
                <c:pt idx="72">
                  <c:v>0.284</c:v>
                </c:pt>
                <c:pt idx="73">
                  <c:v>0.266</c:v>
                </c:pt>
                <c:pt idx="74">
                  <c:v>0.249</c:v>
                </c:pt>
                <c:pt idx="75">
                  <c:v>0.235</c:v>
                </c:pt>
                <c:pt idx="76">
                  <c:v>0.221</c:v>
                </c:pt>
                <c:pt idx="77">
                  <c:v>0.209</c:v>
                </c:pt>
                <c:pt idx="78">
                  <c:v>0.198</c:v>
                </c:pt>
                <c:pt idx="79">
                  <c:v>0.188</c:v>
                </c:pt>
                <c:pt idx="80">
                  <c:v>0.178</c:v>
                </c:pt>
              </c:numCache>
            </c:numRef>
          </c:val>
          <c:smooth val="1"/>
        </c:ser>
        <c:dLbls>
          <c:showLegendKey val="0"/>
          <c:showVal val="0"/>
          <c:showCatName val="0"/>
          <c:showSerName val="0"/>
          <c:showPercent val="0"/>
          <c:showBubbleSize val="0"/>
        </c:dLbls>
        <c:hiLowLines>
          <c:spPr>
            <a:ln w="9525" cap="flat" cmpd="sng" algn="ctr">
              <a:solidFill>
                <a:schemeClr val="tx1">
                  <a:lumMod val="75000"/>
                  <a:lumOff val="25000"/>
                </a:schemeClr>
              </a:solidFill>
              <a:round/>
            </a:ln>
            <a:effectLst/>
          </c:spPr>
        </c:hiLowLines>
        <c:marker val="0"/>
        <c:smooth val="1"/>
        <c:axId val="933461433"/>
        <c:axId val="594128463"/>
      </c:lineChart>
      <c:catAx>
        <c:axId val="933461433"/>
        <c:scaling>
          <c:orientation val="minMax"/>
        </c:scaling>
        <c:delete val="0"/>
        <c:axPos val="b"/>
        <c:title>
          <c:tx>
            <c:rich>
              <a:bodyPr rot="0" spcFirstLastPara="0" vertOverflow="ellipsis" vert="horz" wrap="square" anchor="ctr" anchorCtr="1"/>
              <a:lstStyle/>
              <a:p>
                <a:pPr defTabSz="914400">
                  <a:defRPr lang="zh-CN" sz="100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与中心点的水平距离（</a:t>
                </a:r>
                <a:r>
                  <a:rPr lang="en-US" altLang="zh-CN"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m</a:t>
                </a: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a:t>
                </a:r>
                <a:endParaRPr lang="en-US" altLang="zh-CN"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594128463"/>
        <c:crosses val="autoZero"/>
        <c:auto val="1"/>
        <c:lblAlgn val="ctr"/>
        <c:lblOffset val="100"/>
        <c:noMultiLvlLbl val="0"/>
      </c:catAx>
      <c:valAx>
        <c:axId val="594128463"/>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电场强度（</a:t>
                </a:r>
                <a:r>
                  <a:rPr lang="en-US" altLang="zh-CN"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kVm</a:t>
                </a: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a:t>
                </a:r>
                <a:endParaRPr lang="en-US" altLang="zh-CN"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0305263157894737"/>
              <c:y val="0.362173364570193"/>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0" vertOverflow="ellipsis" vert="horz" wrap="square" anchor="ctr" anchorCtr="1"/>
          <a:lstStyle/>
          <a:p>
            <a:pPr>
              <a:defRPr lang="zh-CN" sz="90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93346143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title>
    <c:autoTitleDeleted val="0"/>
    <c:plotArea>
      <c:layout/>
      <c:lineChart>
        <c:grouping val="standard"/>
        <c:varyColors val="0"/>
        <c:ser>
          <c:idx val="0"/>
          <c:order val="0"/>
          <c:spPr>
            <a:ln w="28575" cap="rnd">
              <a:gradFill>
                <a:gsLst>
                  <a:gs pos="100000">
                    <a:schemeClr val="accent1"/>
                  </a:gs>
                  <a:gs pos="0">
                    <a:schemeClr val="accent1">
                      <a:hueOff val="-1670000"/>
                    </a:schemeClr>
                  </a:gs>
                </a:gsLst>
                <a:lin ang="0" scaled="0"/>
              </a:gradFill>
              <a:round/>
            </a:ln>
            <a:effectLst/>
          </c:spPr>
          <c:marker>
            <c:symbol val="none"/>
          </c:marker>
          <c:dLbls>
            <c:delete val="1"/>
          </c:dLbls>
          <c:cat>
            <c:numRef>
              <c:f>[2.xls]Sheet1!$C$1:$C$81</c:f>
              <c:numCache>
                <c:formatCode>General</c:formatCode>
                <c:ptCount val="81"/>
                <c:pt idx="0">
                  <c:v>-40</c:v>
                </c:pt>
                <c:pt idx="9">
                  <c:v>-30</c:v>
                </c:pt>
                <c:pt idx="19">
                  <c:v>-20</c:v>
                </c:pt>
                <c:pt idx="29">
                  <c:v>-10</c:v>
                </c:pt>
                <c:pt idx="39">
                  <c:v>0</c:v>
                </c:pt>
                <c:pt idx="49">
                  <c:v>10</c:v>
                </c:pt>
                <c:pt idx="59">
                  <c:v>20</c:v>
                </c:pt>
                <c:pt idx="69">
                  <c:v>30</c:v>
                </c:pt>
                <c:pt idx="80">
                  <c:v>40</c:v>
                </c:pt>
              </c:numCache>
            </c:numRef>
          </c:cat>
          <c:val>
            <c:numRef>
              <c:f>[2.xls]Sheet1!$B$1:$B$81</c:f>
              <c:numCache>
                <c:formatCode>General</c:formatCode>
                <c:ptCount val="81"/>
                <c:pt idx="0">
                  <c:v>6.737</c:v>
                </c:pt>
                <c:pt idx="1">
                  <c:v>6.925</c:v>
                </c:pt>
                <c:pt idx="2">
                  <c:v>7.123</c:v>
                </c:pt>
                <c:pt idx="3">
                  <c:v>7.333</c:v>
                </c:pt>
                <c:pt idx="4">
                  <c:v>7.555</c:v>
                </c:pt>
                <c:pt idx="5">
                  <c:v>7.79</c:v>
                </c:pt>
                <c:pt idx="6">
                  <c:v>8.04</c:v>
                </c:pt>
                <c:pt idx="7">
                  <c:v>8.306</c:v>
                </c:pt>
                <c:pt idx="8">
                  <c:v>8.589</c:v>
                </c:pt>
                <c:pt idx="9">
                  <c:v>8.891</c:v>
                </c:pt>
                <c:pt idx="10">
                  <c:v>9.214</c:v>
                </c:pt>
                <c:pt idx="11">
                  <c:v>9.56</c:v>
                </c:pt>
                <c:pt idx="12">
                  <c:v>9.932</c:v>
                </c:pt>
                <c:pt idx="13">
                  <c:v>10.331</c:v>
                </c:pt>
                <c:pt idx="14">
                  <c:v>10.762</c:v>
                </c:pt>
                <c:pt idx="15">
                  <c:v>11.227</c:v>
                </c:pt>
                <c:pt idx="16">
                  <c:v>11.731</c:v>
                </c:pt>
                <c:pt idx="17">
                  <c:v>12.278</c:v>
                </c:pt>
                <c:pt idx="18">
                  <c:v>12.872</c:v>
                </c:pt>
                <c:pt idx="19">
                  <c:v>13.519</c:v>
                </c:pt>
                <c:pt idx="20">
                  <c:v>14.226</c:v>
                </c:pt>
                <c:pt idx="21">
                  <c:v>14.998</c:v>
                </c:pt>
                <c:pt idx="22">
                  <c:v>15.843</c:v>
                </c:pt>
                <c:pt idx="23">
                  <c:v>16.768</c:v>
                </c:pt>
                <c:pt idx="24">
                  <c:v>17.78</c:v>
                </c:pt>
                <c:pt idx="25">
                  <c:v>18.884</c:v>
                </c:pt>
                <c:pt idx="26">
                  <c:v>20.083</c:v>
                </c:pt>
                <c:pt idx="27">
                  <c:v>21.375</c:v>
                </c:pt>
                <c:pt idx="28">
                  <c:v>22.75</c:v>
                </c:pt>
                <c:pt idx="29">
                  <c:v>24.183</c:v>
                </c:pt>
                <c:pt idx="30">
                  <c:v>25.634</c:v>
                </c:pt>
                <c:pt idx="31">
                  <c:v>27.038</c:v>
                </c:pt>
                <c:pt idx="32">
                  <c:v>28.304</c:v>
                </c:pt>
                <c:pt idx="33">
                  <c:v>29.326</c:v>
                </c:pt>
                <c:pt idx="34">
                  <c:v>29.995</c:v>
                </c:pt>
                <c:pt idx="35">
                  <c:v>30.229</c:v>
                </c:pt>
                <c:pt idx="36">
                  <c:v>29.995</c:v>
                </c:pt>
                <c:pt idx="37">
                  <c:v>29.326</c:v>
                </c:pt>
                <c:pt idx="38">
                  <c:v>28.304</c:v>
                </c:pt>
                <c:pt idx="39">
                  <c:v>27.038</c:v>
                </c:pt>
                <c:pt idx="40">
                  <c:v>25.634</c:v>
                </c:pt>
                <c:pt idx="41">
                  <c:v>24.183</c:v>
                </c:pt>
                <c:pt idx="42">
                  <c:v>22.75</c:v>
                </c:pt>
                <c:pt idx="43">
                  <c:v>21.375</c:v>
                </c:pt>
                <c:pt idx="44">
                  <c:v>20.083</c:v>
                </c:pt>
                <c:pt idx="45">
                  <c:v>18.884</c:v>
                </c:pt>
                <c:pt idx="46">
                  <c:v>17.78</c:v>
                </c:pt>
                <c:pt idx="47">
                  <c:v>16.768</c:v>
                </c:pt>
                <c:pt idx="48">
                  <c:v>15.843</c:v>
                </c:pt>
                <c:pt idx="49">
                  <c:v>14.998</c:v>
                </c:pt>
                <c:pt idx="50">
                  <c:v>14.226</c:v>
                </c:pt>
                <c:pt idx="51">
                  <c:v>13.519</c:v>
                </c:pt>
                <c:pt idx="52">
                  <c:v>12.872</c:v>
                </c:pt>
                <c:pt idx="53">
                  <c:v>12.278</c:v>
                </c:pt>
                <c:pt idx="54">
                  <c:v>11.731</c:v>
                </c:pt>
                <c:pt idx="55">
                  <c:v>11.227</c:v>
                </c:pt>
                <c:pt idx="56">
                  <c:v>10.762</c:v>
                </c:pt>
                <c:pt idx="57">
                  <c:v>10.331</c:v>
                </c:pt>
                <c:pt idx="58">
                  <c:v>9.932</c:v>
                </c:pt>
                <c:pt idx="59">
                  <c:v>9.56</c:v>
                </c:pt>
                <c:pt idx="60">
                  <c:v>9.214</c:v>
                </c:pt>
                <c:pt idx="61">
                  <c:v>8.891</c:v>
                </c:pt>
                <c:pt idx="62">
                  <c:v>8.589</c:v>
                </c:pt>
                <c:pt idx="63">
                  <c:v>8.306</c:v>
                </c:pt>
                <c:pt idx="64">
                  <c:v>8.04</c:v>
                </c:pt>
                <c:pt idx="65">
                  <c:v>7.79</c:v>
                </c:pt>
                <c:pt idx="66">
                  <c:v>7.555</c:v>
                </c:pt>
                <c:pt idx="67">
                  <c:v>7.333</c:v>
                </c:pt>
                <c:pt idx="68">
                  <c:v>7.123</c:v>
                </c:pt>
                <c:pt idx="69">
                  <c:v>6.925</c:v>
                </c:pt>
                <c:pt idx="70">
                  <c:v>6.737</c:v>
                </c:pt>
                <c:pt idx="71">
                  <c:v>6.559</c:v>
                </c:pt>
                <c:pt idx="72">
                  <c:v>6.39</c:v>
                </c:pt>
                <c:pt idx="73">
                  <c:v>6.229</c:v>
                </c:pt>
                <c:pt idx="74">
                  <c:v>6.076</c:v>
                </c:pt>
                <c:pt idx="75">
                  <c:v>5.93</c:v>
                </c:pt>
                <c:pt idx="76">
                  <c:v>5.791</c:v>
                </c:pt>
                <c:pt idx="77">
                  <c:v>5.658</c:v>
                </c:pt>
                <c:pt idx="78">
                  <c:v>5.531</c:v>
                </c:pt>
                <c:pt idx="79">
                  <c:v>5.409</c:v>
                </c:pt>
                <c:pt idx="80">
                  <c:v>5.293</c:v>
                </c:pt>
              </c:numCache>
            </c:numRef>
          </c:val>
          <c:smooth val="1"/>
        </c:ser>
        <c:dLbls>
          <c:showLegendKey val="0"/>
          <c:showVal val="0"/>
          <c:showCatName val="0"/>
          <c:showSerName val="0"/>
          <c:showPercent val="0"/>
          <c:showBubbleSize val="0"/>
        </c:dLbls>
        <c:hiLowLines>
          <c:spPr>
            <a:ln w="9525" cap="flat" cmpd="sng" algn="ctr">
              <a:solidFill>
                <a:schemeClr val="tx1">
                  <a:lumMod val="75000"/>
                  <a:lumOff val="25000"/>
                </a:schemeClr>
              </a:solidFill>
              <a:round/>
            </a:ln>
            <a:effectLst/>
          </c:spPr>
        </c:hiLowLines>
        <c:marker val="0"/>
        <c:smooth val="1"/>
        <c:axId val="877907819"/>
        <c:axId val="478768949"/>
      </c:lineChart>
      <c:catAx>
        <c:axId val="877907819"/>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b="1">
                    <a:solidFill>
                      <a:schemeClr val="tx1"/>
                    </a:solidFill>
                    <a:ea typeface="Times New Roman" panose="02020603050405020304" charset="0"/>
                    <a:sym typeface="Times New Roman" panose="02020603050405020304" charset="0"/>
                  </a:rPr>
                  <a:t>与中心点的水平距离（</a:t>
                </a:r>
                <a:r>
                  <a:rPr lang="en-US" altLang="zh-CN" b="1">
                    <a:solidFill>
                      <a:schemeClr val="tx1"/>
                    </a:solidFill>
                    <a:ea typeface="Times New Roman" panose="02020603050405020304" charset="0"/>
                    <a:sym typeface="Times New Roman" panose="02020603050405020304" charset="0"/>
                  </a:rPr>
                  <a:t>m</a:t>
                </a:r>
                <a:r>
                  <a:rPr b="1">
                    <a:solidFill>
                      <a:schemeClr val="tx1"/>
                    </a:solidFill>
                    <a:ea typeface="Times New Roman" panose="02020603050405020304" charset="0"/>
                    <a:sym typeface="Times New Roman" panose="02020603050405020304" charset="0"/>
                  </a:rPr>
                  <a:t>）</a:t>
                </a:r>
                <a:endParaRPr lang="en-US" altLang="zh-CN" b="1">
                  <a:solidFill>
                    <a:schemeClr val="tx1"/>
                  </a:solidFill>
                  <a:ea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478768949"/>
        <c:crosses val="autoZero"/>
        <c:auto val="1"/>
        <c:lblAlgn val="ctr"/>
        <c:lblOffset val="100"/>
        <c:noMultiLvlLbl val="0"/>
      </c:catAx>
      <c:valAx>
        <c:axId val="478768949"/>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工频磁感应强度（</a:t>
                </a:r>
                <a:r>
                  <a:rPr lang="en-US" altLang="zh-CN"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μT</a:t>
                </a:r>
                <a:r>
                  <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a:t>
                </a:r>
                <a:endParaRPr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877907819"/>
        <c:crosses val="autoZero"/>
        <c:crossBetween val="between"/>
        <c:majorUnit val="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3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gradFill>
          <a:gsLst>
            <a:gs pos="100000">
              <a:schemeClr val="phClr"/>
            </a:gs>
            <a:gs pos="0">
              <a:schemeClr val="phClr">
                <a:hueOff val="-1670000"/>
              </a:schemeClr>
            </a:gs>
          </a:gsLst>
          <a:lin ang="0" scaled="0"/>
        </a:gra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3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gradFill>
          <a:gsLst>
            <a:gs pos="100000">
              <a:schemeClr val="phClr"/>
            </a:gs>
            <a:gs pos="0">
              <a:schemeClr val="phClr">
                <a:hueOff val="-1670000"/>
              </a:schemeClr>
            </a:gs>
          </a:gsLst>
          <a:lin ang="0" scaled="0"/>
        </a:gra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03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gradFill>
          <a:gsLst>
            <a:gs pos="100000">
              <a:schemeClr val="phClr"/>
            </a:gs>
            <a:gs pos="0">
              <a:schemeClr val="phClr">
                <a:hueOff val="-1670000"/>
              </a:schemeClr>
            </a:gs>
          </a:gsLst>
          <a:lin ang="0" scaled="0"/>
        </a:gra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03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gradFill>
          <a:gsLst>
            <a:gs pos="100000">
              <a:schemeClr val="phClr"/>
            </a:gs>
            <a:gs pos="0">
              <a:schemeClr val="phClr">
                <a:hueOff val="-1670000"/>
              </a:schemeClr>
            </a:gs>
          </a:gsLst>
          <a:lin ang="0" scaled="0"/>
        </a:gra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Y2MDkwMjQ4OTM2IiwKCSJHcm91cElkIiA6ICI2Njc2MTg2NDAiLAoJIkltYWdlIiA6ICJpVkJPUncwS0dnb0FBQUFOU1VoRVVnQUFBMllBQUFDakNBWUFBQURoR0Exa0FBQUFBWE5TUjBJQXJzNGM2UUFBSUFCSlJFRlVlSnp0M1h0Y3p2Zi9QL0RIZFhXbElzY2xJcVlXeXJDU0dDMm5ZV0ptYkl5Wnd4em1QQ2JuVTg3NUdKTERuSTM0U0RPUlE0Z1djcXFrSkNXeG1wS29WS1RqVmUvZkg5L2U3MStYNjdwU05pNmY5YmpmYm02M3ZFL1g2N3E2ZXIvZXo5ZnIrWHE5QUN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cUxTL2grOGZZNXRoTDR3RlFBQUFBQkpSVTVFcmtKZ2dnPT0iLAoJIlRoZW1lIiA6ICIiLAoJIlR5cGUiIDogImZsb3ciLAoJIlVzZXJJZCIgOiAiNDg0NjgwMjUyIiwKCSJWZXJzaW9uIiA6ICIyM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Template>
  <Company>微软中国</Company>
  <Pages>204</Pages>
  <Words>567</Words>
  <Characters>663</Characters>
  <Lines>9</Lines>
  <Paragraphs>2</Paragraphs>
  <TotalTime>7</TotalTime>
  <ScaleCrop>false</ScaleCrop>
  <LinksUpToDate>false</LinksUpToDate>
  <CharactersWithSpaces>808</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~草叶</cp:lastModifiedBy>
  <cp:lastPrinted>2020-12-24T01:50:00Z</cp:lastPrinted>
  <dcterms:modified xsi:type="dcterms:W3CDTF">2025-12-28T14:11:11Z</dcterms:modified>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82B7EDE7C38647CB806891C03AC82FDE_13</vt:lpwstr>
  </property>
  <property fmtid="{D5CDD505-2E9C-101B-9397-08002B2CF9AE}" pid="4" name="KSOTemplateDocerSaveRecord">
    <vt:lpwstr>eyJoZGlkIjoiZmJhMWE5YzFiMjU5MzQwOGZmMjU4ZDY1M2U0OTkyODYiLCJ1c2VySWQiOiI0ODQ2ODAyNTIifQ==</vt:lpwstr>
  </property>
</Properties>
</file>