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C7A2D2A">
      <w:pPr>
        <w:pStyle w:val="98"/>
        <w:rPr>
          <w:rFonts w:hint="default" w:eastAsia="宋体"/>
          <w:lang w:val="en-US" w:eastAsia="zh-CN"/>
        </w:rPr>
      </w:pPr>
      <w:bookmarkStart w:id="0" w:name="_Toc95560009"/>
      <w:bookmarkStart w:id="1" w:name="_Toc95559730"/>
      <w:r>
        <w:t>附件</w:t>
      </w:r>
      <w:r>
        <w:rPr>
          <w:rFonts w:hint="eastAsia"/>
        </w:rPr>
        <w:t>1</w:t>
      </w:r>
      <w:r>
        <w:rPr>
          <w:rFonts w:hint="eastAsia"/>
          <w:lang w:val="en-US" w:eastAsia="zh-CN"/>
        </w:rPr>
        <w:t>应急管理厅关于变更双柳煤矿登记生产能力的通知</w:t>
      </w:r>
    </w:p>
    <w:p w14:paraId="3049BABD">
      <w:pPr>
        <w:pStyle w:val="95"/>
        <w:spacing w:line="240" w:lineRule="auto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83" name="图片 83" descr="黑应急发〔2024〕136号关于变更宝清县双柳煤矿有限公司登记生产能力的通知(2)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 descr="黑应急发〔2024〕136号关于变更宝清县双柳煤矿有限公司登记生产能力的通知(2)_0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82" name="图片 82" descr="黑应急发〔2024〕136号关于变更宝清县双柳煤矿有限公司登记生产能力的通知(2)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 descr="黑应急发〔2024〕136号关于变更宝清县双柳煤矿有限公司登记生产能力的通知(2)_0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524E38">
      <w:pPr>
        <w:pStyle w:val="98"/>
        <w:rPr>
          <w:rFonts w:hint="default" w:eastAsia="宋体"/>
          <w:lang w:val="en-US" w:eastAsia="zh-CN"/>
        </w:rPr>
      </w:pPr>
      <w:r>
        <w:t>附件</w:t>
      </w:r>
      <w:r>
        <w:rPr>
          <w:rFonts w:hint="eastAsia"/>
          <w:lang w:val="en-US" w:eastAsia="zh-CN"/>
        </w:rPr>
        <w:t>2国家发改委关于核增生产能力产能置换方案的复函</w:t>
      </w:r>
    </w:p>
    <w:p w14:paraId="0D58C0E5">
      <w:pPr>
        <w:pStyle w:val="83"/>
        <w:bidi w:val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62245" cy="7440295"/>
            <wp:effectExtent l="0" t="0" r="14605" b="8255"/>
            <wp:docPr id="91" name="图片 91" descr="产能置换复函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91" descr="产能置换复函_0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744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62245" cy="7440295"/>
            <wp:effectExtent l="0" t="0" r="14605" b="8255"/>
            <wp:docPr id="90" name="图片 90" descr="产能置换复函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90" descr="产能置换复函_0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744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62245" cy="7440295"/>
            <wp:effectExtent l="0" t="0" r="14605" b="8255"/>
            <wp:docPr id="89" name="图片 89" descr="产能置换复函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9" descr="产能置换复函_0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744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62245" cy="7440295"/>
            <wp:effectExtent l="0" t="0" r="14605" b="8255"/>
            <wp:docPr id="88" name="图片 88" descr="产能置换复函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8" descr="产能置换复函_0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744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62245" cy="7440295"/>
            <wp:effectExtent l="0" t="0" r="14605" b="8255"/>
            <wp:docPr id="87" name="图片 87" descr="产能置换复函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7" descr="产能置换复函_0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744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62245" cy="7440295"/>
            <wp:effectExtent l="0" t="0" r="14605" b="8255"/>
            <wp:docPr id="86" name="图片 86" descr="产能置换复函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6" descr="产能置换复函_0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744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62245" cy="7440295"/>
            <wp:effectExtent l="0" t="0" r="14605" b="8255"/>
            <wp:docPr id="85" name="图片 85" descr="产能置换复函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 descr="产能置换复函_0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744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62245" cy="7440295"/>
            <wp:effectExtent l="0" t="0" r="14605" b="8255"/>
            <wp:docPr id="84" name="图片 84" descr="产能置换复函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 descr="产能置换复函_0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744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1DB625">
      <w:pPr>
        <w:pStyle w:val="98"/>
        <w:rPr>
          <w:rFonts w:hint="default" w:eastAsia="宋体"/>
          <w:lang w:val="en-US" w:eastAsia="zh-CN"/>
        </w:rPr>
      </w:pPr>
      <w:r>
        <w:t>附件</w:t>
      </w:r>
      <w:r>
        <w:rPr>
          <w:rFonts w:hint="eastAsia"/>
          <w:lang w:val="en-US" w:eastAsia="zh-CN"/>
        </w:rPr>
        <w:t>3宝清县煤炭矿区总体规划环境影响报告书审查意见</w:t>
      </w:r>
    </w:p>
    <w:p w14:paraId="3C14E073">
      <w:pPr>
        <w:pStyle w:val="83"/>
        <w:bidi w:val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18" name="图片 118" descr="关于《黑龙江省宝清县煤炭矿区总体规划环境影响报告书》的审查意见正文（可编辑）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118" descr="关于《黑龙江省宝清县煤炭矿区总体规划环境影响报告书》的审查意见正文（可编辑）_0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17" name="图片 117" descr="关于《黑龙江省宝清县煤炭矿区总体规划环境影响报告书》的审查意见正文（可编辑）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117" descr="关于《黑龙江省宝清县煤炭矿区总体规划环境影响报告书》的审查意见正文（可编辑）_0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16" name="图片 116" descr="关于《黑龙江省宝清县煤炭矿区总体规划环境影响报告书》的审查意见正文（可编辑）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116" descr="关于《黑龙江省宝清县煤炭矿区总体规划环境影响报告书》的审查意见正文（可编辑）_0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15" name="图片 115" descr="关于《黑龙江省宝清县煤炭矿区总体规划环境影响报告书》的审查意见正文（可编辑）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115" descr="关于《黑龙江省宝清县煤炭矿区总体规划环境影响报告书》的审查意见正文（可编辑）_0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14" name="图片 114" descr="关于《黑龙江省宝清县煤炭矿区总体规划环境影响报告书》的审查意见正文（可编辑）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114" descr="关于《黑龙江省宝清县煤炭矿区总体规划环境影响报告书》的审查意见正文（可编辑）_0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13" name="图片 113" descr="关于《黑龙江省宝清县煤炭矿区总体规划环境影响报告书》的审查意见正文（可编辑）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113" descr="关于《黑龙江省宝清县煤炭矿区总体规划环境影响报告书》的审查意见正文（可编辑）_0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12" name="图片 112" descr="关于《黑龙江省宝清县煤炭矿区总体规划环境影响报告书》的审查意见正文（可编辑）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112" descr="关于《黑龙江省宝清县煤炭矿区总体规划环境影响报告书》的审查意见正文（可编辑）_0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11" name="图片 111" descr="关于《黑龙江省宝清县煤炭矿区总体规划环境影响报告书》的审查意见正文（可编辑）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111" descr="关于《黑龙江省宝清县煤炭矿区总体规划环境影响报告书》的审查意见正文（可编辑）_0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195B31">
      <w:pPr>
        <w:pStyle w:val="98"/>
        <w:rPr>
          <w:rFonts w:hint="default" w:eastAsia="宋体"/>
          <w:lang w:val="en-US" w:eastAsia="zh-CN"/>
        </w:rPr>
      </w:pPr>
      <w:r>
        <w:t>附件</w:t>
      </w:r>
      <w:r>
        <w:rPr>
          <w:rFonts w:hint="eastAsia"/>
          <w:lang w:val="en-US" w:eastAsia="zh-CN"/>
        </w:rPr>
        <w:t>4 宝清县煤炭矿区总体规划批复</w:t>
      </w:r>
    </w:p>
    <w:p w14:paraId="445CF060">
      <w:pPr>
        <w:ind w:left="0" w:leftChars="0" w:firstLine="0" w:firstLineChars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67960" cy="7450455"/>
            <wp:effectExtent l="0" t="0" r="8890" b="17145"/>
            <wp:docPr id="231" name="图片 231" descr="总体规划批复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" name="图片 231" descr="总体规划批复_0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67960" cy="7450455"/>
            <wp:effectExtent l="0" t="0" r="8890" b="17145"/>
            <wp:docPr id="219" name="图片 219" descr="总体规划批复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" name="图片 219" descr="总体规划批复_0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67960" cy="7450455"/>
            <wp:effectExtent l="0" t="0" r="8890" b="17145"/>
            <wp:docPr id="218" name="图片 218" descr="总体规划批复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图片 218" descr="总体规划批复_0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67960" cy="7450455"/>
            <wp:effectExtent l="0" t="0" r="8890" b="17145"/>
            <wp:docPr id="217" name="图片 217" descr="总体规划批复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" name="图片 217" descr="总体规划批复_0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67960" cy="7450455"/>
            <wp:effectExtent l="0" t="0" r="8890" b="17145"/>
            <wp:docPr id="216" name="图片 216" descr="总体规划批复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图片 216" descr="总体规划批复_0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67960" cy="7450455"/>
            <wp:effectExtent l="0" t="0" r="8890" b="17145"/>
            <wp:docPr id="61" name="图片 61" descr="总体规划批复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 descr="总体规划批复_0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F6EEC9">
      <w:pPr>
        <w:pStyle w:val="98"/>
      </w:pPr>
      <w:r>
        <w:t>附件</w:t>
      </w:r>
      <w:r>
        <w:rPr>
          <w:rFonts w:hint="eastAsia"/>
          <w:lang w:val="en-US" w:eastAsia="zh-CN"/>
        </w:rPr>
        <w:t>5</w:t>
      </w:r>
      <w:r>
        <w:t>营业执照</w:t>
      </w:r>
      <w:bookmarkEnd w:id="0"/>
      <w:bookmarkEnd w:id="1"/>
    </w:p>
    <w:p w14:paraId="7604C6AC">
      <w:pPr>
        <w:pStyle w:val="68"/>
      </w:pPr>
      <w:r>
        <w:drawing>
          <wp:inline distT="0" distB="0" distL="0" distR="0">
            <wp:extent cx="5685155" cy="8048625"/>
            <wp:effectExtent l="0" t="0" r="0" b="9525"/>
            <wp:docPr id="77" name="图片 77" descr="营业执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7" descr="营业执照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85155" cy="804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6AE0AA">
      <w:pPr>
        <w:pStyle w:val="68"/>
      </w:pPr>
    </w:p>
    <w:p w14:paraId="7F4352B4">
      <w:pPr>
        <w:pStyle w:val="98"/>
        <w:rPr>
          <w:rFonts w:hint="default" w:eastAsia="宋体"/>
          <w:lang w:val="en-US" w:eastAsia="zh-CN"/>
        </w:rPr>
      </w:pPr>
      <w:bookmarkStart w:id="2" w:name="_Toc95559731"/>
      <w:bookmarkStart w:id="3" w:name="_Toc95560010"/>
      <w:r>
        <w:t>附件</w:t>
      </w:r>
      <w:r>
        <w:rPr>
          <w:rFonts w:hint="eastAsia"/>
          <w:lang w:val="en-US" w:eastAsia="zh-CN"/>
        </w:rPr>
        <w:t>6</w:t>
      </w:r>
      <w:r>
        <w:t>采矿许可证</w:t>
      </w:r>
      <w:bookmarkEnd w:id="2"/>
      <w:bookmarkEnd w:id="3"/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2020年、2010年</w:t>
      </w:r>
      <w:r>
        <w:rPr>
          <w:rFonts w:hint="eastAsia"/>
          <w:lang w:eastAsia="zh-CN"/>
        </w:rPr>
        <w:t>）</w:t>
      </w:r>
    </w:p>
    <w:p w14:paraId="6C2C8A34">
      <w:pPr>
        <w:pStyle w:val="68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69865" cy="3726815"/>
            <wp:effectExtent l="0" t="0" r="6985" b="6985"/>
            <wp:docPr id="76" name="图片 76" descr="2020年采矿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 descr="2020年采矿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726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18009A">
      <w:pPr>
        <w:pStyle w:val="68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69230" cy="3693160"/>
            <wp:effectExtent l="0" t="0" r="7620" b="2540"/>
            <wp:docPr id="78" name="图片 78" descr="2010采矿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 descr="2010采矿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693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1399A9">
      <w:pPr>
        <w:pStyle w:val="68"/>
      </w:pPr>
    </w:p>
    <w:p w14:paraId="2128729C">
      <w:pPr>
        <w:pStyle w:val="98"/>
      </w:pPr>
      <w:bookmarkStart w:id="4" w:name="_Toc95560011"/>
      <w:bookmarkStart w:id="5" w:name="_Toc95559732"/>
      <w:r>
        <w:t>附件</w:t>
      </w:r>
      <w:r>
        <w:rPr>
          <w:rFonts w:hint="eastAsia"/>
          <w:lang w:val="en-US" w:eastAsia="zh-CN"/>
        </w:rPr>
        <w:t>7</w:t>
      </w:r>
      <w:r>
        <w:t>安全生产许可证</w:t>
      </w:r>
      <w:bookmarkEnd w:id="4"/>
      <w:bookmarkEnd w:id="5"/>
    </w:p>
    <w:p w14:paraId="4ED23973">
      <w:pPr>
        <w:pStyle w:val="68"/>
      </w:pPr>
      <w:r>
        <w:drawing>
          <wp:inline distT="0" distB="0" distL="114300" distR="114300">
            <wp:extent cx="8303895" cy="5841365"/>
            <wp:effectExtent l="0" t="0" r="6985" b="1905"/>
            <wp:docPr id="8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303895" cy="5841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26080C">
      <w:pPr>
        <w:pStyle w:val="98"/>
        <w:rPr>
          <w:rFonts w:hint="eastAsia"/>
          <w:lang w:eastAsia="zh-CN"/>
        </w:rPr>
      </w:pPr>
      <w:r>
        <w:rPr>
          <w:rFonts w:hint="eastAsia"/>
        </w:rPr>
        <w:t>附件</w:t>
      </w:r>
      <w:r>
        <w:rPr>
          <w:rFonts w:hint="eastAsia"/>
          <w:lang w:val="en-US" w:eastAsia="zh-CN"/>
        </w:rPr>
        <w:t>8</w:t>
      </w:r>
      <w:r>
        <w:rPr>
          <w:rFonts w:hint="eastAsia"/>
        </w:rPr>
        <w:t>建设用地规划许可证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土地文件</w:t>
      </w:r>
      <w:r>
        <w:rPr>
          <w:rFonts w:hint="eastAsia"/>
          <w:lang w:eastAsia="zh-CN"/>
        </w:rPr>
        <w:t>）</w:t>
      </w:r>
    </w:p>
    <w:p w14:paraId="7574E943">
      <w:pPr>
        <w:pStyle w:val="68"/>
      </w:pPr>
      <w:r>
        <w:drawing>
          <wp:inline distT="0" distB="0" distL="0" distR="0">
            <wp:extent cx="5267325" cy="7448550"/>
            <wp:effectExtent l="0" t="0" r="9525" b="0"/>
            <wp:docPr id="74" name="图片 74" descr="建设用地规划许可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 descr="建设用地规划许可证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44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1E8FAA">
      <w:pPr>
        <w:pStyle w:val="68"/>
        <w:rPr>
          <w:rFonts w:hint="eastAsia"/>
        </w:rPr>
      </w:pPr>
      <w:r>
        <w:drawing>
          <wp:inline distT="0" distB="0" distL="0" distR="0">
            <wp:extent cx="5267325" cy="7448550"/>
            <wp:effectExtent l="0" t="0" r="9525" b="0"/>
            <wp:docPr id="73" name="图片 73" descr="建设用地规划许可证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 descr="建设用地规划许可证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44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998DE9">
      <w:pPr>
        <w:pStyle w:val="98"/>
        <w:rPr>
          <w:rFonts w:hint="default" w:eastAsia="宋体"/>
          <w:lang w:val="en-US" w:eastAsia="zh-CN"/>
        </w:rPr>
      </w:pPr>
      <w:bookmarkStart w:id="6" w:name="_Toc95560012"/>
      <w:bookmarkStart w:id="7" w:name="_Toc95559733"/>
      <w:r>
        <w:rPr>
          <w:rFonts w:hint="eastAsia"/>
        </w:rPr>
        <w:t>附件</w:t>
      </w:r>
      <w:r>
        <w:rPr>
          <w:rFonts w:hint="eastAsia"/>
          <w:lang w:val="en-US" w:eastAsia="zh-CN"/>
        </w:rPr>
        <w:t>9</w:t>
      </w:r>
      <w:r>
        <w:rPr>
          <w:rFonts w:hint="eastAsia"/>
        </w:rPr>
        <w:t>双柳煤矿环境影响报告书的批复</w:t>
      </w:r>
      <w:bookmarkEnd w:id="6"/>
      <w:bookmarkEnd w:id="7"/>
      <w:r>
        <w:rPr>
          <w:rFonts w:hint="eastAsia"/>
          <w:lang w:val="en-US" w:eastAsia="zh-CN"/>
        </w:rPr>
        <w:t>及竣工环保验收意见</w:t>
      </w:r>
    </w:p>
    <w:p w14:paraId="12204AE3">
      <w:pPr>
        <w:ind w:firstLine="0" w:firstLineChars="0"/>
        <w:jc w:val="left"/>
        <w:rPr>
          <w:b/>
          <w:sz w:val="32"/>
          <w:szCs w:val="32"/>
        </w:rPr>
        <w:sectPr>
          <w:pgSz w:w="11906" w:h="16838"/>
          <w:pgMar w:top="1440" w:right="1800" w:bottom="1440" w:left="1800" w:header="851" w:footer="992" w:gutter="0"/>
          <w:pgNumType w:start="1"/>
          <w:cols w:space="720" w:num="1"/>
          <w:docGrid w:type="lines" w:linePitch="312" w:charSpace="0"/>
        </w:sectPr>
      </w:pPr>
      <w:r>
        <w:rPr>
          <w:b/>
          <w:sz w:val="32"/>
          <w:szCs w:val="32"/>
        </w:rPr>
        <w:drawing>
          <wp:inline distT="0" distB="0" distL="0" distR="0">
            <wp:extent cx="5267325" cy="7448550"/>
            <wp:effectExtent l="0" t="0" r="9525" b="0"/>
            <wp:docPr id="72" name="图片 72" descr="批文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 descr="批文 (1)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44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6C2D88">
      <w:pPr>
        <w:ind w:firstLine="0" w:firstLineChars="0"/>
        <w:jc w:val="left"/>
        <w:rPr>
          <w:b/>
          <w:sz w:val="32"/>
          <w:szCs w:val="32"/>
        </w:rPr>
        <w:sectPr>
          <w:pgSz w:w="11906" w:h="16838"/>
          <w:pgMar w:top="1440" w:right="1800" w:bottom="1440" w:left="1800" w:header="851" w:footer="992" w:gutter="0"/>
          <w:cols w:space="720" w:num="1"/>
          <w:docGrid w:type="lines" w:linePitch="312" w:charSpace="0"/>
        </w:sectPr>
      </w:pPr>
      <w:r>
        <w:rPr>
          <w:b/>
          <w:sz w:val="32"/>
          <w:szCs w:val="32"/>
        </w:rPr>
        <w:drawing>
          <wp:inline distT="0" distB="0" distL="0" distR="0">
            <wp:extent cx="5267325" cy="7448550"/>
            <wp:effectExtent l="0" t="0" r="9525" b="0"/>
            <wp:docPr id="71" name="图片 71" descr="批文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 descr="批文 (2)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44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7BB113">
      <w:pPr>
        <w:pStyle w:val="95"/>
      </w:pPr>
      <w:r>
        <w:drawing>
          <wp:inline distT="0" distB="0" distL="0" distR="0">
            <wp:extent cx="5267325" cy="7448550"/>
            <wp:effectExtent l="0" t="0" r="9525" b="0"/>
            <wp:docPr id="70" name="图片 70" descr="批文 (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 descr="批文 (3)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44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67325" cy="7448550"/>
            <wp:effectExtent l="0" t="0" r="9525" b="0"/>
            <wp:docPr id="69" name="图片 69" descr="批文 (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 descr="批文 (4)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44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CCB431">
      <w:pPr>
        <w:ind w:left="480" w:firstLine="0" w:firstLineChars="0"/>
        <w:rPr>
          <w:rFonts w:ascii="宋体" w:hAnsi="宋体" w:cs="宋体"/>
        </w:rPr>
      </w:pPr>
    </w:p>
    <w:p w14:paraId="5AC0B8BD">
      <w:pPr>
        <w:pStyle w:val="68"/>
      </w:pPr>
      <w:r>
        <w:drawing>
          <wp:inline distT="0" distB="0" distL="0" distR="0">
            <wp:extent cx="5514975" cy="7800975"/>
            <wp:effectExtent l="0" t="0" r="9525" b="9525"/>
            <wp:docPr id="68" name="图片 68" descr="环保竣工验收意见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 descr="环保竣工验收意见_2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780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514975" cy="7800975"/>
            <wp:effectExtent l="0" t="0" r="9525" b="9525"/>
            <wp:docPr id="67" name="图片 67" descr="环保竣工验收意见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 descr="环保竣工验收意见_3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780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514975" cy="7800975"/>
            <wp:effectExtent l="0" t="0" r="9525" b="9525"/>
            <wp:docPr id="66" name="图片 66" descr="环保竣工验收意见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 descr="环保竣工验收意见_4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780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514975" cy="7800975"/>
            <wp:effectExtent l="0" t="0" r="9525" b="9525"/>
            <wp:docPr id="65" name="图片 65" descr="环保竣工验收意见_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环保竣工验收意见_5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780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514975" cy="7800975"/>
            <wp:effectExtent l="0" t="0" r="9525" b="9525"/>
            <wp:docPr id="64" name="图片 64" descr="环保竣工验收意见_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环保竣工验收意见_6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780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514975" cy="7800975"/>
            <wp:effectExtent l="0" t="0" r="9525" b="9525"/>
            <wp:docPr id="63" name="图片 63" descr="环保竣工验收意见_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环保竣工验收意见_7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780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D1F88F">
      <w:pPr>
        <w:pStyle w:val="68"/>
      </w:pPr>
    </w:p>
    <w:p w14:paraId="1909EB53">
      <w:pPr>
        <w:pStyle w:val="68"/>
        <w:rPr>
          <w:rFonts w:hint="eastAsia"/>
        </w:rPr>
      </w:pPr>
    </w:p>
    <w:p w14:paraId="5FA165B5">
      <w:pPr>
        <w:pStyle w:val="98"/>
        <w:rPr>
          <w:rFonts w:hint="eastAsia" w:eastAsia="宋体"/>
          <w:lang w:eastAsia="zh-CN"/>
        </w:rPr>
      </w:pPr>
      <w:bookmarkStart w:id="8" w:name="_Toc95560014"/>
      <w:bookmarkStart w:id="9" w:name="_Toc95559735"/>
      <w:r>
        <w:t>附件</w:t>
      </w:r>
      <w:r>
        <w:rPr>
          <w:rFonts w:hint="eastAsia"/>
          <w:lang w:val="en-US" w:eastAsia="zh-CN"/>
        </w:rPr>
        <w:t>10双柳煤矿锅炉房改造项目环境影响报告表的批复及验收意见</w:t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67960" cy="7450455"/>
            <wp:effectExtent l="0" t="0" r="8890" b="17145"/>
            <wp:docPr id="97" name="图片 97" descr="锅炉环评批复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97" descr="锅炉环评批复_00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67960" cy="7450455"/>
            <wp:effectExtent l="0" t="0" r="8890" b="17145"/>
            <wp:docPr id="96" name="图片 96" descr="锅炉环评批复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96" descr="锅炉环评批复_01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67960" cy="7450455"/>
            <wp:effectExtent l="0" t="0" r="8890" b="17145"/>
            <wp:docPr id="95" name="图片 95" descr="锅炉环评批复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95" descr="锅炉环评批复_02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67960" cy="7450455"/>
            <wp:effectExtent l="0" t="0" r="8890" b="17145"/>
            <wp:docPr id="94" name="图片 94" descr="锅炉环评批复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94" descr="锅炉环评批复_03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67960" cy="7450455"/>
            <wp:effectExtent l="0" t="0" r="8890" b="17145"/>
            <wp:docPr id="93" name="图片 93" descr="锅炉环评批复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93" descr="锅炉环评批复_04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ECB1FD">
      <w:pPr>
        <w:pStyle w:val="95"/>
        <w:spacing w:line="240" w:lineRule="auto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7960" cy="7453630"/>
            <wp:effectExtent l="0" t="0" r="8890" b="13970"/>
            <wp:docPr id="92" name="图片 92" descr="专家意见及签到表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92" descr="专家意见及签到表_01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7960" cy="7453630"/>
            <wp:effectExtent l="0" t="0" r="8890" b="13970"/>
            <wp:docPr id="80" name="图片 80" descr="专家意见及签到表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 descr="专家意见及签到表_02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7960" cy="7453630"/>
            <wp:effectExtent l="0" t="0" r="8890" b="13970"/>
            <wp:docPr id="79" name="图片 79" descr="专家意见及签到表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 descr="专家意见及签到表_03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8FB554">
      <w:pPr>
        <w:pStyle w:val="95"/>
        <w:spacing w:line="240" w:lineRule="auto"/>
        <w:rPr>
          <w:rFonts w:hint="eastAsia"/>
          <w:lang w:eastAsia="zh-CN"/>
        </w:rPr>
      </w:pPr>
    </w:p>
    <w:p w14:paraId="2B7DC837">
      <w:pPr>
        <w:pStyle w:val="98"/>
        <w:rPr>
          <w:rFonts w:hint="default" w:eastAsia="宋体"/>
          <w:lang w:val="en-US" w:eastAsia="zh-CN"/>
        </w:rPr>
      </w:pPr>
      <w:r>
        <w:t>附件</w:t>
      </w:r>
      <w:r>
        <w:rPr>
          <w:rFonts w:hint="eastAsia"/>
          <w:lang w:val="en-US" w:eastAsia="zh-CN"/>
        </w:rPr>
        <w:t>11排污许可证</w:t>
      </w:r>
    </w:p>
    <w:p w14:paraId="40C7ECB2">
      <w:pPr>
        <w:pStyle w:val="68"/>
        <w:bidi w:val="0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7689850" cy="5436235"/>
            <wp:effectExtent l="0" t="0" r="12065" b="6350"/>
            <wp:docPr id="98" name="图片 98" descr="排污许可证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98" descr="排污许可证_00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689850" cy="5436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3CA7E2">
      <w:pPr>
        <w:pStyle w:val="98"/>
        <w:rPr>
          <w:rFonts w:hint="default" w:eastAsia="宋体"/>
          <w:lang w:val="en-US" w:eastAsia="zh-CN"/>
        </w:rPr>
      </w:pPr>
      <w:r>
        <w:t>附件</w:t>
      </w:r>
      <w:r>
        <w:rPr>
          <w:rFonts w:hint="eastAsia"/>
          <w:lang w:val="en-US" w:eastAsia="zh-CN"/>
        </w:rPr>
        <w:t>12突发环境事件应急预案备案表</w:t>
      </w:r>
    </w:p>
    <w:p w14:paraId="75EFF053">
      <w:pPr>
        <w:pStyle w:val="68"/>
        <w:bidi w:val="0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7960" cy="7453630"/>
            <wp:effectExtent l="0" t="0" r="8890" b="13970"/>
            <wp:docPr id="99" name="图片 99" descr="扫描全能王 2024-10-16 08.31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99" descr="扫描全能王 2024-10-16 08.31_00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8F786F">
      <w:pPr>
        <w:pStyle w:val="68"/>
        <w:bidi w:val="0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7960" cy="7453630"/>
            <wp:effectExtent l="0" t="0" r="8890" b="13970"/>
            <wp:docPr id="100" name="图片 100" descr="扫描全能王 2024-10-16 08.32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100" descr="扫描全能王 2024-10-16 08.32_00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D1B3FE">
      <w:pPr>
        <w:pStyle w:val="98"/>
        <w:rPr>
          <w:rFonts w:hint="default" w:eastAsia="宋体"/>
          <w:lang w:val="en-US" w:eastAsia="zh-CN"/>
        </w:rPr>
      </w:pPr>
      <w:r>
        <w:t>附件</w:t>
      </w:r>
      <w:r>
        <w:rPr>
          <w:rFonts w:hint="eastAsia"/>
          <w:lang w:val="en-US" w:eastAsia="zh-CN"/>
        </w:rPr>
        <w:t>13鑫瑞选煤厂环评批复及竣工环境保护验收意见</w:t>
      </w:r>
    </w:p>
    <w:p w14:paraId="1FBD6D35">
      <w:pPr>
        <w:pStyle w:val="68"/>
        <w:bidi w:val="0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7960" cy="7450455"/>
            <wp:effectExtent l="0" t="0" r="8890" b="17145"/>
            <wp:docPr id="106" name="图片 106" descr="双宝环审〔2024〕12号 关于宝清县鑫瑞煤炭洗选有限公司120万吨选煤厂项目环境影响报告表的批复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106" descr="双宝环审〔2024〕12号 关于宝清县鑫瑞煤炭洗选有限公司120万吨选煤厂项目环境影响报告表的批复_00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7960" cy="7450455"/>
            <wp:effectExtent l="0" t="0" r="8890" b="17145"/>
            <wp:docPr id="105" name="图片 105" descr="双宝环审〔2024〕12号 关于宝清县鑫瑞煤炭洗选有限公司120万吨选煤厂项目环境影响报告表的批复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05" descr="双宝环审〔2024〕12号 关于宝清县鑫瑞煤炭洗选有限公司120万吨选煤厂项目环境影响报告表的批复_01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7960" cy="7450455"/>
            <wp:effectExtent l="0" t="0" r="8890" b="17145"/>
            <wp:docPr id="104" name="图片 104" descr="双宝环审〔2024〕12号 关于宝清县鑫瑞煤炭洗选有限公司120万吨选煤厂项目环境影响报告表的批复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04" descr="双宝环审〔2024〕12号 关于宝清县鑫瑞煤炭洗选有限公司120万吨选煤厂项目环境影响报告表的批复_02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7960" cy="7450455"/>
            <wp:effectExtent l="0" t="0" r="8890" b="17145"/>
            <wp:docPr id="103" name="图片 103" descr="双宝环审〔2024〕12号 关于宝清县鑫瑞煤炭洗选有限公司120万吨选煤厂项目环境影响报告表的批复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03" descr="双宝环审〔2024〕12号 关于宝清县鑫瑞煤炭洗选有限公司120万吨选煤厂项目环境影响报告表的批复_03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7960" cy="7450455"/>
            <wp:effectExtent l="0" t="0" r="8890" b="17145"/>
            <wp:docPr id="102" name="图片 102" descr="双宝环审〔2024〕12号 关于宝清县鑫瑞煤炭洗选有限公司120万吨选煤厂项目环境影响报告表的批复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02" descr="双宝环审〔2024〕12号 关于宝清县鑫瑞煤炭洗选有限公司120万吨选煤厂项目环境影响报告表的批复_04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A07FE4">
      <w:pPr>
        <w:pStyle w:val="68"/>
        <w:bidi w:val="0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41" name="图片 141" descr="验收意见-宝清县鑫瑞煤炭洗选有限公司120万吨选煤厂项目)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图片 141" descr="验收意见-宝清县鑫瑞煤炭洗选有限公司120万吨选煤厂项目)_00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40" name="图片 140" descr="验收意见-宝清县鑫瑞煤炭洗选有限公司120万吨选煤厂项目)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图片 140" descr="验收意见-宝清县鑫瑞煤炭洗选有限公司120万吨选煤厂项目)_01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39" name="图片 139" descr="验收意见-宝清县鑫瑞煤炭洗选有限公司120万吨选煤厂项目)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图片 139" descr="验收意见-宝清县鑫瑞煤炭洗选有限公司120万吨选煤厂项目)_02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38" name="图片 138" descr="验收意见-宝清县鑫瑞煤炭洗选有限公司120万吨选煤厂项目)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138" descr="验收意见-宝清县鑫瑞煤炭洗选有限公司120万吨选煤厂项目)_03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C87CF3">
      <w:pPr>
        <w:pStyle w:val="98"/>
        <w:rPr>
          <w:rFonts w:hint="default" w:eastAsia="宋体"/>
          <w:lang w:val="en-US" w:eastAsia="zh-CN"/>
        </w:rPr>
      </w:pPr>
      <w:r>
        <w:t>附件</w:t>
      </w:r>
      <w:r>
        <w:rPr>
          <w:rFonts w:hint="eastAsia"/>
          <w:lang w:val="en-US" w:eastAsia="zh-CN"/>
        </w:rPr>
        <w:t>14鑫瑞选煤厂煤矸石综合利用方案</w:t>
      </w:r>
    </w:p>
    <w:p w14:paraId="61895AAC">
      <w:pPr>
        <w:pStyle w:val="83"/>
        <w:bidi w:val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67960" cy="7453630"/>
            <wp:effectExtent l="0" t="0" r="8890" b="13970"/>
            <wp:docPr id="110" name="图片 110" descr="扫描全能王 2024-10-15 10.47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110" descr="扫描全能王 2024-10-15 10.47_00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73FBC3">
      <w:pPr>
        <w:pStyle w:val="83"/>
        <w:bidi w:val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67960" cy="7453630"/>
            <wp:effectExtent l="0" t="0" r="8890" b="13970"/>
            <wp:docPr id="107" name="图片 107" descr="扫描全能王 2024-10-15 10.49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07" descr="扫描全能王 2024-10-15 10.49_00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67960" cy="7453630"/>
            <wp:effectExtent l="0" t="0" r="8890" b="13970"/>
            <wp:docPr id="109" name="图片 109" descr="扫描全能王 2024-10-15 10.48 (1)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109" descr="扫描全能王 2024-10-15 10.48 (1)_00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67960" cy="7453630"/>
            <wp:effectExtent l="0" t="0" r="8890" b="13970"/>
            <wp:docPr id="108" name="图片 108" descr="扫描全能王 2024-10-15 10.48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108" descr="扫描全能王 2024-10-15 10.48_00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6A3BC1">
      <w:pPr>
        <w:pStyle w:val="98"/>
      </w:pPr>
      <w:r>
        <w:t>附件</w:t>
      </w:r>
      <w:r>
        <w:rPr>
          <w:rFonts w:hint="eastAsia"/>
          <w:lang w:val="en-US" w:eastAsia="zh-CN"/>
        </w:rPr>
        <w:t>15</w:t>
      </w:r>
      <w:r>
        <w:rPr>
          <w:rFonts w:hint="eastAsia"/>
        </w:rPr>
        <w:t>取水</w:t>
      </w:r>
      <w:r>
        <w:rPr>
          <w:rFonts w:hint="eastAsia"/>
          <w:lang w:val="en-US" w:eastAsia="zh-CN"/>
        </w:rPr>
        <w:t>许可证（编号C230523G2024-0015）</w:t>
      </w:r>
      <w:bookmarkEnd w:id="8"/>
      <w:bookmarkEnd w:id="9"/>
    </w:p>
    <w:p w14:paraId="438652D3">
      <w:pPr>
        <w:pStyle w:val="73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47640" cy="3708400"/>
            <wp:effectExtent l="0" t="0" r="10160" b="6350"/>
            <wp:docPr id="230" name="图片 230" descr="C230523G2024-0015宝清县双柳煤矿有限公司 (1)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图片 230" descr="C230523G2024-0015宝清县双柳煤矿有限公司 (1)1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47640" cy="370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47640" cy="3708400"/>
            <wp:effectExtent l="0" t="0" r="10160" b="6350"/>
            <wp:docPr id="229" name="图片 229" descr="C230523G2024-0015宝清县双柳煤矿有限公司 (1)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图片 229" descr="C230523G2024-0015宝清县双柳煤矿有限公司 (1)2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47640" cy="370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47640" cy="3708400"/>
            <wp:effectExtent l="0" t="0" r="10160" b="6350"/>
            <wp:docPr id="228" name="图片 228" descr="C230523G2024-0015宝清县双柳煤矿有限公司 (1)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图片 228" descr="C230523G2024-0015宝清县双柳煤矿有限公司 (1)3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47640" cy="370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47640" cy="3708400"/>
            <wp:effectExtent l="0" t="0" r="10160" b="6350"/>
            <wp:docPr id="227" name="图片 227" descr="C230523G2024-0015宝清县双柳煤矿有限公司 (1)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图片 227" descr="C230523G2024-0015宝清县双柳煤矿有限公司 (1)4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47640" cy="370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47640" cy="3708400"/>
            <wp:effectExtent l="0" t="0" r="10160" b="6350"/>
            <wp:docPr id="226" name="图片 226" descr="C230523G2024-0015宝清县双柳煤矿有限公司 (1)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图片 226" descr="C230523G2024-0015宝清县双柳煤矿有限公司 (1)5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47640" cy="370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47640" cy="3708400"/>
            <wp:effectExtent l="0" t="0" r="10160" b="6350"/>
            <wp:docPr id="225" name="图片 225" descr="C230523G2024-0015宝清县双柳煤矿有限公司 (1)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图片 225" descr="C230523G2024-0015宝清县双柳煤矿有限公司 (1)6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247640" cy="370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47640" cy="3708400"/>
            <wp:effectExtent l="0" t="0" r="10160" b="6350"/>
            <wp:docPr id="224" name="图片 224" descr="C230523G2024-0015宝清县双柳煤矿有限公司 (1)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图片 224" descr="C230523G2024-0015宝清县双柳煤矿有限公司 (1)7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47640" cy="370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47640" cy="3708400"/>
            <wp:effectExtent l="0" t="0" r="10160" b="6350"/>
            <wp:docPr id="223" name="图片 223" descr="C230523G2024-0015宝清县双柳煤矿有限公司 (1)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" name="图片 223" descr="C230523G2024-0015宝清县双柳煤矿有限公司 (1)8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247640" cy="370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47640" cy="3708400"/>
            <wp:effectExtent l="0" t="0" r="10160" b="6350"/>
            <wp:docPr id="222" name="图片 222" descr="C230523G2024-0015宝清县双柳煤矿有限公司 (1)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图片 222" descr="C230523G2024-0015宝清县双柳煤矿有限公司 (1)9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47640" cy="370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47640" cy="3708400"/>
            <wp:effectExtent l="0" t="0" r="10160" b="6350"/>
            <wp:docPr id="221" name="图片 221" descr="C230523G2024-0015宝清县双柳煤矿有限公司 (1)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图片 221" descr="C230523G2024-0015宝清县双柳煤矿有限公司 (1)10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247640" cy="370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47640" cy="3708400"/>
            <wp:effectExtent l="0" t="0" r="10160" b="6350"/>
            <wp:docPr id="220" name="图片 220" descr="C230523G2024-0015宝清县双柳煤矿有限公司 (1)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图片 220" descr="C230523G2024-0015宝清县双柳煤矿有限公司 (1)11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247640" cy="370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FE8F34">
      <w:pPr>
        <w:pStyle w:val="98"/>
        <w:rPr>
          <w:sz w:val="32"/>
          <w:szCs w:val="32"/>
        </w:rPr>
      </w:pPr>
      <w:r>
        <w:rPr>
          <w:sz w:val="32"/>
          <w:szCs w:val="32"/>
        </w:rPr>
        <w:br w:type="page"/>
      </w:r>
      <w:bookmarkStart w:id="10" w:name="_Toc95559736"/>
      <w:bookmarkStart w:id="11" w:name="_Toc95560015"/>
      <w:r>
        <w:rPr>
          <w:rFonts w:hint="eastAsia"/>
          <w:sz w:val="32"/>
          <w:szCs w:val="32"/>
        </w:rPr>
        <w:t>附件</w:t>
      </w:r>
      <w:r>
        <w:rPr>
          <w:rFonts w:hint="eastAsia"/>
          <w:sz w:val="32"/>
          <w:szCs w:val="32"/>
          <w:lang w:val="en-US" w:eastAsia="zh-CN"/>
        </w:rPr>
        <w:t>16</w:t>
      </w:r>
      <w:r>
        <w:rPr>
          <w:sz w:val="32"/>
          <w:szCs w:val="32"/>
        </w:rPr>
        <w:t xml:space="preserve"> </w:t>
      </w:r>
      <w:r>
        <w:rPr>
          <w:rFonts w:hint="eastAsia"/>
          <w:sz w:val="32"/>
          <w:szCs w:val="32"/>
        </w:rPr>
        <w:t>矿产资源储量评审备案复函</w:t>
      </w:r>
      <w:bookmarkEnd w:id="10"/>
      <w:bookmarkEnd w:id="11"/>
    </w:p>
    <w:p w14:paraId="03A92178">
      <w:pPr>
        <w:pStyle w:val="18"/>
        <w:rPr>
          <w:rFonts w:hint="eastAsia"/>
        </w:rPr>
      </w:pPr>
      <w:r>
        <w:rPr>
          <w:rFonts w:hint="eastAsia"/>
        </w:rPr>
        <w:drawing>
          <wp:inline distT="0" distB="0" distL="0" distR="0">
            <wp:extent cx="5267325" cy="7448550"/>
            <wp:effectExtent l="0" t="0" r="9525" b="0"/>
            <wp:docPr id="58" name="图片 58" descr="2020年评审备案证明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2020年评审备案证明_1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44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0" distR="0">
            <wp:extent cx="5267325" cy="7448550"/>
            <wp:effectExtent l="0" t="0" r="9525" b="0"/>
            <wp:docPr id="57" name="图片 57" descr="2020年评审备案证明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2020年评审备案证明_2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44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0" distR="0">
            <wp:extent cx="5267325" cy="7448550"/>
            <wp:effectExtent l="0" t="0" r="9525" b="0"/>
            <wp:docPr id="56" name="图片 56" descr="2020年评审备案证明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2020年评审备案证明_3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44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0" distR="0">
            <wp:extent cx="5267325" cy="7448550"/>
            <wp:effectExtent l="0" t="0" r="9525" b="0"/>
            <wp:docPr id="55" name="图片 55" descr="2020年评审备案证明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2020年评审备案证明_4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44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0" distR="0">
            <wp:extent cx="5267325" cy="7448550"/>
            <wp:effectExtent l="0" t="0" r="9525" b="0"/>
            <wp:docPr id="54" name="图片 54" descr="2020年评审备案证明_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2020年评审备案证明_5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44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0" distR="0">
            <wp:extent cx="5267325" cy="7448550"/>
            <wp:effectExtent l="0" t="0" r="9525" b="0"/>
            <wp:docPr id="53" name="图片 53" descr="2020年评审备案证明_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2020年评审备案证明_6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44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0" distR="0">
            <wp:extent cx="5267325" cy="7448550"/>
            <wp:effectExtent l="0" t="0" r="9525" b="0"/>
            <wp:docPr id="52" name="图片 52" descr="2020年评审备案证明_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2020年评审备案证明_7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44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0" distR="0">
            <wp:extent cx="5267325" cy="7448550"/>
            <wp:effectExtent l="0" t="0" r="9525" b="0"/>
            <wp:docPr id="51" name="图片 51" descr="2020年评审备案证明_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2020年评审备案证明_8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44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0" distR="0">
            <wp:extent cx="5267325" cy="7448550"/>
            <wp:effectExtent l="0" t="0" r="9525" b="0"/>
            <wp:docPr id="50" name="图片 50" descr="2020年评审备案证明_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2020年评审备案证明_9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44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0" distR="0">
            <wp:extent cx="5267325" cy="7448550"/>
            <wp:effectExtent l="0" t="0" r="9525" b="0"/>
            <wp:docPr id="49" name="图片 49" descr="2020年评审备案证明_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2020年评审备案证明_10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44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0" distR="0">
            <wp:extent cx="5267325" cy="7448550"/>
            <wp:effectExtent l="0" t="0" r="9525" b="0"/>
            <wp:docPr id="48" name="图片 48" descr="2020年评审备案证明_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2020年评审备案证明_11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44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0" distR="0">
            <wp:extent cx="5267325" cy="7448550"/>
            <wp:effectExtent l="0" t="0" r="9525" b="0"/>
            <wp:docPr id="47" name="图片 47" descr="2020年评审备案证明_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2020年评审备案证明_12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44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0" distR="0">
            <wp:extent cx="5267325" cy="7448550"/>
            <wp:effectExtent l="0" t="0" r="9525" b="0"/>
            <wp:docPr id="46" name="图片 46" descr="2020年评审备案证明_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2020年评审备案证明_13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44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0" distR="0">
            <wp:extent cx="5267325" cy="7448550"/>
            <wp:effectExtent l="0" t="0" r="9525" b="0"/>
            <wp:docPr id="45" name="图片 45" descr="2020年评审备案证明_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2020年评审备案证明_14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44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0" distR="0">
            <wp:extent cx="5267325" cy="7448550"/>
            <wp:effectExtent l="0" t="0" r="9525" b="0"/>
            <wp:docPr id="44" name="图片 44" descr="2020年评审备案证明_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2020年评审备案证明_15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44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0" distR="0">
            <wp:extent cx="5267325" cy="7448550"/>
            <wp:effectExtent l="0" t="0" r="9525" b="0"/>
            <wp:docPr id="43" name="图片 43" descr="2020年评审备案证明_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2020年评审备案证明_16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44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0" distR="0">
            <wp:extent cx="5267325" cy="7448550"/>
            <wp:effectExtent l="0" t="0" r="9525" b="0"/>
            <wp:docPr id="42" name="图片 42" descr="2020年评审备案证明_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2020年评审备案证明_17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44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0" distR="0">
            <wp:extent cx="5267325" cy="7448550"/>
            <wp:effectExtent l="0" t="0" r="9525" b="0"/>
            <wp:docPr id="41" name="图片 41" descr="2020年评审备案证明_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2020年评审备案证明_18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44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0" distR="0">
            <wp:extent cx="5267325" cy="7448550"/>
            <wp:effectExtent l="0" t="0" r="9525" b="0"/>
            <wp:docPr id="40" name="图片 40" descr="2020年评审备案证明_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2020年评审备案证明_19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44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0" distR="0">
            <wp:extent cx="5267325" cy="7448550"/>
            <wp:effectExtent l="0" t="0" r="9525" b="0"/>
            <wp:docPr id="39" name="图片 39" descr="2020年评审备案证明_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2020年评审备案证明_20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44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428F37">
      <w:pPr>
        <w:pStyle w:val="98"/>
        <w:rPr>
          <w:rFonts w:hint="default" w:ascii="宋体" w:hAnsi="宋体" w:eastAsia="宋体" w:cs="宋体"/>
          <w:sz w:val="24"/>
          <w:lang w:val="en-US" w:eastAsia="zh-CN"/>
        </w:rPr>
      </w:pPr>
      <w:bookmarkStart w:id="12" w:name="_Toc95560018"/>
      <w:bookmarkStart w:id="13" w:name="_Toc95559739"/>
      <w:r>
        <w:rPr>
          <w:rFonts w:hint="eastAsia" w:ascii="宋体" w:hAnsi="宋体" w:cs="宋体"/>
          <w:sz w:val="24"/>
        </w:rPr>
        <w:t>附件</w:t>
      </w:r>
      <w:r>
        <w:rPr>
          <w:rFonts w:ascii="宋体" w:hAnsi="宋体" w:cs="宋体"/>
          <w:sz w:val="24"/>
        </w:rPr>
        <w:t>1</w:t>
      </w:r>
      <w:r>
        <w:rPr>
          <w:rFonts w:hint="eastAsia" w:ascii="宋体" w:hAnsi="宋体" w:cs="宋体"/>
          <w:sz w:val="24"/>
          <w:lang w:val="en-US" w:eastAsia="zh-CN"/>
        </w:rPr>
        <w:t>7 2021年调整一采区生产布局煤管局批复文件</w:t>
      </w:r>
    </w:p>
    <w:p w14:paraId="180D98A7">
      <w:pPr>
        <w:ind w:left="0" w:leftChars="0" w:firstLine="0" w:firstLineChars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67960" cy="7450455"/>
            <wp:effectExtent l="0" t="0" r="8890" b="17145"/>
            <wp:docPr id="27" name="图片 27" descr="市局一采区设计意见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市局一采区设计意见_00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67960" cy="7450455"/>
            <wp:effectExtent l="0" t="0" r="8890" b="17145"/>
            <wp:docPr id="26" name="图片 26" descr="市局一采区设计意见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市局一采区设计意见_01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67960" cy="7450455"/>
            <wp:effectExtent l="0" t="0" r="8890" b="17145"/>
            <wp:docPr id="25" name="图片 25" descr="县局一采区设计批复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县局一采区设计批复_00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67960" cy="7450455"/>
            <wp:effectExtent l="0" t="0" r="8890" b="17145"/>
            <wp:docPr id="24" name="图片 24" descr="县局一采区设计批复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县局一采区设计批复_01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67960" cy="7450455"/>
            <wp:effectExtent l="0" t="0" r="8890" b="17145"/>
            <wp:docPr id="23" name="图片 23" descr="县局一采区设计批复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县局一采区设计批复_02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D2CE4A">
      <w:pPr>
        <w:pStyle w:val="2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7960" cy="7450455"/>
            <wp:effectExtent l="0" t="0" r="8890" b="17145"/>
            <wp:docPr id="30" name="图片 30" descr="审查意见书(1)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审查意见书(1)_00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7960" cy="7450455"/>
            <wp:effectExtent l="0" t="0" r="8890" b="17145"/>
            <wp:docPr id="29" name="图片 29" descr="审查意见书(1)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审查意见书(1)_01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7960" cy="7450455"/>
            <wp:effectExtent l="0" t="0" r="8890" b="17145"/>
            <wp:docPr id="28" name="图片 28" descr="审查意见书(1)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审查意见书(1)_02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8C8870">
      <w:pPr>
        <w:pStyle w:val="98"/>
        <w:rPr>
          <w:rFonts w:hint="default" w:ascii="宋体" w:hAnsi="宋体" w:eastAsia="宋体" w:cs="宋体"/>
          <w:sz w:val="24"/>
          <w:lang w:val="en-US" w:eastAsia="zh-CN"/>
        </w:rPr>
      </w:pPr>
      <w:r>
        <w:rPr>
          <w:rFonts w:hint="eastAsia" w:ascii="宋体" w:hAnsi="宋体" w:cs="宋体"/>
          <w:sz w:val="24"/>
        </w:rPr>
        <w:t>附件</w:t>
      </w:r>
      <w:r>
        <w:rPr>
          <w:rFonts w:ascii="宋体" w:hAnsi="宋体" w:cs="宋体"/>
          <w:sz w:val="24"/>
        </w:rPr>
        <w:t>1</w:t>
      </w:r>
      <w:r>
        <w:rPr>
          <w:rFonts w:hint="eastAsia" w:ascii="宋体" w:hAnsi="宋体" w:cs="宋体"/>
          <w:sz w:val="24"/>
          <w:lang w:val="en-US" w:eastAsia="zh-CN"/>
        </w:rPr>
        <w:t>8自2021年验收后双柳煤矿实施项目发改备案承诺书（3个项目）</w:t>
      </w:r>
    </w:p>
    <w:p w14:paraId="20E14443">
      <w:pPr>
        <w:ind w:left="0" w:leftChars="0" w:firstLine="0" w:firstLineChars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67960" cy="7453630"/>
            <wp:effectExtent l="0" t="0" r="8890" b="13970"/>
            <wp:docPr id="33" name="图片 33" descr="2022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2022_00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67960" cy="7453630"/>
            <wp:effectExtent l="0" t="0" r="8890" b="13970"/>
            <wp:docPr id="32" name="图片 32" descr="2023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2023_00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67960" cy="7453630"/>
            <wp:effectExtent l="0" t="0" r="8890" b="13970"/>
            <wp:docPr id="31" name="图片 31" descr="2024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2024_00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AC5478">
      <w:pPr>
        <w:pStyle w:val="98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附件</w:t>
      </w:r>
      <w:r>
        <w:rPr>
          <w:rFonts w:ascii="宋体" w:hAnsi="宋体" w:cs="宋体"/>
          <w:sz w:val="24"/>
        </w:rPr>
        <w:t>1</w:t>
      </w:r>
      <w:r>
        <w:rPr>
          <w:rFonts w:hint="eastAsia" w:ascii="宋体" w:hAnsi="宋体" w:cs="宋体"/>
          <w:sz w:val="24"/>
          <w:lang w:val="en-US" w:eastAsia="zh-CN"/>
        </w:rPr>
        <w:t>9</w:t>
      </w:r>
      <w:r>
        <w:rPr>
          <w:rFonts w:hint="eastAsia" w:ascii="宋体" w:hAnsi="宋体" w:cs="宋体"/>
          <w:sz w:val="24"/>
        </w:rPr>
        <w:t>关于宝清县双柳煤矿有限公司智能化开采验收情况的报告</w:t>
      </w:r>
    </w:p>
    <w:p w14:paraId="61C574D2">
      <w:pPr>
        <w:pStyle w:val="95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7444105"/>
            <wp:effectExtent l="0" t="0" r="8890" b="4445"/>
            <wp:docPr id="75" name="图片 75" descr="双柳煤矿智能化开采验收报告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 descr="双柳煤矿智能化开采验收报告_00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44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7444105"/>
            <wp:effectExtent l="0" t="0" r="8890" b="4445"/>
            <wp:docPr id="62" name="图片 62" descr="双柳煤矿智能化开采验收报告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双柳煤矿智能化开采验收报告_01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44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7444105"/>
            <wp:effectExtent l="0" t="0" r="8890" b="4445"/>
            <wp:docPr id="38" name="图片 38" descr="双柳煤矿智能化开采验收报告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双柳煤矿智能化开采验收报告_02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44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7444105"/>
            <wp:effectExtent l="0" t="0" r="8890" b="4445"/>
            <wp:docPr id="37" name="图片 37" descr="双柳煤矿智能化开采验收报告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双柳煤矿智能化开采验收报告_03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44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7444105"/>
            <wp:effectExtent l="0" t="0" r="8890" b="4445"/>
            <wp:docPr id="36" name="图片 36" descr="双柳煤矿智能化开采验收报告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双柳煤矿智能化开采验收报告_04"/>
                    <pic:cNvPicPr>
                      <a:picLocks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44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7444105"/>
            <wp:effectExtent l="0" t="0" r="8890" b="4445"/>
            <wp:docPr id="35" name="图片 35" descr="双柳煤矿智能化开采验收报告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双柳煤矿智能化开采验收报告_05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44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7444105"/>
            <wp:effectExtent l="0" t="0" r="8890" b="4445"/>
            <wp:docPr id="34" name="图片 34" descr="双柳煤矿智能化开采验收报告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双柳煤矿智能化开采验收报告_06"/>
                    <pic:cNvPicPr>
                      <a:picLocks noChangeAspect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44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7444105"/>
            <wp:effectExtent l="0" t="0" r="8890" b="4445"/>
            <wp:docPr id="22" name="图片 22" descr="双柳煤矿智能化开采验收报告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双柳煤矿智能化开采验收报告_07"/>
                    <pic:cNvPicPr>
                      <a:picLocks noChangeAspect="1"/>
                    </pic:cNvPicPr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44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6C4B88">
      <w:pPr>
        <w:pStyle w:val="98"/>
        <w:rPr>
          <w:rFonts w:hint="eastAsia" w:ascii="宋体" w:hAnsi="宋体" w:cs="宋体"/>
          <w:sz w:val="24"/>
          <w:lang w:val="en-US" w:eastAsia="zh-CN"/>
        </w:rPr>
      </w:pPr>
      <w:r>
        <w:rPr>
          <w:rFonts w:hint="eastAsia" w:ascii="宋体" w:hAnsi="宋体" w:cs="宋体"/>
          <w:sz w:val="24"/>
          <w:lang w:val="en-US" w:eastAsia="zh-CN"/>
        </w:rPr>
        <w:t>附件20宝清县双柳煤矿有限公司生产能力核定报告书节选</w:t>
      </w:r>
    </w:p>
    <w:p w14:paraId="3D5E4A3E">
      <w:pPr>
        <w:pStyle w:val="95"/>
        <w:rPr>
          <w:rFonts w:hint="eastAsia" w:ascii="黑体" w:eastAsia="黑体"/>
          <w:sz w:val="32"/>
          <w:szCs w:val="32"/>
          <w:lang w:eastAsia="zh-CN"/>
        </w:rPr>
      </w:pPr>
      <w:r>
        <w:rPr>
          <w:rFonts w:hint="eastAsia" w:ascii="黑体" w:eastAsia="黑体"/>
          <w:sz w:val="32"/>
          <w:szCs w:val="32"/>
          <w:lang w:eastAsia="zh-CN"/>
        </w:rPr>
        <w:drawing>
          <wp:inline distT="0" distB="0" distL="114300" distR="114300">
            <wp:extent cx="5268595" cy="7450455"/>
            <wp:effectExtent l="0" t="0" r="8255" b="17145"/>
            <wp:docPr id="202" name="图片 1" descr="生产能力核定报告书封皮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图片 1" descr="生产能力核定报告书封皮1"/>
                    <pic:cNvPicPr>
                      <a:picLocks noChangeAspect="1"/>
                    </pic:cNvPicPr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0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F7D629">
      <w:pPr>
        <w:pStyle w:val="95"/>
        <w:rPr>
          <w:rFonts w:hint="eastAsia" w:eastAsia="楷体"/>
          <w:spacing w:val="-20"/>
          <w:sz w:val="48"/>
          <w:szCs w:val="48"/>
          <w:lang w:eastAsia="zh-CN"/>
        </w:rPr>
      </w:pPr>
      <w:r>
        <w:rPr>
          <w:rFonts w:hint="eastAsia" w:eastAsia="楷体"/>
          <w:spacing w:val="-20"/>
          <w:sz w:val="48"/>
          <w:szCs w:val="48"/>
          <w:lang w:eastAsia="zh-CN"/>
        </w:rPr>
        <w:drawing>
          <wp:inline distT="0" distB="0" distL="114300" distR="114300">
            <wp:extent cx="5498465" cy="8701405"/>
            <wp:effectExtent l="0" t="0" r="6985" b="4445"/>
            <wp:docPr id="203" name="图片 2" descr="生产能力核定报告书内业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图片 2" descr="生产能力核定报告书内业2"/>
                    <pic:cNvPicPr>
                      <a:picLocks noChangeAspect="1"/>
                    </pic:cNvPicPr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498465" cy="8701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D9F7B1">
      <w:pPr>
        <w:pStyle w:val="95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68595" cy="8094980"/>
            <wp:effectExtent l="0" t="0" r="8255" b="1270"/>
            <wp:docPr id="204" name="图片 3" descr="丼工煤矿生产能力核定结果审查申请表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图片 3" descr="丼工煤矿生产能力核定结果审查申请表3"/>
                    <pic:cNvPicPr>
                      <a:picLocks noChangeAspect="1"/>
                    </pic:cNvPicPr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8094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488A63">
      <w:pPr>
        <w:pStyle w:val="95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755640" cy="8335645"/>
            <wp:effectExtent l="0" t="0" r="16510" b="8255"/>
            <wp:docPr id="205" name="图片 4" descr="煤矿基本情况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图片 4" descr="煤矿基本情况4"/>
                    <pic:cNvPicPr>
                      <a:picLocks noChangeAspect="1"/>
                    </pic:cNvPicPr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755640" cy="8335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E8AF32">
      <w:pPr>
        <w:pStyle w:val="95"/>
        <w:rPr>
          <w:rFonts w:hint="default" w:eastAsia="宋体"/>
          <w:lang w:val="en-US" w:eastAsia="zh-CN"/>
        </w:rPr>
      </w:pPr>
      <w:r>
        <w:rPr>
          <w:rFonts w:hint="eastAsia" w:eastAsia="KaiTi_GB2312"/>
          <w:b/>
          <w:bCs/>
          <w:sz w:val="32"/>
          <w:szCs w:val="32"/>
          <w:lang w:eastAsia="zh-CN"/>
        </w:rPr>
        <w:drawing>
          <wp:inline distT="0" distB="0" distL="114300" distR="114300">
            <wp:extent cx="5448300" cy="8555990"/>
            <wp:effectExtent l="0" t="0" r="0" b="16510"/>
            <wp:docPr id="206" name="图片 5" descr="doc00879420240705152203_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图片 5" descr="doc00879420240705152203_001"/>
                    <pic:cNvPicPr>
                      <a:picLocks noChangeAspect="1"/>
                    </pic:cNvPicPr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5448300" cy="855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C5AFEA">
      <w:pPr>
        <w:pStyle w:val="98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附件21关于宝清县双柳煤矿有限公司核增到120万吨/年的说明</w:t>
      </w:r>
    </w:p>
    <w:p w14:paraId="15F5B197">
      <w:pPr>
        <w:pStyle w:val="95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59" name="图片 59" descr="煤管局关于宝清县双柳煤矿有限公司核增到120万吨年的说明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煤管局关于宝清县双柳煤矿有限公司核增到120万吨年的说明_00"/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DFA0B6">
      <w:pPr>
        <w:pStyle w:val="98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附件</w:t>
      </w:r>
      <w:r>
        <w:rPr>
          <w:rFonts w:hint="eastAsia" w:ascii="宋体" w:hAnsi="宋体" w:cs="宋体"/>
          <w:sz w:val="24"/>
          <w:lang w:val="en-US" w:eastAsia="zh-CN"/>
        </w:rPr>
        <w:t>22</w:t>
      </w:r>
      <w:r>
        <w:rPr>
          <w:rFonts w:hint="eastAsia" w:ascii="宋体" w:hAnsi="宋体" w:cs="宋体"/>
          <w:sz w:val="24"/>
        </w:rPr>
        <w:t>废矿物油采购协议</w:t>
      </w:r>
    </w:p>
    <w:bookmarkEnd w:id="12"/>
    <w:bookmarkEnd w:id="13"/>
    <w:p w14:paraId="67969224">
      <w:pPr>
        <w:pStyle w:val="18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67960" cy="7450455"/>
            <wp:effectExtent l="0" t="0" r="8890" b="17145"/>
            <wp:docPr id="121" name="图片 121" descr="危废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121" descr="危废_00"/>
                    <pic:cNvPicPr>
                      <a:picLocks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67960" cy="7450455"/>
            <wp:effectExtent l="0" t="0" r="8890" b="17145"/>
            <wp:docPr id="120" name="图片 120" descr="危废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120" descr="危废_01"/>
                    <pic:cNvPicPr>
                      <a:picLocks noChangeAspect="1"/>
                    </pic:cNvPicPr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BD59FD">
      <w:pPr>
        <w:pStyle w:val="18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8780145" cy="6207760"/>
            <wp:effectExtent l="0" t="0" r="2540" b="1905"/>
            <wp:docPr id="123" name="图片 123" descr="708013a87ba565d86ac14bab83c1b9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123" descr="708013a87ba565d86ac14bab83c1b9e"/>
                    <pic:cNvPicPr>
                      <a:picLocks noChangeAspect="1"/>
                    </pic:cNvPicPr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780145" cy="620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3AC9DF">
      <w:pPr>
        <w:pStyle w:val="18"/>
        <w:sectPr>
          <w:pgSz w:w="11906" w:h="16838"/>
          <w:pgMar w:top="1440" w:right="1800" w:bottom="1440" w:left="1800" w:header="851" w:footer="992" w:gutter="0"/>
          <w:cols w:space="720" w:num="1"/>
          <w:docGrid w:type="lines" w:linePitch="312" w:charSpace="0"/>
        </w:sectPr>
      </w:pPr>
    </w:p>
    <w:p w14:paraId="7188C50D">
      <w:pPr>
        <w:pStyle w:val="98"/>
        <w:rPr>
          <w:rFonts w:ascii="宋体" w:hAnsi="宋体" w:cs="宋体"/>
          <w:sz w:val="24"/>
        </w:rPr>
      </w:pPr>
      <w:bookmarkStart w:id="14" w:name="_Toc95560020"/>
      <w:bookmarkStart w:id="15" w:name="_Toc95559741"/>
      <w:r>
        <w:rPr>
          <w:rFonts w:hint="eastAsia" w:ascii="宋体" w:hAnsi="宋体" w:cs="宋体"/>
          <w:sz w:val="24"/>
        </w:rPr>
        <w:t>附件</w:t>
      </w:r>
      <w:r>
        <w:rPr>
          <w:rFonts w:hint="eastAsia" w:ascii="宋体" w:hAnsi="宋体" w:cs="宋体"/>
          <w:sz w:val="24"/>
          <w:lang w:val="en-US" w:eastAsia="zh-CN"/>
        </w:rPr>
        <w:t>23</w:t>
      </w:r>
      <w:r>
        <w:rPr>
          <w:rFonts w:hint="eastAsia" w:ascii="宋体" w:hAnsi="宋体" w:cs="宋体"/>
          <w:sz w:val="24"/>
        </w:rPr>
        <w:t>废</w:t>
      </w:r>
      <w:r>
        <w:rPr>
          <w:rFonts w:hint="eastAsia" w:ascii="宋体" w:hAnsi="宋体" w:cs="宋体"/>
          <w:sz w:val="24"/>
          <w:lang w:val="en-US" w:eastAsia="zh-CN"/>
        </w:rPr>
        <w:t>电池</w:t>
      </w:r>
      <w:r>
        <w:rPr>
          <w:rFonts w:hint="eastAsia" w:ascii="宋体" w:hAnsi="宋体" w:cs="宋体"/>
          <w:sz w:val="24"/>
        </w:rPr>
        <w:t>采购协议</w:t>
      </w:r>
    </w:p>
    <w:p w14:paraId="795D6A59">
      <w:pPr>
        <w:ind w:left="0" w:leftChars="0" w:firstLine="0" w:firstLineChars="0"/>
      </w:pPr>
      <w:r>
        <w:drawing>
          <wp:inline distT="0" distB="0" distL="114300" distR="114300">
            <wp:extent cx="5495925" cy="7410450"/>
            <wp:effectExtent l="0" t="0" r="9525" b="0"/>
            <wp:docPr id="6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1"/>
                    <pic:cNvPicPr>
                      <a:picLocks noChangeAspect="1"/>
                    </pic:cNvPicPr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5495925" cy="741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C33832">
      <w:pPr>
        <w:pStyle w:val="98"/>
        <w:rPr>
          <w:rFonts w:hint="eastAsia"/>
          <w:lang w:eastAsia="zh-CN"/>
        </w:rPr>
      </w:pPr>
      <w:r>
        <w:t>附件</w:t>
      </w:r>
      <w:r>
        <w:rPr>
          <w:rFonts w:hint="eastAsia"/>
          <w:lang w:val="en-US" w:eastAsia="zh-CN"/>
        </w:rPr>
        <w:t>24本次</w:t>
      </w:r>
      <w:r>
        <w:t>环境质量现状监测报告</w:t>
      </w:r>
      <w:bookmarkEnd w:id="14"/>
      <w:bookmarkEnd w:id="15"/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土壤、地下水、环境空气及包气带</w:t>
      </w:r>
      <w:r>
        <w:rPr>
          <w:rFonts w:hint="eastAsia"/>
          <w:lang w:eastAsia="zh-CN"/>
        </w:rPr>
        <w:t>）</w:t>
      </w:r>
    </w:p>
    <w:p w14:paraId="5DB7FA7A">
      <w:pPr>
        <w:pStyle w:val="95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513070" cy="7792720"/>
            <wp:effectExtent l="0" t="0" r="11430" b="17780"/>
            <wp:docPr id="165" name="图片 165" descr="双柳土壤监测报告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图片 165" descr="双柳土壤监测报告_00"/>
                    <pic:cNvPicPr>
                      <a:picLocks noChangeAspect="1"/>
                    </pic:cNvPicPr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5513070" cy="779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7790180" cy="5513705"/>
            <wp:effectExtent l="0" t="0" r="10795" b="1270"/>
            <wp:docPr id="164" name="图片 164" descr="双柳土壤监测报告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图片 164" descr="双柳土壤监测报告_02"/>
                    <pic:cNvPicPr>
                      <a:picLocks noChangeAspect="1"/>
                    </pic:cNvPicPr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790180" cy="5513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7804150" cy="5515610"/>
            <wp:effectExtent l="0" t="0" r="8890" b="6350"/>
            <wp:docPr id="163" name="图片 163" descr="双柳土壤监测报告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图片 163" descr="双柳土壤监测报告_03"/>
                    <pic:cNvPicPr>
                      <a:picLocks noChangeAspect="1"/>
                    </pic:cNvPicPr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804150" cy="5515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7794625" cy="5518785"/>
            <wp:effectExtent l="0" t="0" r="5715" b="15875"/>
            <wp:docPr id="162" name="图片 162" descr="双柳土壤监测报告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图片 162" descr="双柳土壤监测报告_04"/>
                    <pic:cNvPicPr>
                      <a:picLocks noChangeAspect="1"/>
                    </pic:cNvPicPr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794625" cy="5518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7807960" cy="5518785"/>
            <wp:effectExtent l="0" t="0" r="5715" b="2540"/>
            <wp:docPr id="161" name="图片 161" descr="双柳土壤监测报告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图片 161" descr="双柳土壤监测报告_05"/>
                    <pic:cNvPicPr>
                      <a:picLocks noChangeAspect="1"/>
                    </pic:cNvPicPr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807960" cy="5518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7773035" cy="5516880"/>
            <wp:effectExtent l="0" t="0" r="7620" b="18415"/>
            <wp:docPr id="160" name="图片 160" descr="双柳土壤监测报告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图片 160" descr="双柳土壤监测报告_06"/>
                    <pic:cNvPicPr>
                      <a:picLocks noChangeAspect="1"/>
                    </pic:cNvPicPr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773035" cy="5516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7799705" cy="5516880"/>
            <wp:effectExtent l="0" t="0" r="7620" b="10795"/>
            <wp:docPr id="159" name="图片 159" descr="双柳土壤监测报告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图片 159" descr="双柳土壤监测报告_07"/>
                    <pic:cNvPicPr>
                      <a:picLocks noChangeAspect="1"/>
                    </pic:cNvPicPr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799705" cy="5516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7814310" cy="5514340"/>
            <wp:effectExtent l="0" t="0" r="10160" b="15240"/>
            <wp:docPr id="158" name="图片 158" descr="双柳土壤监测报告_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图片 158" descr="双柳土壤监测报告_08"/>
                    <pic:cNvPicPr>
                      <a:picLocks noChangeAspect="1"/>
                    </pic:cNvPicPr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814310" cy="5514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7817485" cy="5514340"/>
            <wp:effectExtent l="0" t="0" r="10160" b="12065"/>
            <wp:docPr id="157" name="图片 157" descr="双柳土壤监测报告_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图片 157" descr="双柳土壤监测报告_09"/>
                    <pic:cNvPicPr>
                      <a:picLocks noChangeAspect="1"/>
                    </pic:cNvPicPr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817485" cy="5514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7793355" cy="5517515"/>
            <wp:effectExtent l="0" t="0" r="6985" b="17145"/>
            <wp:docPr id="156" name="图片 156" descr="双柳土壤监测报告_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图片 156" descr="双柳土壤监测报告_10"/>
                    <pic:cNvPicPr>
                      <a:picLocks noChangeAspect="1"/>
                    </pic:cNvPicPr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793355" cy="5517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7810500" cy="5517515"/>
            <wp:effectExtent l="0" t="0" r="6985" b="0"/>
            <wp:docPr id="155" name="图片 155" descr="双柳土壤监测报告_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图片 155" descr="双柳土壤监测报告_11"/>
                    <pic:cNvPicPr>
                      <a:picLocks noChangeAspect="1"/>
                    </pic:cNvPicPr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810500" cy="5517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7790180" cy="5516880"/>
            <wp:effectExtent l="0" t="0" r="7620" b="1270"/>
            <wp:docPr id="154" name="图片 154" descr="双柳土壤监测报告_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图片 154" descr="双柳土壤监测报告_12"/>
                    <pic:cNvPicPr>
                      <a:picLocks noChangeAspect="1"/>
                    </pic:cNvPicPr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790180" cy="5516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7796530" cy="5513705"/>
            <wp:effectExtent l="0" t="0" r="10795" b="13970"/>
            <wp:docPr id="153" name="图片 153" descr="双柳土壤监测报告_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图片 153" descr="双柳土壤监测报告_13"/>
                    <pic:cNvPicPr>
                      <a:picLocks noChangeAspect="1"/>
                    </pic:cNvPicPr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796530" cy="5513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7793355" cy="5513705"/>
            <wp:effectExtent l="0" t="0" r="10795" b="17145"/>
            <wp:docPr id="152" name="图片 152" descr="双柳土壤监测报告_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图片 152" descr="双柳土壤监测报告_14"/>
                    <pic:cNvPicPr>
                      <a:picLocks noChangeAspect="1"/>
                    </pic:cNvPicPr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793355" cy="5513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7790180" cy="5517515"/>
            <wp:effectExtent l="0" t="0" r="6985" b="1270"/>
            <wp:docPr id="151" name="图片 151" descr="双柳土壤监测报告_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图片 151" descr="双柳土壤监测报告_15"/>
                    <pic:cNvPicPr>
                      <a:picLocks noChangeAspect="1"/>
                    </pic:cNvPicPr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790180" cy="5517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7800340" cy="5514340"/>
            <wp:effectExtent l="0" t="0" r="10160" b="10160"/>
            <wp:docPr id="150" name="图片 150" descr="双柳土壤监测报告_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图片 150" descr="双柳土壤监测报告_16"/>
                    <pic:cNvPicPr>
                      <a:picLocks noChangeAspect="1"/>
                    </pic:cNvPicPr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800340" cy="5514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7797165" cy="5514340"/>
            <wp:effectExtent l="0" t="0" r="10160" b="13335"/>
            <wp:docPr id="149" name="图片 149" descr="双柳土壤监测报告_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图片 149" descr="双柳土壤监测报告_17"/>
                    <pic:cNvPicPr>
                      <a:picLocks noChangeAspect="1"/>
                    </pic:cNvPicPr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797165" cy="5514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59C39B">
      <w:pPr>
        <w:pStyle w:val="95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516880" cy="7806690"/>
            <wp:effectExtent l="0" t="0" r="7620" b="3810"/>
            <wp:docPr id="130" name="图片 130" descr="双柳煤矿地下水、矿井水监测报告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图片 130" descr="双柳煤矿地下水、矿井水监测报告_00"/>
                    <pic:cNvPicPr>
                      <a:picLocks noChangeAspect="1"/>
                    </pic:cNvPicPr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5516880" cy="780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516880" cy="7806690"/>
            <wp:effectExtent l="0" t="0" r="7620" b="3810"/>
            <wp:docPr id="129" name="图片 129" descr="双柳煤矿地下水、矿井水监测报告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图片 129" descr="双柳煤矿地下水、矿井水监测报告_01"/>
                    <pic:cNvPicPr>
                      <a:picLocks noChangeAspect="1"/>
                    </pic:cNvPicPr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5516880" cy="780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516880" cy="7806690"/>
            <wp:effectExtent l="0" t="0" r="7620" b="3810"/>
            <wp:docPr id="128" name="图片 128" descr="双柳煤矿地下水、矿井水监测报告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128" descr="双柳煤矿地下水、矿井水监测报告_02"/>
                    <pic:cNvPicPr>
                      <a:picLocks noChangeAspect="1"/>
                    </pic:cNvPicPr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5516880" cy="780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516880" cy="7806690"/>
            <wp:effectExtent l="0" t="0" r="7620" b="3810"/>
            <wp:docPr id="127" name="图片 127" descr="双柳煤矿地下水、矿井水监测报告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图片 127" descr="双柳煤矿地下水、矿井水监测报告_03"/>
                    <pic:cNvPicPr>
                      <a:picLocks noChangeAspect="1"/>
                    </pic:cNvPicPr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5516880" cy="780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516880" cy="7806690"/>
            <wp:effectExtent l="0" t="0" r="7620" b="3810"/>
            <wp:docPr id="126" name="图片 126" descr="双柳煤矿地下水、矿井水监测报告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图片 126" descr="双柳煤矿地下水、矿井水监测报告_04"/>
                    <pic:cNvPicPr>
                      <a:picLocks noChangeAspect="1"/>
                    </pic:cNvPicPr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5516880" cy="780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516880" cy="7806690"/>
            <wp:effectExtent l="0" t="0" r="7620" b="3810"/>
            <wp:docPr id="125" name="图片 125" descr="双柳煤矿地下水、矿井水监测报告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125" descr="双柳煤矿地下水、矿井水监测报告_05"/>
                    <pic:cNvPicPr>
                      <a:picLocks noChangeAspect="1"/>
                    </pic:cNvPicPr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5516880" cy="780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516880" cy="7806690"/>
            <wp:effectExtent l="0" t="0" r="7620" b="3810"/>
            <wp:docPr id="124" name="图片 124" descr="双柳煤矿地下水、矿井水监测报告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124" descr="双柳煤矿地下水、矿井水监测报告_06"/>
                    <pic:cNvPicPr>
                      <a:picLocks noChangeAspect="1"/>
                    </pic:cNvPicPr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5516880" cy="780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33495B">
      <w:pPr>
        <w:pStyle w:val="95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513070" cy="7792720"/>
            <wp:effectExtent l="0" t="0" r="11430" b="17780"/>
            <wp:docPr id="211" name="图片 211" descr="241216-02宝清县双柳煤矿有限公司生产能力核定项目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图片 211" descr="241216-02宝清县双柳煤矿有限公司生产能力核定项目_00"/>
                    <pic:cNvPicPr>
                      <a:picLocks noChangeAspect="1"/>
                    </pic:cNvPicPr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5513070" cy="779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513070" cy="7792720"/>
            <wp:effectExtent l="0" t="0" r="11430" b="17780"/>
            <wp:docPr id="210" name="图片 210" descr="241216-02宝清县双柳煤矿有限公司生产能力核定项目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图片 210" descr="241216-02宝清县双柳煤矿有限公司生产能力核定项目_01"/>
                    <pic:cNvPicPr>
                      <a:picLocks noChangeAspect="1"/>
                    </pic:cNvPicPr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5513070" cy="779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513070" cy="7792720"/>
            <wp:effectExtent l="0" t="0" r="11430" b="17780"/>
            <wp:docPr id="209" name="图片 209" descr="241216-02宝清县双柳煤矿有限公司生产能力核定项目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图片 209" descr="241216-02宝清县双柳煤矿有限公司生产能力核定项目_02"/>
                    <pic:cNvPicPr>
                      <a:picLocks noChangeAspect="1"/>
                    </pic:cNvPicPr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5513070" cy="779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513070" cy="7792720"/>
            <wp:effectExtent l="0" t="0" r="11430" b="17780"/>
            <wp:docPr id="208" name="图片 208" descr="241216-02宝清县双柳煤矿有限公司生产能力核定项目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图片 208" descr="241216-02宝清县双柳煤矿有限公司生产能力核定项目_03"/>
                    <pic:cNvPicPr>
                      <a:picLocks noChangeAspect="1"/>
                    </pic:cNvPicPr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5513070" cy="779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513070" cy="7792720"/>
            <wp:effectExtent l="0" t="0" r="11430" b="17780"/>
            <wp:docPr id="207" name="图片 207" descr="241216-02宝清县双柳煤矿有限公司生产能力核定项目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图片 207" descr="241216-02宝清县双柳煤矿有限公司生产能力核定项目_04"/>
                    <pic:cNvPicPr>
                      <a:picLocks noChangeAspect="1"/>
                    </pic:cNvPicPr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5513070" cy="779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26309A">
      <w:pPr>
        <w:pStyle w:val="95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518150" cy="7141210"/>
            <wp:effectExtent l="0" t="0" r="6350" b="2540"/>
            <wp:docPr id="215" name="图片 215" descr="监测报告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图片 215" descr="监测报告_00"/>
                    <pic:cNvPicPr>
                      <a:picLocks noChangeAspect="1"/>
                    </pic:cNvPicPr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5518150" cy="714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518150" cy="7141210"/>
            <wp:effectExtent l="0" t="0" r="6350" b="2540"/>
            <wp:docPr id="214" name="图片 214" descr="监测报告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图片 214" descr="监测报告_01"/>
                    <pic:cNvPicPr>
                      <a:picLocks noChangeAspect="1"/>
                    </pic:cNvPicPr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5518150" cy="714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518150" cy="7141210"/>
            <wp:effectExtent l="0" t="0" r="6350" b="2540"/>
            <wp:docPr id="213" name="图片 213" descr="监测报告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图片 213" descr="监测报告_02"/>
                    <pic:cNvPicPr>
                      <a:picLocks noChangeAspect="1"/>
                    </pic:cNvPicPr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5518150" cy="714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518150" cy="7141210"/>
            <wp:effectExtent l="0" t="0" r="6350" b="2540"/>
            <wp:docPr id="212" name="图片 212" descr="监测报告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图片 212" descr="监测报告_03"/>
                    <pic:cNvPicPr>
                      <a:picLocks noChangeAspect="1"/>
                    </pic:cNvPicPr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5518150" cy="714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1192C">
      <w:pPr>
        <w:pStyle w:val="98"/>
        <w:rPr>
          <w:rFonts w:hint="default"/>
          <w:lang w:val="en-US"/>
        </w:rPr>
      </w:pPr>
      <w:r>
        <w:t>附件</w:t>
      </w:r>
      <w:r>
        <w:rPr>
          <w:rFonts w:hint="eastAsia"/>
          <w:lang w:val="en-US" w:eastAsia="zh-CN"/>
        </w:rPr>
        <w:t>25双柳煤矿现有验收监测报告</w:t>
      </w:r>
    </w:p>
    <w:p w14:paraId="64B3CADC">
      <w:pPr>
        <w:pStyle w:val="68"/>
      </w:pPr>
      <w:r>
        <w:drawing>
          <wp:inline distT="0" distB="0" distL="0" distR="0">
            <wp:extent cx="5514975" cy="7800975"/>
            <wp:effectExtent l="0" t="0" r="9525" b="9525"/>
            <wp:docPr id="18" name="图片 18" descr="环保竣工验收意见_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环保竣工验收意见_9"/>
                    <pic:cNvPicPr>
                      <a:picLocks noChangeAspect="1" noChangeArrowheads="1"/>
                    </pic:cNvPicPr>
                  </pic:nvPicPr>
                  <pic:blipFill>
                    <a:blip r:embed="rId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780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514975" cy="7800975"/>
            <wp:effectExtent l="0" t="0" r="9525" b="9525"/>
            <wp:docPr id="17" name="图片 17" descr="环保竣工验收意见_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环保竣工验收意见_10"/>
                    <pic:cNvPicPr>
                      <a:picLocks noChangeAspect="1" noChangeArrowheads="1"/>
                    </pic:cNvPicPr>
                  </pic:nvPicPr>
                  <pic:blipFill>
                    <a:blip r:embed="rId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780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514975" cy="7800975"/>
            <wp:effectExtent l="0" t="0" r="9525" b="9525"/>
            <wp:docPr id="16" name="图片 16" descr="环保竣工验收意见_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环保竣工验收意见_11"/>
                    <pic:cNvPicPr>
                      <a:picLocks noChangeAspect="1" noChangeArrowheads="1"/>
                    </pic:cNvPicPr>
                  </pic:nvPicPr>
                  <pic:blipFill>
                    <a:blip r:embed="rId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780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514975" cy="7800975"/>
            <wp:effectExtent l="0" t="0" r="9525" b="9525"/>
            <wp:docPr id="15" name="图片 15" descr="环保竣工验收意见_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环保竣工验收意见_12"/>
                    <pic:cNvPicPr>
                      <a:picLocks noChangeAspect="1" noChangeArrowheads="1"/>
                    </pic:cNvPicPr>
                  </pic:nvPicPr>
                  <pic:blipFill>
                    <a:blip r:embed="rId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780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514975" cy="7800975"/>
            <wp:effectExtent l="0" t="0" r="9525" b="9525"/>
            <wp:docPr id="14" name="图片 14" descr="环保竣工验收意见_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环保竣工验收意见_13"/>
                    <pic:cNvPicPr>
                      <a:picLocks noChangeAspect="1" noChangeArrowheads="1"/>
                    </pic:cNvPicPr>
                  </pic:nvPicPr>
                  <pic:blipFill>
                    <a:blip r:embed="rId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780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514975" cy="7800975"/>
            <wp:effectExtent l="0" t="0" r="9525" b="9525"/>
            <wp:docPr id="13" name="图片 13" descr="环保竣工验收意见_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环保竣工验收意见_14"/>
                    <pic:cNvPicPr>
                      <a:picLocks noChangeAspect="1" noChangeArrowheads="1"/>
                    </pic:cNvPicPr>
                  </pic:nvPicPr>
                  <pic:blipFill>
                    <a:blip r:embed="rId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780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514975" cy="7800975"/>
            <wp:effectExtent l="0" t="0" r="9525" b="9525"/>
            <wp:docPr id="12" name="图片 12" descr="环保竣工验收意见_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环保竣工验收意见_15"/>
                    <pic:cNvPicPr>
                      <a:picLocks noChangeAspect="1" noChangeArrowheads="1"/>
                    </pic:cNvPicPr>
                  </pic:nvPicPr>
                  <pic:blipFill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780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514975" cy="7800975"/>
            <wp:effectExtent l="0" t="0" r="9525" b="9525"/>
            <wp:docPr id="11" name="图片 11" descr="环保竣工验收意见_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环保竣工验收意见_16"/>
                    <pic:cNvPicPr>
                      <a:picLocks noChangeAspect="1" noChangeArrowheads="1"/>
                    </pic:cNvPicPr>
                  </pic:nvPicPr>
                  <pic:blipFill>
                    <a:blip r:embed="rId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780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514975" cy="7800975"/>
            <wp:effectExtent l="0" t="0" r="9525" b="9525"/>
            <wp:docPr id="10" name="图片 10" descr="环保竣工验收意见_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环保竣工验收意见_17"/>
                    <pic:cNvPicPr>
                      <a:picLocks noChangeAspect="1" noChangeArrowheads="1"/>
                    </pic:cNvPicPr>
                  </pic:nvPicPr>
                  <pic:blipFill>
                    <a:blip r:embed="rId1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780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514975" cy="7800975"/>
            <wp:effectExtent l="0" t="0" r="9525" b="9525"/>
            <wp:docPr id="9" name="图片 9" descr="环保竣工验收意见_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环保竣工验收意见_18"/>
                    <pic:cNvPicPr>
                      <a:picLocks noChangeAspect="1" noChangeArrowheads="1"/>
                    </pic:cNvPicPr>
                  </pic:nvPicPr>
                  <pic:blipFill>
                    <a:blip r:embed="rId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780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514975" cy="7800975"/>
            <wp:effectExtent l="0" t="0" r="9525" b="9525"/>
            <wp:docPr id="8" name="图片 8" descr="环保竣工验收意见_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环保竣工验收意见_19"/>
                    <pic:cNvPicPr>
                      <a:picLocks noChangeAspect="1" noChangeArrowheads="1"/>
                    </pic:cNvPicPr>
                  </pic:nvPicPr>
                  <pic:blipFill>
                    <a:blip r:embed="rId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780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514975" cy="7800975"/>
            <wp:effectExtent l="0" t="0" r="9525" b="9525"/>
            <wp:docPr id="7" name="图片 7" descr="环保竣工验收意见_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环保竣工验收意见_20"/>
                    <pic:cNvPicPr>
                      <a:picLocks noChangeAspect="1" noChangeArrowheads="1"/>
                    </pic:cNvPicPr>
                  </pic:nvPicPr>
                  <pic:blipFill>
                    <a:blip r:embed="rId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780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514975" cy="7800975"/>
            <wp:effectExtent l="0" t="0" r="9525" b="9525"/>
            <wp:docPr id="6" name="图片 6" descr="环保竣工验收意见_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环保竣工验收意见_21"/>
                    <pic:cNvPicPr>
                      <a:picLocks noChangeAspect="1" noChangeArrowheads="1"/>
                    </pic:cNvPicPr>
                  </pic:nvPicPr>
                  <pic:blipFill>
                    <a:blip r:embed="rId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780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514975" cy="7800975"/>
            <wp:effectExtent l="0" t="0" r="9525" b="9525"/>
            <wp:docPr id="5" name="图片 5" descr="环保竣工验收意见_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环保竣工验收意见_22"/>
                    <pic:cNvPicPr>
                      <a:picLocks noChangeAspect="1" noChangeArrowheads="1"/>
                    </pic:cNvPicPr>
                  </pic:nvPicPr>
                  <pic:blipFill>
                    <a:blip r:embed="rId1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780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514975" cy="7800975"/>
            <wp:effectExtent l="0" t="0" r="9525" b="9525"/>
            <wp:docPr id="4" name="图片 4" descr="环保竣工验收意见_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环保竣工验收意见_23"/>
                    <pic:cNvPicPr>
                      <a:picLocks noChangeAspect="1" noChangeArrowheads="1"/>
                    </pic:cNvPicPr>
                  </pic:nvPicPr>
                  <pic:blipFill>
                    <a:blip r:embed="rId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780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514975" cy="7800975"/>
            <wp:effectExtent l="0" t="0" r="9525" b="9525"/>
            <wp:docPr id="3" name="图片 3" descr="环保竣工验收意见_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环保竣工验收意见_24"/>
                    <pic:cNvPicPr>
                      <a:picLocks noChangeAspect="1" noChangeArrowheads="1"/>
                    </pic:cNvPicPr>
                  </pic:nvPicPr>
                  <pic:blipFill>
                    <a:blip r:embed="rId1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780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514975" cy="7800975"/>
            <wp:effectExtent l="0" t="0" r="9525" b="9525"/>
            <wp:docPr id="2" name="图片 2" descr="环保竣工验收意见_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环保竣工验收意见_25"/>
                    <pic:cNvPicPr>
                      <a:picLocks noChangeAspect="1" noChangeArrowheads="1"/>
                    </pic:cNvPicPr>
                  </pic:nvPicPr>
                  <pic:blipFill>
                    <a:blip r:embed="rId1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780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514975" cy="7800975"/>
            <wp:effectExtent l="0" t="0" r="9525" b="9525"/>
            <wp:docPr id="1" name="图片 1" descr="环保竣工验收意见_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环保竣工验收意见_26"/>
                    <pic:cNvPicPr>
                      <a:picLocks noChangeAspect="1" noChangeArrowheads="1"/>
                    </pic:cNvPicPr>
                  </pic:nvPicPr>
                  <pic:blipFill>
                    <a:blip r:embed="rId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780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7C0BE5">
      <w:pPr>
        <w:pStyle w:val="68"/>
      </w:pPr>
      <w:r>
        <w:drawing>
          <wp:inline distT="0" distB="0" distL="114300" distR="114300">
            <wp:extent cx="5507355" cy="7783195"/>
            <wp:effectExtent l="0" t="0" r="17145" b="8255"/>
            <wp:docPr id="1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1"/>
                    <pic:cNvPicPr>
                      <a:picLocks noChangeAspect="1"/>
                    </pic:cNvPicPr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5507355" cy="7783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507355" cy="7783195"/>
            <wp:effectExtent l="0" t="0" r="17145" b="8255"/>
            <wp:docPr id="12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2"/>
                    <pic:cNvPicPr>
                      <a:picLocks noChangeAspect="1"/>
                    </pic:cNvPicPr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5507355" cy="7783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507355" cy="7783195"/>
            <wp:effectExtent l="0" t="0" r="17145" b="8255"/>
            <wp:docPr id="13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图片 3"/>
                    <pic:cNvPicPr>
                      <a:picLocks noChangeAspect="1"/>
                    </pic:cNvPicPr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5507355" cy="7783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507355" cy="7783195"/>
            <wp:effectExtent l="0" t="0" r="17145" b="8255"/>
            <wp:docPr id="13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图片 4"/>
                    <pic:cNvPicPr>
                      <a:picLocks noChangeAspect="1"/>
                    </pic:cNvPicPr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5507355" cy="7783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507355" cy="7783195"/>
            <wp:effectExtent l="0" t="0" r="17145" b="8255"/>
            <wp:docPr id="13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图片 5"/>
                    <pic:cNvPicPr>
                      <a:picLocks noChangeAspect="1"/>
                    </pic:cNvPicPr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5507355" cy="7783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507355" cy="7783195"/>
            <wp:effectExtent l="0" t="0" r="17145" b="8255"/>
            <wp:docPr id="13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6"/>
                    <pic:cNvPicPr>
                      <a:picLocks noChangeAspect="1"/>
                    </pic:cNvPicPr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5507355" cy="7783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507355" cy="7783195"/>
            <wp:effectExtent l="0" t="0" r="17145" b="8255"/>
            <wp:docPr id="13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7"/>
                    <pic:cNvPicPr>
                      <a:picLocks noChangeAspect="1"/>
                    </pic:cNvPicPr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5507355" cy="7783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507355" cy="7783195"/>
            <wp:effectExtent l="0" t="0" r="17145" b="8255"/>
            <wp:docPr id="13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8"/>
                    <pic:cNvPicPr>
                      <a:picLocks noChangeAspect="1"/>
                    </pic:cNvPicPr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5507355" cy="7783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B4F213">
      <w:pPr>
        <w:pStyle w:val="98"/>
        <w:rPr>
          <w:rFonts w:hint="default"/>
          <w:lang w:val="en-US"/>
        </w:rPr>
      </w:pPr>
      <w:r>
        <w:t>附件</w:t>
      </w:r>
      <w:r>
        <w:rPr>
          <w:rFonts w:hint="eastAsia"/>
          <w:lang w:val="en-US" w:eastAsia="zh-CN"/>
        </w:rPr>
        <w:t>26现有2023年监测报告（矿井水、废水）</w:t>
      </w:r>
    </w:p>
    <w:p w14:paraId="5DE32AA1">
      <w:pPr>
        <w:pStyle w:val="68"/>
      </w:pPr>
      <w:r>
        <w:drawing>
          <wp:inline distT="0" distB="0" distL="114300" distR="114300">
            <wp:extent cx="5515610" cy="7847330"/>
            <wp:effectExtent l="0" t="0" r="8890" b="1270"/>
            <wp:docPr id="16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图片 2"/>
                    <pic:cNvPicPr>
                      <a:picLocks noChangeAspect="1"/>
                    </pic:cNvPicPr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5515610" cy="7847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2E9F67">
      <w:pPr>
        <w:pStyle w:val="68"/>
      </w:pPr>
      <w:r>
        <w:drawing>
          <wp:inline distT="0" distB="0" distL="114300" distR="114300">
            <wp:extent cx="5518785" cy="7860030"/>
            <wp:effectExtent l="0" t="0" r="5715" b="7620"/>
            <wp:docPr id="16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图片 3"/>
                    <pic:cNvPicPr>
                      <a:picLocks noChangeAspect="1"/>
                    </pic:cNvPicPr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5518785" cy="786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476875" cy="7905750"/>
            <wp:effectExtent l="0" t="0" r="9525" b="0"/>
            <wp:docPr id="16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图片 4"/>
                    <pic:cNvPicPr>
                      <a:picLocks noChangeAspect="1"/>
                    </pic:cNvPicPr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5476875" cy="790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486400" cy="7886700"/>
            <wp:effectExtent l="0" t="0" r="0" b="0"/>
            <wp:docPr id="16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图片 5"/>
                    <pic:cNvPicPr>
                      <a:picLocks noChangeAspect="1"/>
                    </pic:cNvPicPr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88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495925" cy="7839075"/>
            <wp:effectExtent l="0" t="0" r="9525" b="9525"/>
            <wp:docPr id="17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图片 6"/>
                    <pic:cNvPicPr>
                      <a:picLocks noChangeAspect="1"/>
                    </pic:cNvPicPr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5495925" cy="783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457825" cy="7696200"/>
            <wp:effectExtent l="0" t="0" r="9525" b="0"/>
            <wp:docPr id="17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图片 7"/>
                    <pic:cNvPicPr>
                      <a:picLocks noChangeAspect="1"/>
                    </pic:cNvPicPr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5457825" cy="769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476875" cy="7629525"/>
            <wp:effectExtent l="0" t="0" r="9525" b="9525"/>
            <wp:docPr id="17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图片 8"/>
                    <pic:cNvPicPr>
                      <a:picLocks noChangeAspect="1"/>
                    </pic:cNvPicPr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5476875" cy="762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438775" cy="7820025"/>
            <wp:effectExtent l="0" t="0" r="9525" b="9525"/>
            <wp:docPr id="17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图片 9"/>
                    <pic:cNvPicPr>
                      <a:picLocks noChangeAspect="1"/>
                    </pic:cNvPicPr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5438775" cy="782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448300" cy="7829550"/>
            <wp:effectExtent l="0" t="0" r="0" b="0"/>
            <wp:docPr id="17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图片 10"/>
                    <pic:cNvPicPr>
                      <a:picLocks noChangeAspect="1"/>
                    </pic:cNvPicPr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5448300" cy="782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495925" cy="7781925"/>
            <wp:effectExtent l="0" t="0" r="9525" b="9525"/>
            <wp:docPr id="17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图片 11"/>
                    <pic:cNvPicPr>
                      <a:picLocks noChangeAspect="1"/>
                    </pic:cNvPicPr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5495925" cy="778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486400" cy="7867650"/>
            <wp:effectExtent l="0" t="0" r="0" b="0"/>
            <wp:docPr id="17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图片 12"/>
                    <pic:cNvPicPr>
                      <a:picLocks noChangeAspect="1"/>
                    </pic:cNvPicPr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86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15D216">
      <w:pPr>
        <w:pStyle w:val="68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513070" cy="7795895"/>
            <wp:effectExtent l="0" t="0" r="11430" b="14605"/>
            <wp:docPr id="188" name="图片 188" descr="双柳净水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图片 188" descr="双柳净水_00"/>
                    <pic:cNvPicPr>
                      <a:picLocks noChangeAspect="1"/>
                    </pic:cNvPicPr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5513070" cy="7795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513070" cy="7795895"/>
            <wp:effectExtent l="0" t="0" r="11430" b="14605"/>
            <wp:docPr id="187" name="图片 187" descr="双柳净水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图片 187" descr="双柳净水_01"/>
                    <pic:cNvPicPr>
                      <a:picLocks noChangeAspect="1"/>
                    </pic:cNvPicPr>
                  </pic:nvPicPr>
                  <pic:blipFill>
                    <a:blip r:embed="rId201"/>
                    <a:stretch>
                      <a:fillRect/>
                    </a:stretch>
                  </pic:blipFill>
                  <pic:spPr>
                    <a:xfrm>
                      <a:off x="0" y="0"/>
                      <a:ext cx="5513070" cy="7795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513070" cy="7795895"/>
            <wp:effectExtent l="0" t="0" r="11430" b="14605"/>
            <wp:docPr id="186" name="图片 186" descr="双柳净水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图片 186" descr="双柳净水_02"/>
                    <pic:cNvPicPr>
                      <a:picLocks noChangeAspect="1"/>
                    </pic:cNvPicPr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5513070" cy="7795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513070" cy="7795895"/>
            <wp:effectExtent l="0" t="0" r="11430" b="14605"/>
            <wp:docPr id="148" name="图片 148" descr="双柳净水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图片 148" descr="双柳净水_03"/>
                    <pic:cNvPicPr>
                      <a:picLocks noChangeAspect="1"/>
                    </pic:cNvPicPr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5513070" cy="7795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513070" cy="7795895"/>
            <wp:effectExtent l="0" t="0" r="11430" b="14605"/>
            <wp:docPr id="147" name="图片 147" descr="双柳净水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图片 147" descr="双柳净水_04"/>
                    <pic:cNvPicPr>
                      <a:picLocks noChangeAspect="1"/>
                    </pic:cNvPicPr>
                  </pic:nvPicPr>
                  <pic:blipFill>
                    <a:blip r:embed="rId204"/>
                    <a:stretch>
                      <a:fillRect/>
                    </a:stretch>
                  </pic:blipFill>
                  <pic:spPr>
                    <a:xfrm>
                      <a:off x="0" y="0"/>
                      <a:ext cx="5513070" cy="7795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513070" cy="7795895"/>
            <wp:effectExtent l="0" t="0" r="11430" b="14605"/>
            <wp:docPr id="146" name="图片 146" descr="双柳净水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图片 146" descr="双柳净水_05"/>
                    <pic:cNvPicPr>
                      <a:picLocks noChangeAspect="1"/>
                    </pic:cNvPicPr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5513070" cy="7795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C6B152">
      <w:pPr>
        <w:pStyle w:val="98"/>
        <w:rPr>
          <w:rFonts w:hint="default"/>
          <w:lang w:val="en-US"/>
        </w:rPr>
      </w:pPr>
      <w:bookmarkStart w:id="16" w:name="OLE_LINK1"/>
      <w:r>
        <w:t>附件</w:t>
      </w:r>
      <w:r>
        <w:rPr>
          <w:rFonts w:hint="eastAsia"/>
          <w:lang w:val="en-US" w:eastAsia="zh-CN"/>
        </w:rPr>
        <w:t>27现有2024年监测报告（地表水、废水）</w:t>
      </w:r>
    </w:p>
    <w:bookmarkEnd w:id="16"/>
    <w:p w14:paraId="4A316077">
      <w:pPr>
        <w:pStyle w:val="68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513070" cy="7795895"/>
            <wp:effectExtent l="0" t="0" r="11430" b="14605"/>
            <wp:docPr id="145" name="图片 145" descr="双柳煤矿矿井涌水12月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图片 145" descr="双柳煤矿矿井涌水12月_00"/>
                    <pic:cNvPicPr>
                      <a:picLocks noChangeAspect="1"/>
                    </pic:cNvPicPr>
                  </pic:nvPicPr>
                  <pic:blipFill>
                    <a:blip r:embed="rId206"/>
                    <a:stretch>
                      <a:fillRect/>
                    </a:stretch>
                  </pic:blipFill>
                  <pic:spPr>
                    <a:xfrm>
                      <a:off x="0" y="0"/>
                      <a:ext cx="5513070" cy="7795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513070" cy="7795895"/>
            <wp:effectExtent l="0" t="0" r="11430" b="14605"/>
            <wp:docPr id="144" name="图片 144" descr="双柳煤矿矿井涌水12月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图片 144" descr="双柳煤矿矿井涌水12月_01"/>
                    <pic:cNvPicPr>
                      <a:picLocks noChangeAspect="1"/>
                    </pic:cNvPicPr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5513070" cy="7795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513070" cy="7795895"/>
            <wp:effectExtent l="0" t="0" r="11430" b="14605"/>
            <wp:docPr id="143" name="图片 143" descr="双柳煤矿矿井涌水12月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图片 143" descr="双柳煤矿矿井涌水12月_02"/>
                    <pic:cNvPicPr>
                      <a:picLocks noChangeAspect="1"/>
                    </pic:cNvPicPr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5513070" cy="7795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513070" cy="7795895"/>
            <wp:effectExtent l="0" t="0" r="11430" b="14605"/>
            <wp:docPr id="142" name="图片 142" descr="双柳煤矿矿井涌水12月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图片 142" descr="双柳煤矿矿井涌水12月_03"/>
                    <pic:cNvPicPr>
                      <a:picLocks noChangeAspect="1"/>
                    </pic:cNvPicPr>
                  </pic:nvPicPr>
                  <pic:blipFill>
                    <a:blip r:embed="rId209"/>
                    <a:stretch>
                      <a:fillRect/>
                    </a:stretch>
                  </pic:blipFill>
                  <pic:spPr>
                    <a:xfrm>
                      <a:off x="0" y="0"/>
                      <a:ext cx="5513070" cy="7795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513070" cy="7795895"/>
            <wp:effectExtent l="0" t="0" r="11430" b="14605"/>
            <wp:docPr id="137" name="图片 137" descr="双柳煤矿矿井涌水12月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137" descr="双柳煤矿矿井涌水12月_04"/>
                    <pic:cNvPicPr>
                      <a:picLocks noChangeAspect="1"/>
                    </pic:cNvPicPr>
                  </pic:nvPicPr>
                  <pic:blipFill>
                    <a:blip r:embed="rId210"/>
                    <a:stretch>
                      <a:fillRect/>
                    </a:stretch>
                  </pic:blipFill>
                  <pic:spPr>
                    <a:xfrm>
                      <a:off x="0" y="0"/>
                      <a:ext cx="5513070" cy="7795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513070" cy="7795895"/>
            <wp:effectExtent l="0" t="0" r="11430" b="14605"/>
            <wp:docPr id="101" name="图片 101" descr="双柳煤矿矿井涌水12月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101" descr="双柳煤矿矿井涌水12月_05"/>
                    <pic:cNvPicPr>
                      <a:picLocks noChangeAspect="1"/>
                    </pic:cNvPicPr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5513070" cy="7795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884EDD">
      <w:pPr>
        <w:pStyle w:val="68"/>
      </w:pPr>
      <w:r>
        <w:drawing>
          <wp:inline distT="0" distB="0" distL="114300" distR="114300">
            <wp:extent cx="5029200" cy="7105650"/>
            <wp:effectExtent l="0" t="0" r="0" b="0"/>
            <wp:docPr id="17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图片 13"/>
                    <pic:cNvPicPr>
                      <a:picLocks noChangeAspect="1"/>
                    </pic:cNvPicPr>
                  </pic:nvPicPr>
                  <pic:blipFill>
                    <a:blip r:embed="rId212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10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D78516">
      <w:pPr>
        <w:pStyle w:val="68"/>
        <w:sectPr>
          <w:pgSz w:w="11906" w:h="16838"/>
          <w:pgMar w:top="1417" w:right="1417" w:bottom="1417" w:left="1797" w:header="992" w:footer="992" w:gutter="0"/>
          <w:cols w:space="720" w:num="1"/>
          <w:docGrid w:linePitch="312" w:charSpace="0"/>
        </w:sectPr>
      </w:pPr>
      <w:r>
        <w:drawing>
          <wp:inline distT="0" distB="0" distL="114300" distR="114300">
            <wp:extent cx="5105400" cy="7105650"/>
            <wp:effectExtent l="0" t="0" r="0" b="0"/>
            <wp:docPr id="178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图片 14"/>
                    <pic:cNvPicPr>
                      <a:picLocks noChangeAspect="1"/>
                    </pic:cNvPicPr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710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476875" cy="7772400"/>
            <wp:effectExtent l="0" t="0" r="9525" b="0"/>
            <wp:docPr id="179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图片 15"/>
                    <pic:cNvPicPr>
                      <a:picLocks noChangeAspect="1"/>
                    </pic:cNvPicPr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5476875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448300" cy="7581900"/>
            <wp:effectExtent l="0" t="0" r="0" b="0"/>
            <wp:docPr id="18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图片 16"/>
                    <pic:cNvPicPr>
                      <a:picLocks noChangeAspect="1"/>
                    </pic:cNvPicPr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5448300" cy="758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467350" cy="7791450"/>
            <wp:effectExtent l="0" t="0" r="0" b="0"/>
            <wp:docPr id="181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图片 17"/>
                    <pic:cNvPicPr>
                      <a:picLocks noChangeAspect="1"/>
                    </pic:cNvPicPr>
                  </pic:nvPicPr>
                  <pic:blipFill>
                    <a:blip r:embed="rId216"/>
                    <a:stretch>
                      <a:fillRect/>
                    </a:stretch>
                  </pic:blipFill>
                  <pic:spPr>
                    <a:xfrm>
                      <a:off x="0" y="0"/>
                      <a:ext cx="5467350" cy="779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514975" cy="7762875"/>
            <wp:effectExtent l="0" t="0" r="9525" b="9525"/>
            <wp:docPr id="182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图片 18"/>
                    <pic:cNvPicPr>
                      <a:picLocks noChangeAspect="1"/>
                    </pic:cNvPicPr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776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362575" cy="7410450"/>
            <wp:effectExtent l="0" t="0" r="9525" b="0"/>
            <wp:docPr id="183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图片 19"/>
                    <pic:cNvPicPr>
                      <a:picLocks noChangeAspect="1"/>
                    </pic:cNvPicPr>
                  </pic:nvPicPr>
                  <pic:blipFill>
                    <a:blip r:embed="rId218"/>
                    <a:stretch>
                      <a:fillRect/>
                    </a:stretch>
                  </pic:blipFill>
                  <pic:spPr>
                    <a:xfrm>
                      <a:off x="0" y="0"/>
                      <a:ext cx="5362575" cy="741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518150" cy="7757160"/>
            <wp:effectExtent l="0" t="0" r="6350" b="15240"/>
            <wp:docPr id="184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图片 20"/>
                    <pic:cNvPicPr>
                      <a:picLocks noChangeAspect="1"/>
                    </pic:cNvPicPr>
                  </pic:nvPicPr>
                  <pic:blipFill>
                    <a:blip r:embed="rId219"/>
                    <a:stretch>
                      <a:fillRect/>
                    </a:stretch>
                  </pic:blipFill>
                  <pic:spPr>
                    <a:xfrm>
                      <a:off x="0" y="0"/>
                      <a:ext cx="5518150" cy="775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81575" cy="7000875"/>
            <wp:effectExtent l="0" t="0" r="9525" b="9525"/>
            <wp:docPr id="185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图片 21"/>
                    <pic:cNvPicPr>
                      <a:picLocks noChangeAspect="1"/>
                    </pic:cNvPicPr>
                  </pic:nvPicPr>
                  <pic:blipFill>
                    <a:blip r:embed="rId220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700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4E2227">
      <w:pPr>
        <w:pStyle w:val="98"/>
        <w:rPr>
          <w:rFonts w:hint="eastAsia"/>
          <w:lang w:val="en-US" w:eastAsia="zh-CN"/>
        </w:rPr>
      </w:pPr>
      <w:r>
        <w:t>附件</w:t>
      </w:r>
      <w:r>
        <w:rPr>
          <w:rFonts w:hint="eastAsia"/>
          <w:lang w:val="en-US" w:eastAsia="zh-CN"/>
        </w:rPr>
        <w:t>28现有干选废气监测报告</w:t>
      </w:r>
    </w:p>
    <w:p w14:paraId="4250B1C0">
      <w:pPr>
        <w:pStyle w:val="95"/>
        <w:spacing w:line="240" w:lineRule="auto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514340" cy="7862570"/>
            <wp:effectExtent l="0" t="0" r="10160" b="5080"/>
            <wp:docPr id="21" name="图片 21" descr="HY2410002 宝清双柳煤矿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HY2410002 宝清双柳煤矿_00"/>
                    <pic:cNvPicPr>
                      <a:picLocks noChangeAspect="1"/>
                    </pic:cNvPicPr>
                  </pic:nvPicPr>
                  <pic:blipFill>
                    <a:blip r:embed="rId221"/>
                    <a:stretch>
                      <a:fillRect/>
                    </a:stretch>
                  </pic:blipFill>
                  <pic:spPr>
                    <a:xfrm>
                      <a:off x="0" y="0"/>
                      <a:ext cx="5514340" cy="7862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514340" cy="7862570"/>
            <wp:effectExtent l="0" t="0" r="10160" b="5080"/>
            <wp:docPr id="20" name="图片 20" descr="HY2410002 宝清双柳煤矿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HY2410002 宝清双柳煤矿_01"/>
                    <pic:cNvPicPr>
                      <a:picLocks noChangeAspect="1"/>
                    </pic:cNvPicPr>
                  </pic:nvPicPr>
                  <pic:blipFill>
                    <a:blip r:embed="rId222"/>
                    <a:stretch>
                      <a:fillRect/>
                    </a:stretch>
                  </pic:blipFill>
                  <pic:spPr>
                    <a:xfrm>
                      <a:off x="0" y="0"/>
                      <a:ext cx="5514340" cy="7862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514340" cy="7862570"/>
            <wp:effectExtent l="0" t="0" r="10160" b="5080"/>
            <wp:docPr id="19" name="图片 19" descr="HY2410002 宝清双柳煤矿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HY2410002 宝清双柳煤矿_02"/>
                    <pic:cNvPicPr>
                      <a:picLocks noChangeAspect="1"/>
                    </pic:cNvPicPr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5514340" cy="7862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8DF12D">
      <w:pPr>
        <w:pStyle w:val="68"/>
      </w:pPr>
    </w:p>
    <w:p w14:paraId="5083FBB8">
      <w:pPr>
        <w:pStyle w:val="98"/>
        <w:rPr>
          <w:rFonts w:hint="eastAsia"/>
          <w:lang w:val="en-US" w:eastAsia="zh-CN"/>
        </w:rPr>
      </w:pPr>
      <w:r>
        <w:t>附件</w:t>
      </w:r>
      <w:r>
        <w:rPr>
          <w:rFonts w:hint="eastAsia"/>
          <w:lang w:val="en-US" w:eastAsia="zh-CN"/>
        </w:rPr>
        <w:t>29原煤核素检测报告</w:t>
      </w:r>
    </w:p>
    <w:p w14:paraId="7B2FB595">
      <w:pPr>
        <w:pStyle w:val="68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518785" cy="7804150"/>
            <wp:effectExtent l="0" t="0" r="5715" b="6350"/>
            <wp:docPr id="191" name="图片 191" descr="双柳核素检测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图片 191" descr="双柳核素检测_1"/>
                    <pic:cNvPicPr>
                      <a:picLocks noChangeAspect="1"/>
                    </pic:cNvPicPr>
                  </pic:nvPicPr>
                  <pic:blipFill>
                    <a:blip r:embed="rId224"/>
                    <a:stretch>
                      <a:fillRect/>
                    </a:stretch>
                  </pic:blipFill>
                  <pic:spPr>
                    <a:xfrm>
                      <a:off x="0" y="0"/>
                      <a:ext cx="5518785" cy="780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518785" cy="7804150"/>
            <wp:effectExtent l="0" t="0" r="5715" b="6350"/>
            <wp:docPr id="190" name="图片 190" descr="双柳核素检测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图片 190" descr="双柳核素检测_2"/>
                    <pic:cNvPicPr>
                      <a:picLocks noChangeAspect="1"/>
                    </pic:cNvPicPr>
                  </pic:nvPicPr>
                  <pic:blipFill>
                    <a:blip r:embed="rId225"/>
                    <a:stretch>
                      <a:fillRect/>
                    </a:stretch>
                  </pic:blipFill>
                  <pic:spPr>
                    <a:xfrm>
                      <a:off x="0" y="0"/>
                      <a:ext cx="5518785" cy="780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518785" cy="7804150"/>
            <wp:effectExtent l="0" t="0" r="5715" b="6350"/>
            <wp:docPr id="189" name="图片 189" descr="双柳核素检测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图片 189" descr="双柳核素检测_3"/>
                    <pic:cNvPicPr>
                      <a:picLocks noChangeAspect="1"/>
                    </pic:cNvPicPr>
                  </pic:nvPicPr>
                  <pic:blipFill>
                    <a:blip r:embed="rId226"/>
                    <a:stretch>
                      <a:fillRect/>
                    </a:stretch>
                  </pic:blipFill>
                  <pic:spPr>
                    <a:xfrm>
                      <a:off x="0" y="0"/>
                      <a:ext cx="5518785" cy="780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DB6D0">
      <w:pPr>
        <w:pStyle w:val="68"/>
      </w:pPr>
    </w:p>
    <w:p w14:paraId="75B7D876">
      <w:pPr>
        <w:pStyle w:val="98"/>
        <w:rPr>
          <w:rFonts w:hint="eastAsia"/>
          <w:lang w:val="en-US" w:eastAsia="zh-CN"/>
        </w:rPr>
      </w:pPr>
      <w:r>
        <w:t>附件</w:t>
      </w:r>
      <w:r>
        <w:rPr>
          <w:rFonts w:hint="eastAsia"/>
          <w:lang w:val="en-US" w:eastAsia="zh-CN"/>
        </w:rPr>
        <w:t>30生态环境分区管控分析报告</w:t>
      </w:r>
    </w:p>
    <w:p w14:paraId="14B834AF">
      <w:pPr>
        <w:pStyle w:val="95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518150" cy="3902075"/>
            <wp:effectExtent l="0" t="0" r="6350" b="3175"/>
            <wp:docPr id="201" name="图片 201" descr="宝清县双柳煤矿有限公司生产能力核定_2024年08月20日104721_分析报告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图片 201" descr="宝清县双柳煤矿有限公司生产能力核定_2024年08月20日104721_分析报告_00"/>
                    <pic:cNvPicPr>
                      <a:picLocks noChangeAspect="1"/>
                    </pic:cNvPicPr>
                  </pic:nvPicPr>
                  <pic:blipFill>
                    <a:blip r:embed="rId227"/>
                    <a:stretch>
                      <a:fillRect/>
                    </a:stretch>
                  </pic:blipFill>
                  <pic:spPr>
                    <a:xfrm>
                      <a:off x="0" y="0"/>
                      <a:ext cx="5518150" cy="390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518150" cy="3902075"/>
            <wp:effectExtent l="0" t="0" r="6350" b="3175"/>
            <wp:docPr id="200" name="图片 200" descr="宝清县双柳煤矿有限公司生产能力核定_2024年08月20日104721_分析报告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图片 200" descr="宝清县双柳煤矿有限公司生产能力核定_2024年08月20日104721_分析报告_01"/>
                    <pic:cNvPicPr>
                      <a:picLocks noChangeAspect="1"/>
                    </pic:cNvPicPr>
                  </pic:nvPicPr>
                  <pic:blipFill>
                    <a:blip r:embed="rId228"/>
                    <a:stretch>
                      <a:fillRect/>
                    </a:stretch>
                  </pic:blipFill>
                  <pic:spPr>
                    <a:xfrm>
                      <a:off x="0" y="0"/>
                      <a:ext cx="5518150" cy="390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518150" cy="3902075"/>
            <wp:effectExtent l="0" t="0" r="6350" b="3175"/>
            <wp:docPr id="199" name="图片 199" descr="宝清县双柳煤矿有限公司生产能力核定_2024年08月20日104721_分析报告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图片 199" descr="宝清县双柳煤矿有限公司生产能力核定_2024年08月20日104721_分析报告_02"/>
                    <pic:cNvPicPr>
                      <a:picLocks noChangeAspect="1"/>
                    </pic:cNvPicPr>
                  </pic:nvPicPr>
                  <pic:blipFill>
                    <a:blip r:embed="rId229"/>
                    <a:stretch>
                      <a:fillRect/>
                    </a:stretch>
                  </pic:blipFill>
                  <pic:spPr>
                    <a:xfrm>
                      <a:off x="0" y="0"/>
                      <a:ext cx="5518150" cy="390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518150" cy="3902075"/>
            <wp:effectExtent l="0" t="0" r="6350" b="3175"/>
            <wp:docPr id="198" name="图片 198" descr="宝清县双柳煤矿有限公司生产能力核定_2024年08月20日104721_分析报告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图片 198" descr="宝清县双柳煤矿有限公司生产能力核定_2024年08月20日104721_分析报告_03"/>
                    <pic:cNvPicPr>
                      <a:picLocks noChangeAspect="1"/>
                    </pic:cNvPicPr>
                  </pic:nvPicPr>
                  <pic:blipFill>
                    <a:blip r:embed="rId230"/>
                    <a:stretch>
                      <a:fillRect/>
                    </a:stretch>
                  </pic:blipFill>
                  <pic:spPr>
                    <a:xfrm>
                      <a:off x="0" y="0"/>
                      <a:ext cx="5518150" cy="390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518150" cy="3902075"/>
            <wp:effectExtent l="0" t="0" r="6350" b="3175"/>
            <wp:docPr id="197" name="图片 197" descr="宝清县双柳煤矿有限公司生产能力核定_2024年08月20日104721_分析报告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图片 197" descr="宝清县双柳煤矿有限公司生产能力核定_2024年08月20日104721_分析报告_04"/>
                    <pic:cNvPicPr>
                      <a:picLocks noChangeAspect="1"/>
                    </pic:cNvPicPr>
                  </pic:nvPicPr>
                  <pic:blipFill>
                    <a:blip r:embed="rId231"/>
                    <a:stretch>
                      <a:fillRect/>
                    </a:stretch>
                  </pic:blipFill>
                  <pic:spPr>
                    <a:xfrm>
                      <a:off x="0" y="0"/>
                      <a:ext cx="5518150" cy="390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518150" cy="3902075"/>
            <wp:effectExtent l="0" t="0" r="6350" b="3175"/>
            <wp:docPr id="196" name="图片 196" descr="宝清县双柳煤矿有限公司生产能力核定_2024年08月20日104721_分析报告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图片 196" descr="宝清县双柳煤矿有限公司生产能力核定_2024年08月20日104721_分析报告_05"/>
                    <pic:cNvPicPr>
                      <a:picLocks noChangeAspect="1"/>
                    </pic:cNvPicPr>
                  </pic:nvPicPr>
                  <pic:blipFill>
                    <a:blip r:embed="rId232"/>
                    <a:stretch>
                      <a:fillRect/>
                    </a:stretch>
                  </pic:blipFill>
                  <pic:spPr>
                    <a:xfrm>
                      <a:off x="0" y="0"/>
                      <a:ext cx="5518150" cy="390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518150" cy="3902075"/>
            <wp:effectExtent l="0" t="0" r="6350" b="3175"/>
            <wp:docPr id="195" name="图片 195" descr="宝清县双柳煤矿有限公司生产能力核定_2024年08月20日104721_分析报告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图片 195" descr="宝清县双柳煤矿有限公司生产能力核定_2024年08月20日104721_分析报告_06"/>
                    <pic:cNvPicPr>
                      <a:picLocks noChangeAspect="1"/>
                    </pic:cNvPicPr>
                  </pic:nvPicPr>
                  <pic:blipFill>
                    <a:blip r:embed="rId233"/>
                    <a:stretch>
                      <a:fillRect/>
                    </a:stretch>
                  </pic:blipFill>
                  <pic:spPr>
                    <a:xfrm>
                      <a:off x="0" y="0"/>
                      <a:ext cx="5518150" cy="390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518150" cy="3902075"/>
            <wp:effectExtent l="0" t="0" r="6350" b="3175"/>
            <wp:docPr id="194" name="图片 194" descr="宝清县双柳煤矿有限公司生产能力核定_2024年08月20日104721_分析报告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图片 194" descr="宝清县双柳煤矿有限公司生产能力核定_2024年08月20日104721_分析报告_07"/>
                    <pic:cNvPicPr>
                      <a:picLocks noChangeAspect="1"/>
                    </pic:cNvPicPr>
                  </pic:nvPicPr>
                  <pic:blipFill>
                    <a:blip r:embed="rId234"/>
                    <a:stretch>
                      <a:fillRect/>
                    </a:stretch>
                  </pic:blipFill>
                  <pic:spPr>
                    <a:xfrm>
                      <a:off x="0" y="0"/>
                      <a:ext cx="5518150" cy="390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518150" cy="3902075"/>
            <wp:effectExtent l="0" t="0" r="6350" b="3175"/>
            <wp:docPr id="193" name="图片 193" descr="宝清县双柳煤矿有限公司生产能力核定_2024年08月20日104721_分析报告_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图片 193" descr="宝清县双柳煤矿有限公司生产能力核定_2024年08月20日104721_分析报告_08"/>
                    <pic:cNvPicPr>
                      <a:picLocks noChangeAspect="1"/>
                    </pic:cNvPicPr>
                  </pic:nvPicPr>
                  <pic:blipFill>
                    <a:blip r:embed="rId235"/>
                    <a:stretch>
                      <a:fillRect/>
                    </a:stretch>
                  </pic:blipFill>
                  <pic:spPr>
                    <a:xfrm>
                      <a:off x="0" y="0"/>
                      <a:ext cx="5518150" cy="390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518150" cy="3902075"/>
            <wp:effectExtent l="0" t="0" r="6350" b="3175"/>
            <wp:docPr id="192" name="图片 192" descr="宝清县双柳煤矿有限公司生产能力核定_2024年08月20日104721_分析报告_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图片 192" descr="宝清县双柳煤矿有限公司生产能力核定_2024年08月20日104721_分析报告_09"/>
                    <pic:cNvPicPr>
                      <a:picLocks noChangeAspect="1"/>
                    </pic:cNvPicPr>
                  </pic:nvPicPr>
                  <pic:blipFill>
                    <a:blip r:embed="rId236"/>
                    <a:stretch>
                      <a:fillRect/>
                    </a:stretch>
                  </pic:blipFill>
                  <pic:spPr>
                    <a:xfrm>
                      <a:off x="0" y="0"/>
                      <a:ext cx="5518150" cy="390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F7888B">
      <w:pPr>
        <w:pStyle w:val="68"/>
        <w:sectPr>
          <w:pgSz w:w="11906" w:h="16838"/>
          <w:pgMar w:top="1417" w:right="1417" w:bottom="1417" w:left="1797" w:header="992" w:footer="992" w:gutter="0"/>
          <w:cols w:space="720" w:num="1"/>
          <w:docGrid w:linePitch="312" w:charSpace="0"/>
        </w:sectPr>
      </w:pPr>
    </w:p>
    <w:p w14:paraId="2D19D620">
      <w:pPr>
        <w:pStyle w:val="98"/>
        <w:rPr>
          <w:rFonts w:hint="default"/>
          <w:lang w:val="en-US" w:eastAsia="zh-CN"/>
        </w:rPr>
      </w:pPr>
      <w:bookmarkStart w:id="17" w:name="_Toc17370"/>
      <w:bookmarkStart w:id="18" w:name="_Toc95560021"/>
      <w:bookmarkStart w:id="19" w:name="_Toc95559742"/>
      <w:bookmarkStart w:id="28" w:name="_GoBack"/>
      <w:r>
        <w:t>附件</w:t>
      </w:r>
      <w:r>
        <w:rPr>
          <w:rFonts w:hint="eastAsia"/>
          <w:lang w:val="en-US" w:eastAsia="zh-CN"/>
        </w:rPr>
        <w:t>31入河排污口决定书</w:t>
      </w:r>
    </w:p>
    <w:bookmarkEnd w:id="28"/>
    <w:p w14:paraId="5BD48EC8">
      <w:p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540375" cy="7835265"/>
            <wp:effectExtent l="0" t="0" r="3175" b="13335"/>
            <wp:docPr id="235" name="图片 235" descr="排污口批复(1)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" name="图片 235" descr="排污口批复(1)_01"/>
                    <pic:cNvPicPr>
                      <a:picLocks noChangeAspect="1"/>
                    </pic:cNvPicPr>
                  </pic:nvPicPr>
                  <pic:blipFill>
                    <a:blip r:embed="rId237"/>
                    <a:stretch>
                      <a:fillRect/>
                    </a:stretch>
                  </pic:blipFill>
                  <pic:spPr>
                    <a:xfrm>
                      <a:off x="0" y="0"/>
                      <a:ext cx="5540375" cy="7835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540375" cy="7835265"/>
            <wp:effectExtent l="0" t="0" r="3175" b="13335"/>
            <wp:docPr id="234" name="图片 234" descr="排污口批复(1)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图片 234" descr="排污口批复(1)_02"/>
                    <pic:cNvPicPr>
                      <a:picLocks noChangeAspect="1"/>
                    </pic:cNvPicPr>
                  </pic:nvPicPr>
                  <pic:blipFill>
                    <a:blip r:embed="rId238"/>
                    <a:stretch>
                      <a:fillRect/>
                    </a:stretch>
                  </pic:blipFill>
                  <pic:spPr>
                    <a:xfrm>
                      <a:off x="0" y="0"/>
                      <a:ext cx="5540375" cy="7835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540375" cy="7835265"/>
            <wp:effectExtent l="0" t="0" r="3175" b="13335"/>
            <wp:docPr id="233" name="图片 233" descr="排污口批复(1)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" name="图片 233" descr="排污口批复(1)_03"/>
                    <pic:cNvPicPr>
                      <a:picLocks noChangeAspect="1"/>
                    </pic:cNvPicPr>
                  </pic:nvPicPr>
                  <pic:blipFill>
                    <a:blip r:embed="rId239"/>
                    <a:stretch>
                      <a:fillRect/>
                    </a:stretch>
                  </pic:blipFill>
                  <pic:spPr>
                    <a:xfrm>
                      <a:off x="0" y="0"/>
                      <a:ext cx="5540375" cy="7835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540375" cy="7835265"/>
            <wp:effectExtent l="0" t="0" r="3175" b="13335"/>
            <wp:docPr id="232" name="图片 232" descr="排污口批复(1)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图片 232" descr="排污口批复(1)_04"/>
                    <pic:cNvPicPr>
                      <a:picLocks noChangeAspect="1"/>
                    </pic:cNvPicPr>
                  </pic:nvPicPr>
                  <pic:blipFill>
                    <a:blip r:embed="rId240"/>
                    <a:stretch>
                      <a:fillRect/>
                    </a:stretch>
                  </pic:blipFill>
                  <pic:spPr>
                    <a:xfrm>
                      <a:off x="0" y="0"/>
                      <a:ext cx="5540375" cy="7835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B9E55A">
      <w:pPr>
        <w:pStyle w:val="98"/>
      </w:pPr>
      <w:r>
        <w:rPr>
          <w:rFonts w:hint="eastAsia"/>
          <w:lang w:val="en-US" w:eastAsia="zh-CN"/>
        </w:rPr>
        <w:t>附表1</w:t>
      </w:r>
      <w:r>
        <w:t>大气环境影响评价自查表</w:t>
      </w:r>
      <w:bookmarkEnd w:id="17"/>
      <w:bookmarkEnd w:id="18"/>
      <w:bookmarkEnd w:id="19"/>
    </w:p>
    <w:p w14:paraId="5DFE8294">
      <w:pPr>
        <w:pStyle w:val="62"/>
      </w:pPr>
      <w:r>
        <w:t>建设项目大气环境影响评价自查表</w:t>
      </w:r>
    </w:p>
    <w:tbl>
      <w:tblPr>
        <w:tblStyle w:val="37"/>
        <w:tblW w:w="0" w:type="auto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98"/>
        <w:gridCol w:w="1769"/>
        <w:gridCol w:w="254"/>
        <w:gridCol w:w="703"/>
        <w:gridCol w:w="739"/>
        <w:gridCol w:w="145"/>
        <w:gridCol w:w="304"/>
        <w:gridCol w:w="59"/>
        <w:gridCol w:w="103"/>
        <w:gridCol w:w="272"/>
        <w:gridCol w:w="304"/>
        <w:gridCol w:w="93"/>
        <w:gridCol w:w="35"/>
        <w:gridCol w:w="433"/>
        <w:gridCol w:w="104"/>
        <w:gridCol w:w="559"/>
        <w:gridCol w:w="29"/>
        <w:gridCol w:w="152"/>
        <w:gridCol w:w="21"/>
        <w:gridCol w:w="216"/>
        <w:gridCol w:w="65"/>
        <w:gridCol w:w="528"/>
        <w:gridCol w:w="56"/>
        <w:gridCol w:w="866"/>
      </w:tblGrid>
      <w:tr w14:paraId="20AD47E5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867" w:type="dxa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365DC2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工作内容</w:t>
            </w:r>
          </w:p>
        </w:tc>
        <w:tc>
          <w:tcPr>
            <w:tcW w:w="6039" w:type="dxa"/>
            <w:gridSpan w:val="2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2B36045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自查项目</w:t>
            </w:r>
          </w:p>
        </w:tc>
      </w:tr>
      <w:tr w14:paraId="06299948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  <w:jc w:val="center"/>
        </w:trPr>
        <w:tc>
          <w:tcPr>
            <w:tcW w:w="1098" w:type="dxa"/>
            <w:vMerge w:val="restar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5AC649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评价等级与范围</w:t>
            </w:r>
          </w:p>
        </w:tc>
        <w:tc>
          <w:tcPr>
            <w:tcW w:w="176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0F891C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评价等级</w:t>
            </w:r>
          </w:p>
        </w:tc>
        <w:tc>
          <w:tcPr>
            <w:tcW w:w="2145" w:type="dxa"/>
            <w:gridSpan w:val="5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EA2BED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一级</w:t>
            </w:r>
            <w:r>
              <w:rPr>
                <w:rFonts w:hint="default" w:ascii="Times New Roman" w:hAnsi="Times New Roman" w:eastAsia="宋体" w:cs="Times New Roman"/>
              </w:rPr>
              <w:sym w:font="Wingdings 2" w:char="0052"/>
            </w:r>
          </w:p>
        </w:tc>
        <w:tc>
          <w:tcPr>
            <w:tcW w:w="2143" w:type="dxa"/>
            <w:gridSpan w:val="11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44A566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二级</w:t>
            </w:r>
            <w:r>
              <w:rPr>
                <w:rFonts w:hint="default" w:ascii="Times New Roman" w:hAnsi="Times New Roman" w:eastAsia="宋体" w:cs="Times New Roman"/>
              </w:rPr>
              <w:sym w:font="Wingdings 2" w:char="00A3"/>
            </w:r>
          </w:p>
        </w:tc>
        <w:tc>
          <w:tcPr>
            <w:tcW w:w="1751" w:type="dxa"/>
            <w:gridSpan w:val="6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69E5C7F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三级</w:t>
            </w:r>
            <w:r>
              <w:rPr>
                <w:rFonts w:hint="default" w:ascii="Times New Roman" w:hAnsi="Times New Roman" w:eastAsia="宋体" w:cs="Times New Roman"/>
              </w:rPr>
              <w:sym w:font="Wingdings 2" w:char="00A3"/>
            </w:r>
          </w:p>
        </w:tc>
      </w:tr>
      <w:tr w14:paraId="17C25AF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  <w:jc w:val="center"/>
        </w:trPr>
        <w:tc>
          <w:tcPr>
            <w:tcW w:w="1098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365AFCE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176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AF08E85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评价范围</w:t>
            </w:r>
          </w:p>
        </w:tc>
        <w:tc>
          <w:tcPr>
            <w:tcW w:w="2145" w:type="dxa"/>
            <w:gridSpan w:val="5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54F5FE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边长=50km</w:t>
            </w:r>
            <w:r>
              <w:rPr>
                <w:rFonts w:hint="default" w:ascii="Times New Roman" w:hAnsi="Times New Roman" w:eastAsia="宋体" w:cs="Times New Roman"/>
              </w:rPr>
              <w:sym w:font="Wingdings 2" w:char="00A3"/>
            </w:r>
          </w:p>
        </w:tc>
        <w:tc>
          <w:tcPr>
            <w:tcW w:w="2143" w:type="dxa"/>
            <w:gridSpan w:val="11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773F62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边长5~50km</w:t>
            </w:r>
            <w:r>
              <w:rPr>
                <w:rFonts w:hint="default" w:ascii="Times New Roman" w:hAnsi="Times New Roman" w:eastAsia="宋体" w:cs="Times New Roman"/>
              </w:rPr>
              <w:sym w:font="Wingdings 2" w:char="00A3"/>
            </w:r>
          </w:p>
        </w:tc>
        <w:tc>
          <w:tcPr>
            <w:tcW w:w="1751" w:type="dxa"/>
            <w:gridSpan w:val="6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722E8B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边长=5km</w:t>
            </w:r>
            <w:r>
              <w:rPr>
                <w:rFonts w:hint="default" w:ascii="Times New Roman" w:hAnsi="Times New Roman" w:eastAsia="宋体" w:cs="Times New Roman"/>
              </w:rPr>
              <w:sym w:font="Wingdings 2" w:char="0052"/>
            </w:r>
          </w:p>
        </w:tc>
      </w:tr>
      <w:tr w14:paraId="4335734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  <w:jc w:val="center"/>
        </w:trPr>
        <w:tc>
          <w:tcPr>
            <w:tcW w:w="1098" w:type="dxa"/>
            <w:vMerge w:val="restar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3938A1C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评价因子</w:t>
            </w:r>
          </w:p>
        </w:tc>
        <w:tc>
          <w:tcPr>
            <w:tcW w:w="176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92686F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SO</w:t>
            </w:r>
            <w:r>
              <w:rPr>
                <w:rFonts w:hint="default" w:ascii="Times New Roman" w:hAnsi="Times New Roman" w:eastAsia="宋体" w:cs="Times New Roman"/>
                <w:vertAlign w:val="subscript"/>
              </w:rPr>
              <w:t>2</w:t>
            </w:r>
            <w:r>
              <w:rPr>
                <w:rFonts w:hint="default" w:ascii="Times New Roman" w:hAnsi="Times New Roman" w:eastAsia="宋体" w:cs="Times New Roman"/>
              </w:rPr>
              <w:t>+NOx排放量</w:t>
            </w:r>
          </w:p>
        </w:tc>
        <w:tc>
          <w:tcPr>
            <w:tcW w:w="1841" w:type="dxa"/>
            <w:gridSpan w:val="4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056A036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≥2000t/a</w:t>
            </w:r>
            <w:r>
              <w:rPr>
                <w:rFonts w:hint="default" w:ascii="Times New Roman" w:hAnsi="Times New Roman" w:eastAsia="宋体" w:cs="Times New Roman"/>
              </w:rPr>
              <w:sym w:font="Wingdings 2" w:char="00A3"/>
            </w:r>
          </w:p>
        </w:tc>
        <w:tc>
          <w:tcPr>
            <w:tcW w:w="2447" w:type="dxa"/>
            <w:gridSpan w:val="1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E656AF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500-2000t/a□</w:t>
            </w:r>
          </w:p>
        </w:tc>
        <w:tc>
          <w:tcPr>
            <w:tcW w:w="1751" w:type="dxa"/>
            <w:gridSpan w:val="6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DC91DF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＜500t/a</w:t>
            </w:r>
            <w:r>
              <w:rPr>
                <w:rFonts w:hint="default" w:ascii="Times New Roman" w:hAnsi="Times New Roman" w:eastAsia="宋体" w:cs="Times New Roman"/>
              </w:rPr>
              <w:sym w:font="Wingdings 2" w:char="0052"/>
            </w:r>
          </w:p>
        </w:tc>
      </w:tr>
      <w:tr w14:paraId="42214514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  <w:jc w:val="center"/>
        </w:trPr>
        <w:tc>
          <w:tcPr>
            <w:tcW w:w="1098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686060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1769" w:type="dxa"/>
            <w:vMerge w:val="restar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E62D68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评价因子</w:t>
            </w:r>
          </w:p>
        </w:tc>
        <w:tc>
          <w:tcPr>
            <w:tcW w:w="3548" w:type="dxa"/>
            <w:gridSpan w:val="1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6E43D0B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基本污染物（SO</w:t>
            </w:r>
            <w:r>
              <w:rPr>
                <w:rFonts w:hint="default" w:ascii="Times New Roman" w:hAnsi="Times New Roman" w:eastAsia="宋体" w:cs="Times New Roman"/>
                <w:vertAlign w:val="subscript"/>
              </w:rPr>
              <w:t>2</w:t>
            </w:r>
            <w:r>
              <w:rPr>
                <w:rFonts w:hint="default" w:ascii="Times New Roman" w:hAnsi="Times New Roman" w:eastAsia="宋体" w:cs="Times New Roman"/>
              </w:rPr>
              <w:t>、NO</w:t>
            </w:r>
            <w:r>
              <w:rPr>
                <w:rFonts w:hint="default" w:ascii="Times New Roman" w:hAnsi="Times New Roman" w:eastAsia="宋体" w:cs="Times New Roman"/>
                <w:vertAlign w:val="subscript"/>
              </w:rPr>
              <w:t>2</w:t>
            </w:r>
            <w:r>
              <w:rPr>
                <w:rFonts w:hint="default" w:ascii="Times New Roman" w:hAnsi="Times New Roman" w:eastAsia="宋体" w:cs="Times New Roman"/>
              </w:rPr>
              <w:t>、PM</w:t>
            </w:r>
            <w:r>
              <w:rPr>
                <w:rFonts w:hint="default" w:ascii="Times New Roman" w:hAnsi="Times New Roman" w:eastAsia="宋体" w:cs="Times New Roman"/>
                <w:vertAlign w:val="subscript"/>
              </w:rPr>
              <w:t>10</w:t>
            </w:r>
            <w:r>
              <w:rPr>
                <w:rFonts w:hint="default" w:ascii="Times New Roman" w:hAnsi="Times New Roman" w:eastAsia="宋体" w:cs="Times New Roman"/>
              </w:rPr>
              <w:t>、CO、O</w:t>
            </w:r>
            <w:r>
              <w:rPr>
                <w:rFonts w:hint="default" w:ascii="Times New Roman" w:hAnsi="Times New Roman" w:eastAsia="宋体" w:cs="Times New Roman"/>
                <w:vertAlign w:val="subscript"/>
              </w:rPr>
              <w:t>3</w:t>
            </w:r>
            <w:r>
              <w:rPr>
                <w:rFonts w:hint="default" w:ascii="Times New Roman" w:hAnsi="Times New Roman" w:eastAsia="宋体" w:cs="Times New Roman"/>
              </w:rPr>
              <w:t>、PM</w:t>
            </w:r>
            <w:r>
              <w:rPr>
                <w:rFonts w:hint="default" w:ascii="Times New Roman" w:hAnsi="Times New Roman" w:eastAsia="宋体" w:cs="Times New Roman"/>
                <w:vertAlign w:val="subscript"/>
              </w:rPr>
              <w:t>2.5</w:t>
            </w:r>
            <w:r>
              <w:rPr>
                <w:rFonts w:hint="default" w:ascii="Times New Roman" w:hAnsi="Times New Roman" w:eastAsia="宋体" w:cs="Times New Roman"/>
              </w:rPr>
              <w:t>）</w:t>
            </w:r>
          </w:p>
        </w:tc>
        <w:tc>
          <w:tcPr>
            <w:tcW w:w="2491" w:type="dxa"/>
            <w:gridSpan w:val="9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8805D6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包括二次PM</w:t>
            </w:r>
            <w:r>
              <w:rPr>
                <w:rFonts w:hint="default" w:ascii="Times New Roman" w:hAnsi="Times New Roman" w:eastAsia="宋体" w:cs="Times New Roman"/>
                <w:vertAlign w:val="subscript"/>
              </w:rPr>
              <w:t>2.5</w:t>
            </w:r>
            <w:r>
              <w:rPr>
                <w:rFonts w:hint="default" w:ascii="Times New Roman" w:hAnsi="Times New Roman" w:eastAsia="宋体" w:cs="Times New Roman"/>
              </w:rPr>
              <w:sym w:font="Wingdings 2" w:char="00A3"/>
            </w:r>
          </w:p>
        </w:tc>
      </w:tr>
      <w:tr w14:paraId="1BDE24E5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  <w:jc w:val="center"/>
        </w:trPr>
        <w:tc>
          <w:tcPr>
            <w:tcW w:w="1098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3133DF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1769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789D45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3548" w:type="dxa"/>
            <w:gridSpan w:val="1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9114616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其他污染物（TSP）</w:t>
            </w:r>
          </w:p>
        </w:tc>
        <w:tc>
          <w:tcPr>
            <w:tcW w:w="2491" w:type="dxa"/>
            <w:gridSpan w:val="9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742E45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不包括二次PM</w:t>
            </w:r>
            <w:r>
              <w:rPr>
                <w:rFonts w:hint="default" w:ascii="Times New Roman" w:hAnsi="Times New Roman" w:eastAsia="宋体" w:cs="Times New Roman"/>
                <w:vertAlign w:val="subscript"/>
              </w:rPr>
              <w:t>2.5</w:t>
            </w:r>
            <w:r>
              <w:rPr>
                <w:rFonts w:hint="default" w:ascii="Times New Roman" w:hAnsi="Times New Roman" w:eastAsia="宋体" w:cs="Times New Roman"/>
              </w:rPr>
              <w:sym w:font="Wingdings 2" w:char="0052"/>
            </w:r>
          </w:p>
        </w:tc>
      </w:tr>
      <w:tr w14:paraId="2D2C2CDD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  <w:jc w:val="center"/>
        </w:trPr>
        <w:tc>
          <w:tcPr>
            <w:tcW w:w="10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B11CAB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评价标准</w:t>
            </w:r>
          </w:p>
        </w:tc>
        <w:tc>
          <w:tcPr>
            <w:tcW w:w="176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AA72CE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评价标准</w:t>
            </w:r>
          </w:p>
        </w:tc>
        <w:tc>
          <w:tcPr>
            <w:tcW w:w="2204" w:type="dxa"/>
            <w:gridSpan w:val="6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2EE71C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国家标准</w:t>
            </w:r>
            <w:r>
              <w:rPr>
                <w:rFonts w:hint="default" w:ascii="Times New Roman" w:hAnsi="Times New Roman" w:eastAsia="宋体" w:cs="Times New Roman"/>
              </w:rPr>
              <w:sym w:font="Wingdings 2" w:char="0052"/>
            </w:r>
          </w:p>
        </w:tc>
        <w:tc>
          <w:tcPr>
            <w:tcW w:w="1344" w:type="dxa"/>
            <w:gridSpan w:val="7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971936C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地方标准</w:t>
            </w:r>
            <w:r>
              <w:rPr>
                <w:rFonts w:hint="default" w:ascii="Times New Roman" w:hAnsi="Times New Roman" w:eastAsia="宋体" w:cs="Times New Roman"/>
              </w:rPr>
              <w:sym w:font="Wingdings 2" w:char="00A3"/>
            </w:r>
          </w:p>
        </w:tc>
        <w:tc>
          <w:tcPr>
            <w:tcW w:w="1042" w:type="dxa"/>
            <w:gridSpan w:val="6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0A7DEE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附录D</w:t>
            </w:r>
            <w:r>
              <w:rPr>
                <w:rFonts w:hint="default" w:ascii="Times New Roman" w:hAnsi="Times New Roman" w:eastAsia="宋体" w:cs="Times New Roman"/>
              </w:rPr>
              <w:sym w:font="Wingdings 2" w:char="00A3"/>
            </w:r>
          </w:p>
        </w:tc>
        <w:tc>
          <w:tcPr>
            <w:tcW w:w="1449" w:type="dxa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229FE6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其他标准</w:t>
            </w:r>
            <w:r>
              <w:rPr>
                <w:rFonts w:hint="default" w:ascii="Times New Roman" w:hAnsi="Times New Roman" w:eastAsia="宋体" w:cs="Times New Roman"/>
              </w:rPr>
              <w:sym w:font="Wingdings 2" w:char="00A3"/>
            </w:r>
          </w:p>
        </w:tc>
      </w:tr>
      <w:tr w14:paraId="4665A03D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  <w:jc w:val="center"/>
        </w:trPr>
        <w:tc>
          <w:tcPr>
            <w:tcW w:w="1098" w:type="dxa"/>
            <w:vMerge w:val="restar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0774DD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现状评价</w:t>
            </w:r>
          </w:p>
        </w:tc>
        <w:tc>
          <w:tcPr>
            <w:tcW w:w="176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109FFB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环境功能区</w:t>
            </w:r>
          </w:p>
        </w:tc>
        <w:tc>
          <w:tcPr>
            <w:tcW w:w="2145" w:type="dxa"/>
            <w:gridSpan w:val="5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D98DF4D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一类区</w:t>
            </w:r>
            <w:r>
              <w:rPr>
                <w:rFonts w:hint="default" w:ascii="Times New Roman" w:hAnsi="Times New Roman" w:eastAsia="宋体" w:cs="Times New Roman"/>
              </w:rPr>
              <w:sym w:font="Wingdings 2" w:char="00A3"/>
            </w:r>
          </w:p>
        </w:tc>
        <w:tc>
          <w:tcPr>
            <w:tcW w:w="1962" w:type="dxa"/>
            <w:gridSpan w:val="9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DEF889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二类区</w:t>
            </w:r>
            <w:r>
              <w:rPr>
                <w:rFonts w:hint="default" w:ascii="Times New Roman" w:hAnsi="Times New Roman" w:eastAsia="宋体" w:cs="Times New Roman"/>
              </w:rPr>
              <w:sym w:font="Wingdings 2" w:char="0052"/>
            </w:r>
          </w:p>
        </w:tc>
        <w:tc>
          <w:tcPr>
            <w:tcW w:w="1932" w:type="dxa"/>
            <w:gridSpan w:val="8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3E1B5C9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一类区和二类区</w:t>
            </w:r>
            <w:r>
              <w:rPr>
                <w:rFonts w:hint="default" w:ascii="Times New Roman" w:hAnsi="Times New Roman" w:eastAsia="宋体" w:cs="Times New Roman"/>
              </w:rPr>
              <w:sym w:font="Wingdings 2" w:char="00A3"/>
            </w:r>
          </w:p>
        </w:tc>
      </w:tr>
      <w:tr w14:paraId="40414F24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  <w:jc w:val="center"/>
        </w:trPr>
        <w:tc>
          <w:tcPr>
            <w:tcW w:w="1098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C31EB8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176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35F871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评价基准年</w:t>
            </w:r>
          </w:p>
        </w:tc>
        <w:tc>
          <w:tcPr>
            <w:tcW w:w="6039" w:type="dxa"/>
            <w:gridSpan w:val="2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F67F84F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（2019）年</w:t>
            </w:r>
          </w:p>
        </w:tc>
      </w:tr>
      <w:tr w14:paraId="75928AD4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  <w:jc w:val="center"/>
        </w:trPr>
        <w:tc>
          <w:tcPr>
            <w:tcW w:w="1098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58983C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176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96DA69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环境空气质量现状调查数据来源</w:t>
            </w:r>
          </w:p>
        </w:tc>
        <w:tc>
          <w:tcPr>
            <w:tcW w:w="2145" w:type="dxa"/>
            <w:gridSpan w:val="5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6EFBCA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长期例行监测数据</w:t>
            </w:r>
            <w:r>
              <w:rPr>
                <w:rFonts w:hint="default" w:ascii="Times New Roman" w:hAnsi="Times New Roman" w:eastAsia="宋体" w:cs="Times New Roman"/>
              </w:rPr>
              <w:sym w:font="Wingdings 2" w:char="00A3"/>
            </w:r>
          </w:p>
        </w:tc>
        <w:tc>
          <w:tcPr>
            <w:tcW w:w="1991" w:type="dxa"/>
            <w:gridSpan w:val="10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FA63E0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主管部门发布的数据</w:t>
            </w:r>
            <w:r>
              <w:rPr>
                <w:rFonts w:hint="default" w:ascii="Times New Roman" w:hAnsi="Times New Roman" w:eastAsia="宋体" w:cs="Times New Roman"/>
              </w:rPr>
              <w:sym w:font="Wingdings 2" w:char="0052"/>
            </w:r>
          </w:p>
        </w:tc>
        <w:tc>
          <w:tcPr>
            <w:tcW w:w="1903" w:type="dxa"/>
            <w:gridSpan w:val="7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9FD552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现状补充监测</w:t>
            </w:r>
            <w:r>
              <w:rPr>
                <w:rFonts w:hint="default" w:ascii="Times New Roman" w:hAnsi="Times New Roman" w:eastAsia="宋体" w:cs="Times New Roman"/>
              </w:rPr>
              <w:sym w:font="Wingdings 2" w:char="0052"/>
            </w:r>
          </w:p>
        </w:tc>
      </w:tr>
      <w:tr w14:paraId="03A302A3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  <w:jc w:val="center"/>
        </w:trPr>
        <w:tc>
          <w:tcPr>
            <w:tcW w:w="1098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0B2A67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176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2830A82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现状评价</w:t>
            </w:r>
          </w:p>
        </w:tc>
        <w:tc>
          <w:tcPr>
            <w:tcW w:w="2883" w:type="dxa"/>
            <w:gridSpan w:val="9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605393C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达标区</w:t>
            </w:r>
            <w:r>
              <w:rPr>
                <w:rFonts w:hint="default" w:ascii="Times New Roman" w:hAnsi="Times New Roman" w:eastAsia="宋体" w:cs="Times New Roman"/>
              </w:rPr>
              <w:sym w:font="Wingdings 2" w:char="0052"/>
            </w:r>
          </w:p>
        </w:tc>
        <w:tc>
          <w:tcPr>
            <w:tcW w:w="3156" w:type="dxa"/>
            <w:gridSpan w:val="1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0F2EC9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不达标区</w:t>
            </w:r>
            <w:r>
              <w:rPr>
                <w:rFonts w:hint="default" w:ascii="Times New Roman" w:hAnsi="Times New Roman" w:eastAsia="宋体" w:cs="Times New Roman"/>
              </w:rPr>
              <w:sym w:font="Wingdings 2" w:char="00A3"/>
            </w:r>
          </w:p>
        </w:tc>
      </w:tr>
      <w:tr w14:paraId="48BDDEDC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  <w:jc w:val="center"/>
        </w:trPr>
        <w:tc>
          <w:tcPr>
            <w:tcW w:w="10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6185719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污染源调查</w:t>
            </w:r>
          </w:p>
        </w:tc>
        <w:tc>
          <w:tcPr>
            <w:tcW w:w="176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0E7E3BC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调查内容</w:t>
            </w:r>
          </w:p>
        </w:tc>
        <w:tc>
          <w:tcPr>
            <w:tcW w:w="2307" w:type="dxa"/>
            <w:gridSpan w:val="7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3CCF85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本项目正常排放源</w:t>
            </w:r>
            <w:r>
              <w:rPr>
                <w:rFonts w:hint="default" w:ascii="Times New Roman" w:hAnsi="Times New Roman" w:eastAsia="宋体" w:cs="Times New Roman"/>
              </w:rPr>
              <w:sym w:font="Wingdings 2" w:char="0052"/>
            </w:r>
          </w:p>
          <w:p w14:paraId="429C3BA0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本项目非正常排放源</w:t>
            </w:r>
            <w:r>
              <w:rPr>
                <w:rFonts w:hint="default" w:ascii="Times New Roman" w:hAnsi="Times New Roman" w:eastAsia="宋体" w:cs="Times New Roman"/>
              </w:rPr>
              <w:sym w:font="Wingdings 2" w:char="0052"/>
            </w:r>
          </w:p>
          <w:p w14:paraId="6E2E88A7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现有污染源</w:t>
            </w:r>
            <w:r>
              <w:rPr>
                <w:rFonts w:hint="default" w:ascii="Times New Roman" w:hAnsi="Times New Roman" w:eastAsia="宋体" w:cs="Times New Roman"/>
              </w:rPr>
              <w:sym w:font="Wingdings 2" w:char="0052"/>
            </w:r>
          </w:p>
        </w:tc>
        <w:tc>
          <w:tcPr>
            <w:tcW w:w="1241" w:type="dxa"/>
            <w:gridSpan w:val="6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D0E2454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拟替代的污染源</w:t>
            </w:r>
            <w:r>
              <w:rPr>
                <w:rFonts w:hint="default" w:ascii="Times New Roman" w:hAnsi="Times New Roman" w:eastAsia="宋体" w:cs="Times New Roman"/>
              </w:rPr>
              <w:sym w:font="Wingdings 2" w:char="00A3"/>
            </w:r>
          </w:p>
        </w:tc>
        <w:tc>
          <w:tcPr>
            <w:tcW w:w="1570" w:type="dxa"/>
            <w:gridSpan w:val="7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39025F4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其他在建、拟建项目</w:t>
            </w:r>
            <w:r>
              <w:rPr>
                <w:rFonts w:hint="default" w:ascii="Times New Roman" w:hAnsi="Times New Roman" w:eastAsia="宋体" w:cs="Times New Roman"/>
              </w:rPr>
              <w:sym w:font="Wingdings 2" w:char="0052"/>
            </w:r>
          </w:p>
          <w:p w14:paraId="35C6D5F1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污染源</w:t>
            </w:r>
            <w:r>
              <w:rPr>
                <w:rFonts w:hint="default" w:ascii="Times New Roman" w:hAnsi="Times New Roman" w:eastAsia="宋体" w:cs="Times New Roman"/>
              </w:rPr>
              <w:sym w:font="Wingdings 2" w:char="0052"/>
            </w:r>
          </w:p>
        </w:tc>
        <w:tc>
          <w:tcPr>
            <w:tcW w:w="921" w:type="dxa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3C9D5C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区域污染源</w:t>
            </w:r>
            <w:r>
              <w:rPr>
                <w:rFonts w:hint="default" w:ascii="Times New Roman" w:hAnsi="Times New Roman" w:eastAsia="宋体" w:cs="Times New Roman"/>
              </w:rPr>
              <w:sym w:font="Wingdings 2" w:char="0052"/>
            </w:r>
          </w:p>
        </w:tc>
      </w:tr>
      <w:tr w14:paraId="31BDF147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  <w:jc w:val="center"/>
        </w:trPr>
        <w:tc>
          <w:tcPr>
            <w:tcW w:w="1098" w:type="dxa"/>
            <w:vMerge w:val="restar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BAD144C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大气环境影响预测与评价</w:t>
            </w:r>
          </w:p>
        </w:tc>
        <w:tc>
          <w:tcPr>
            <w:tcW w:w="176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0133771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预测模型</w:t>
            </w:r>
          </w:p>
        </w:tc>
        <w:tc>
          <w:tcPr>
            <w:tcW w:w="957" w:type="dxa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61FF98">
            <w:pPr>
              <w:pStyle w:val="66"/>
              <w:rPr>
                <w:rFonts w:hint="eastAsia" w:ascii="Times New Roman" w:hAnsi="Times New Roman" w:eastAsia="宋体" w:cs="Times New Roman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</w:rPr>
              <w:t>AERMOD</w:t>
            </w:r>
            <w:r>
              <w:rPr>
                <w:rFonts w:hint="eastAsia" w:ascii="Times New Roman" w:hAnsi="Times New Roman" w:eastAsia="宋体" w:cs="Times New Roman"/>
                <w:lang w:eastAsia="zh-CN"/>
              </w:rPr>
              <w:t>☑</w:t>
            </w:r>
          </w:p>
        </w:tc>
        <w:tc>
          <w:tcPr>
            <w:tcW w:w="73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6C0209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ADMS□</w:t>
            </w:r>
          </w:p>
        </w:tc>
        <w:tc>
          <w:tcPr>
            <w:tcW w:w="883" w:type="dxa"/>
            <w:gridSpan w:val="5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489758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AUSTAL2000□</w:t>
            </w:r>
          </w:p>
        </w:tc>
        <w:tc>
          <w:tcPr>
            <w:tcW w:w="865" w:type="dxa"/>
            <w:gridSpan w:val="4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AB5694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EDMS/AEDT□</w:t>
            </w:r>
          </w:p>
        </w:tc>
        <w:tc>
          <w:tcPr>
            <w:tcW w:w="865" w:type="dxa"/>
            <w:gridSpan w:val="5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361A21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CALPUFF□</w:t>
            </w:r>
          </w:p>
        </w:tc>
        <w:tc>
          <w:tcPr>
            <w:tcW w:w="865" w:type="dxa"/>
            <w:gridSpan w:val="4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855492A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网格模型□</w:t>
            </w:r>
          </w:p>
        </w:tc>
        <w:tc>
          <w:tcPr>
            <w:tcW w:w="8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4A3CC1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其他</w:t>
            </w:r>
          </w:p>
        </w:tc>
      </w:tr>
      <w:tr w14:paraId="0B016AC6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  <w:jc w:val="center"/>
        </w:trPr>
        <w:tc>
          <w:tcPr>
            <w:tcW w:w="1098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3953E7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176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760B6D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预测范围</w:t>
            </w:r>
          </w:p>
        </w:tc>
        <w:tc>
          <w:tcPr>
            <w:tcW w:w="1696" w:type="dxa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3954E6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边长≥50km□</w:t>
            </w:r>
          </w:p>
        </w:tc>
        <w:tc>
          <w:tcPr>
            <w:tcW w:w="2613" w:type="dxa"/>
            <w:gridSpan w:val="14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D03E8E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边长5-50km□</w:t>
            </w:r>
          </w:p>
        </w:tc>
        <w:tc>
          <w:tcPr>
            <w:tcW w:w="1730" w:type="dxa"/>
            <w:gridSpan w:val="5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C097AC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边长=5km</w:t>
            </w:r>
            <w:r>
              <w:rPr>
                <w:rFonts w:hint="default" w:ascii="Times New Roman" w:hAnsi="Times New Roman" w:eastAsia="宋体" w:cs="Times New Roman"/>
              </w:rPr>
              <w:sym w:font="Wingdings 2" w:char="0052"/>
            </w:r>
          </w:p>
        </w:tc>
      </w:tr>
      <w:tr w14:paraId="55D2EE8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  <w:jc w:val="center"/>
        </w:trPr>
        <w:tc>
          <w:tcPr>
            <w:tcW w:w="1098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698D58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176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D19250D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预测因子</w:t>
            </w:r>
          </w:p>
        </w:tc>
        <w:tc>
          <w:tcPr>
            <w:tcW w:w="2976" w:type="dxa"/>
            <w:gridSpan w:val="10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288537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预测因子（PM</w:t>
            </w:r>
            <w:r>
              <w:rPr>
                <w:rFonts w:hint="default" w:ascii="Times New Roman" w:hAnsi="Times New Roman" w:eastAsia="宋体" w:cs="Times New Roman"/>
                <w:vertAlign w:val="subscript"/>
              </w:rPr>
              <w:t>10</w:t>
            </w:r>
            <w:r>
              <w:rPr>
                <w:rFonts w:hint="default" w:ascii="Times New Roman" w:hAnsi="Times New Roman" w:eastAsia="宋体" w:cs="Times New Roman"/>
              </w:rPr>
              <w:t>、TSP）</w:t>
            </w:r>
          </w:p>
        </w:tc>
        <w:tc>
          <w:tcPr>
            <w:tcW w:w="3063" w:type="dxa"/>
            <w:gridSpan w:val="1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B6EBB8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包括二次PM</w:t>
            </w:r>
            <w:r>
              <w:rPr>
                <w:rFonts w:hint="default" w:ascii="Times New Roman" w:hAnsi="Times New Roman" w:eastAsia="宋体" w:cs="Times New Roman"/>
                <w:vertAlign w:val="subscript"/>
              </w:rPr>
              <w:t>2.5</w:t>
            </w:r>
            <w:r>
              <w:rPr>
                <w:rFonts w:hint="default" w:ascii="Times New Roman" w:hAnsi="Times New Roman" w:eastAsia="宋体" w:cs="Times New Roman"/>
              </w:rPr>
              <w:t>□</w:t>
            </w:r>
          </w:p>
          <w:p w14:paraId="45A61A78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不包括二次PM</w:t>
            </w:r>
            <w:r>
              <w:rPr>
                <w:rFonts w:hint="default" w:ascii="Times New Roman" w:hAnsi="Times New Roman" w:eastAsia="宋体" w:cs="Times New Roman"/>
                <w:vertAlign w:val="subscript"/>
              </w:rPr>
              <w:t>2.5</w:t>
            </w:r>
            <w:r>
              <w:rPr>
                <w:rFonts w:hint="default" w:ascii="Times New Roman" w:hAnsi="Times New Roman" w:eastAsia="宋体" w:cs="Times New Roman"/>
              </w:rPr>
              <w:t>□</w:t>
            </w:r>
          </w:p>
        </w:tc>
      </w:tr>
      <w:tr w14:paraId="3125B002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  <w:jc w:val="center"/>
        </w:trPr>
        <w:tc>
          <w:tcPr>
            <w:tcW w:w="1098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B803AE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176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9996E69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正常排放短</w:t>
            </w:r>
          </w:p>
          <w:p w14:paraId="74ADB052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期浓度贡献值</w:t>
            </w:r>
          </w:p>
        </w:tc>
        <w:tc>
          <w:tcPr>
            <w:tcW w:w="2976" w:type="dxa"/>
            <w:gridSpan w:val="10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BC9AB06">
            <w:pPr>
              <w:pStyle w:val="66"/>
              <w:rPr>
                <w:rFonts w:hint="eastAsia" w:ascii="Times New Roman" w:hAnsi="Times New Roman" w:eastAsia="宋体" w:cs="Times New Roman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</w:rPr>
              <w:t>C本项目最大占标率≤100%</w:t>
            </w:r>
            <w:r>
              <w:rPr>
                <w:rFonts w:hint="eastAsia" w:ascii="Times New Roman" w:hAnsi="Times New Roman" w:eastAsia="宋体" w:cs="Times New Roman"/>
                <w:lang w:eastAsia="zh-CN"/>
              </w:rPr>
              <w:t>☑</w:t>
            </w:r>
          </w:p>
        </w:tc>
        <w:tc>
          <w:tcPr>
            <w:tcW w:w="3063" w:type="dxa"/>
            <w:gridSpan w:val="1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7A43D3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C本项目最大占标率＞100%□</w:t>
            </w:r>
          </w:p>
        </w:tc>
      </w:tr>
      <w:tr w14:paraId="0D93B8E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  <w:jc w:val="center"/>
        </w:trPr>
        <w:tc>
          <w:tcPr>
            <w:tcW w:w="1098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8DAEB1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1769" w:type="dxa"/>
            <w:vMerge w:val="restar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B2083A5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正常排放年</w:t>
            </w:r>
          </w:p>
          <w:p w14:paraId="6CFEC1C3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均浓度贡献值</w:t>
            </w:r>
          </w:p>
        </w:tc>
        <w:tc>
          <w:tcPr>
            <w:tcW w:w="957" w:type="dxa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AB3BCA1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一类区</w:t>
            </w:r>
          </w:p>
        </w:tc>
        <w:tc>
          <w:tcPr>
            <w:tcW w:w="2019" w:type="dxa"/>
            <w:gridSpan w:val="8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8823D52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C本项目最大占标率≤10%□</w:t>
            </w:r>
          </w:p>
        </w:tc>
        <w:tc>
          <w:tcPr>
            <w:tcW w:w="3063" w:type="dxa"/>
            <w:gridSpan w:val="1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F28314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C本项目最大占标率＞10%</w:t>
            </w:r>
            <w:r>
              <w:rPr>
                <w:rFonts w:hint="default" w:ascii="Times New Roman" w:hAnsi="Times New Roman" w:eastAsia="宋体" w:cs="Times New Roman"/>
              </w:rPr>
              <w:sym w:font="Wingdings 2" w:char="00A3"/>
            </w:r>
          </w:p>
        </w:tc>
      </w:tr>
      <w:tr w14:paraId="17A4353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  <w:jc w:val="center"/>
        </w:trPr>
        <w:tc>
          <w:tcPr>
            <w:tcW w:w="1098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F96FC2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1769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1E34DB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957" w:type="dxa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578992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二类区</w:t>
            </w:r>
          </w:p>
        </w:tc>
        <w:tc>
          <w:tcPr>
            <w:tcW w:w="2019" w:type="dxa"/>
            <w:gridSpan w:val="8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3598CFB">
            <w:pPr>
              <w:pStyle w:val="66"/>
              <w:rPr>
                <w:rFonts w:hint="eastAsia" w:ascii="Times New Roman" w:hAnsi="Times New Roman" w:eastAsia="宋体" w:cs="Times New Roman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</w:rPr>
              <w:t>C本项目最大占标率≤30%</w:t>
            </w:r>
            <w:r>
              <w:rPr>
                <w:rFonts w:hint="eastAsia" w:ascii="Times New Roman" w:hAnsi="Times New Roman" w:eastAsia="宋体" w:cs="Times New Roman"/>
                <w:lang w:eastAsia="zh-CN"/>
              </w:rPr>
              <w:t>☑</w:t>
            </w:r>
          </w:p>
        </w:tc>
        <w:tc>
          <w:tcPr>
            <w:tcW w:w="3063" w:type="dxa"/>
            <w:gridSpan w:val="1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F58E557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C本项目最大占标率＞30%□</w:t>
            </w:r>
          </w:p>
        </w:tc>
      </w:tr>
      <w:tr w14:paraId="21849B62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  <w:jc w:val="center"/>
        </w:trPr>
        <w:tc>
          <w:tcPr>
            <w:tcW w:w="1098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FFB586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176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6319AD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非正常排放1h浓度贡献值</w:t>
            </w:r>
          </w:p>
        </w:tc>
        <w:tc>
          <w:tcPr>
            <w:tcW w:w="2204" w:type="dxa"/>
            <w:gridSpan w:val="6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0EF365A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非正常持续时长</w:t>
            </w:r>
          </w:p>
          <w:p w14:paraId="5ED5ABEC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（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 xml:space="preserve">1 </w:t>
            </w:r>
            <w:r>
              <w:rPr>
                <w:rFonts w:hint="default" w:ascii="Times New Roman" w:hAnsi="Times New Roman" w:eastAsia="宋体" w:cs="Times New Roman"/>
              </w:rPr>
              <w:t xml:space="preserve"> ）h</w:t>
            </w:r>
          </w:p>
        </w:tc>
        <w:tc>
          <w:tcPr>
            <w:tcW w:w="2084" w:type="dxa"/>
            <w:gridSpan w:val="10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1DEA7B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C非正常占标率≤100%□</w:t>
            </w:r>
          </w:p>
        </w:tc>
        <w:tc>
          <w:tcPr>
            <w:tcW w:w="1751" w:type="dxa"/>
            <w:gridSpan w:val="6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2BC4B8">
            <w:pPr>
              <w:pStyle w:val="66"/>
              <w:rPr>
                <w:rFonts w:hint="eastAsia" w:ascii="Times New Roman" w:hAnsi="Times New Roman" w:eastAsia="宋体" w:cs="Times New Roman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</w:rPr>
              <w:t>C非正常占标率＞100%</w:t>
            </w:r>
            <w:r>
              <w:rPr>
                <w:rFonts w:hint="eastAsia" w:ascii="Times New Roman" w:hAnsi="Times New Roman" w:eastAsia="宋体" w:cs="Times New Roman"/>
                <w:lang w:eastAsia="zh-CN"/>
              </w:rPr>
              <w:t>☑</w:t>
            </w:r>
          </w:p>
        </w:tc>
      </w:tr>
      <w:tr w14:paraId="1B2314B4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  <w:jc w:val="center"/>
        </w:trPr>
        <w:tc>
          <w:tcPr>
            <w:tcW w:w="1098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EEC203D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176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5608E1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保证率日平均浓度和年平均浓度叠加值</w:t>
            </w:r>
          </w:p>
        </w:tc>
        <w:tc>
          <w:tcPr>
            <w:tcW w:w="3011" w:type="dxa"/>
            <w:gridSpan w:val="11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52F4DF">
            <w:pPr>
              <w:pStyle w:val="66"/>
              <w:rPr>
                <w:rFonts w:hint="eastAsia" w:ascii="Times New Roman" w:hAnsi="Times New Roman" w:eastAsia="宋体" w:cs="Times New Roman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</w:rPr>
              <w:t>C叠加达标</w:t>
            </w:r>
            <w:r>
              <w:rPr>
                <w:rFonts w:hint="eastAsia" w:ascii="Times New Roman" w:hAnsi="Times New Roman" w:eastAsia="宋体" w:cs="Times New Roman"/>
                <w:lang w:eastAsia="zh-CN"/>
              </w:rPr>
              <w:t>☑</w:t>
            </w:r>
          </w:p>
        </w:tc>
        <w:tc>
          <w:tcPr>
            <w:tcW w:w="3028" w:type="dxa"/>
            <w:gridSpan w:val="11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31EF778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C叠加不达标□</w:t>
            </w:r>
          </w:p>
        </w:tc>
      </w:tr>
      <w:tr w14:paraId="78A9302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  <w:jc w:val="center"/>
        </w:trPr>
        <w:tc>
          <w:tcPr>
            <w:tcW w:w="1098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775BF1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176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B97CAAC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区域环境质量的整体变化情况</w:t>
            </w:r>
          </w:p>
        </w:tc>
        <w:tc>
          <w:tcPr>
            <w:tcW w:w="3011" w:type="dxa"/>
            <w:gridSpan w:val="11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8FEFE3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k≤-20%□</w:t>
            </w:r>
          </w:p>
        </w:tc>
        <w:tc>
          <w:tcPr>
            <w:tcW w:w="3028" w:type="dxa"/>
            <w:gridSpan w:val="11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C5FE07B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K＞-20%□</w:t>
            </w:r>
          </w:p>
        </w:tc>
      </w:tr>
      <w:tr w14:paraId="2F8E1770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  <w:jc w:val="center"/>
        </w:trPr>
        <w:tc>
          <w:tcPr>
            <w:tcW w:w="1098" w:type="dxa"/>
            <w:vMerge w:val="restar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736FC4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环境监测计划</w:t>
            </w:r>
          </w:p>
        </w:tc>
        <w:tc>
          <w:tcPr>
            <w:tcW w:w="176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1E3A810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污染源监测</w:t>
            </w:r>
          </w:p>
        </w:tc>
        <w:tc>
          <w:tcPr>
            <w:tcW w:w="2204" w:type="dxa"/>
            <w:gridSpan w:val="6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A41697C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监测因子：（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颗粒物</w:t>
            </w:r>
            <w:r>
              <w:rPr>
                <w:rFonts w:hint="default" w:ascii="Times New Roman" w:hAnsi="Times New Roman" w:eastAsia="宋体" w:cs="Times New Roman"/>
              </w:rPr>
              <w:t>）</w:t>
            </w:r>
          </w:p>
        </w:tc>
        <w:tc>
          <w:tcPr>
            <w:tcW w:w="2084" w:type="dxa"/>
            <w:gridSpan w:val="10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8F227E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有组织废气监测</w:t>
            </w:r>
            <w:r>
              <w:rPr>
                <w:rFonts w:hint="default" w:ascii="Times New Roman" w:hAnsi="Times New Roman" w:eastAsia="宋体" w:cs="Times New Roman"/>
              </w:rPr>
              <w:sym w:font="Wingdings 2" w:char="0052"/>
            </w:r>
          </w:p>
          <w:p w14:paraId="6DB74E02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无组织废气监测</w:t>
            </w:r>
            <w:r>
              <w:rPr>
                <w:rFonts w:hint="default" w:ascii="Times New Roman" w:hAnsi="Times New Roman" w:eastAsia="宋体" w:cs="Times New Roman"/>
              </w:rPr>
              <w:sym w:font="Wingdings 2" w:char="0052"/>
            </w:r>
          </w:p>
        </w:tc>
        <w:tc>
          <w:tcPr>
            <w:tcW w:w="1751" w:type="dxa"/>
            <w:gridSpan w:val="6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B46AEC2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无监测□</w:t>
            </w:r>
          </w:p>
        </w:tc>
      </w:tr>
      <w:tr w14:paraId="6F3C67A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  <w:jc w:val="center"/>
        </w:trPr>
        <w:tc>
          <w:tcPr>
            <w:tcW w:w="1098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99FF1B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176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44599D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环境质量监测</w:t>
            </w:r>
          </w:p>
        </w:tc>
        <w:tc>
          <w:tcPr>
            <w:tcW w:w="2204" w:type="dxa"/>
            <w:gridSpan w:val="6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9BF3B87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监测因子：（）</w:t>
            </w:r>
          </w:p>
        </w:tc>
        <w:tc>
          <w:tcPr>
            <w:tcW w:w="2084" w:type="dxa"/>
            <w:gridSpan w:val="10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460D77E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监测点位数（）</w:t>
            </w:r>
          </w:p>
        </w:tc>
        <w:tc>
          <w:tcPr>
            <w:tcW w:w="1751" w:type="dxa"/>
            <w:gridSpan w:val="6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E27DFAC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无监测</w:t>
            </w:r>
            <w:r>
              <w:rPr>
                <w:rFonts w:hint="default" w:ascii="Times New Roman" w:hAnsi="Times New Roman" w:eastAsia="宋体" w:cs="Times New Roman"/>
              </w:rPr>
              <w:sym w:font="Wingdings 2" w:char="0052"/>
            </w:r>
          </w:p>
        </w:tc>
      </w:tr>
      <w:tr w14:paraId="11EC9D32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  <w:jc w:val="center"/>
        </w:trPr>
        <w:tc>
          <w:tcPr>
            <w:tcW w:w="1098" w:type="dxa"/>
            <w:vMerge w:val="restar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9A42903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评价结论</w:t>
            </w:r>
          </w:p>
        </w:tc>
        <w:tc>
          <w:tcPr>
            <w:tcW w:w="176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C28173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环境影响</w:t>
            </w:r>
          </w:p>
        </w:tc>
        <w:tc>
          <w:tcPr>
            <w:tcW w:w="6039" w:type="dxa"/>
            <w:gridSpan w:val="2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4EDE39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可以接受</w:t>
            </w:r>
            <w:r>
              <w:rPr>
                <w:rFonts w:hint="default" w:ascii="Times New Roman" w:hAnsi="Times New Roman" w:eastAsia="宋体" w:cs="Times New Roman"/>
              </w:rPr>
              <w:sym w:font="Wingdings 2" w:char="0052"/>
            </w:r>
            <w:r>
              <w:rPr>
                <w:rFonts w:hint="default" w:ascii="Times New Roman" w:hAnsi="Times New Roman" w:eastAsia="宋体" w:cs="Times New Roman"/>
              </w:rPr>
              <w:t xml:space="preserve">             不可以接受□</w:t>
            </w:r>
          </w:p>
        </w:tc>
      </w:tr>
      <w:tr w14:paraId="40D84DF3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  <w:jc w:val="center"/>
        </w:trPr>
        <w:tc>
          <w:tcPr>
            <w:tcW w:w="1098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185CFB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2023" w:type="dxa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B67D00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大气环境防护距离</w:t>
            </w:r>
          </w:p>
        </w:tc>
        <w:tc>
          <w:tcPr>
            <w:tcW w:w="5785" w:type="dxa"/>
            <w:gridSpan w:val="21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19CD8B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距（   ）厂界最远（   ）m</w:t>
            </w:r>
          </w:p>
        </w:tc>
      </w:tr>
      <w:tr w14:paraId="35FAAFEC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  <w:jc w:val="center"/>
        </w:trPr>
        <w:tc>
          <w:tcPr>
            <w:tcW w:w="1098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96E106E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176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B5F9164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污染源年排</w:t>
            </w:r>
          </w:p>
          <w:p w14:paraId="485AE9A3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放量</w:t>
            </w:r>
          </w:p>
        </w:tc>
        <w:tc>
          <w:tcPr>
            <w:tcW w:w="1696" w:type="dxa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B786771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SO</w:t>
            </w:r>
            <w:r>
              <w:rPr>
                <w:rFonts w:hint="default" w:ascii="Times New Roman" w:hAnsi="Times New Roman" w:eastAsia="宋体" w:cs="Times New Roman"/>
                <w:vertAlign w:val="subscript"/>
              </w:rPr>
              <w:t>2</w:t>
            </w:r>
            <w:r>
              <w:rPr>
                <w:rFonts w:hint="default" w:ascii="Times New Roman" w:hAnsi="Times New Roman" w:eastAsia="宋体" w:cs="Times New Roman"/>
              </w:rPr>
              <w:t>：（0）t/a</w:t>
            </w:r>
          </w:p>
        </w:tc>
        <w:tc>
          <w:tcPr>
            <w:tcW w:w="1314" w:type="dxa"/>
            <w:gridSpan w:val="8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AB8344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NO</w:t>
            </w:r>
            <w:r>
              <w:rPr>
                <w:rFonts w:hint="default" w:ascii="Times New Roman" w:hAnsi="Times New Roman" w:eastAsia="宋体" w:cs="Times New Roman"/>
                <w:vertAlign w:val="subscript"/>
              </w:rPr>
              <w:t>X</w:t>
            </w:r>
            <w:r>
              <w:rPr>
                <w:rFonts w:hint="default" w:ascii="Times New Roman" w:hAnsi="Times New Roman" w:eastAsia="宋体" w:cs="Times New Roman"/>
              </w:rPr>
              <w:t>：</w:t>
            </w:r>
          </w:p>
          <w:p w14:paraId="58E2570F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（0）t/a</w:t>
            </w:r>
          </w:p>
        </w:tc>
        <w:tc>
          <w:tcPr>
            <w:tcW w:w="1514" w:type="dxa"/>
            <w:gridSpan w:val="7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433C19E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颗粒物：（</w:t>
            </w: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0.84</w:t>
            </w:r>
            <w:r>
              <w:rPr>
                <w:rFonts w:hint="default" w:ascii="Times New Roman" w:hAnsi="Times New Roman" w:eastAsia="宋体" w:cs="Times New Roman"/>
              </w:rPr>
              <w:t>）t/a</w:t>
            </w:r>
          </w:p>
        </w:tc>
        <w:tc>
          <w:tcPr>
            <w:tcW w:w="1515" w:type="dxa"/>
            <w:gridSpan w:val="4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C48E62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VOC</w:t>
            </w:r>
            <w:r>
              <w:rPr>
                <w:rFonts w:hint="default" w:ascii="Times New Roman" w:hAnsi="Times New Roman" w:eastAsia="宋体" w:cs="Times New Roman"/>
                <w:vertAlign w:val="subscript"/>
              </w:rPr>
              <w:t>S</w:t>
            </w:r>
            <w:r>
              <w:rPr>
                <w:rFonts w:hint="default" w:ascii="Times New Roman" w:hAnsi="Times New Roman" w:eastAsia="宋体" w:cs="Times New Roman"/>
              </w:rPr>
              <w:t>：</w:t>
            </w:r>
          </w:p>
          <w:p w14:paraId="2E21F481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（0）t/a</w:t>
            </w:r>
          </w:p>
        </w:tc>
      </w:tr>
      <w:tr w14:paraId="72F3C8A2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  <w:jc w:val="center"/>
        </w:trPr>
        <w:tc>
          <w:tcPr>
            <w:tcW w:w="8906" w:type="dxa"/>
            <w:gridSpan w:val="24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507B9D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注：“□”为勾选项，填“√”；“（ ）”为内容填写项</w:t>
            </w:r>
          </w:p>
        </w:tc>
      </w:tr>
    </w:tbl>
    <w:p w14:paraId="5D4EB0A9">
      <w:pPr>
        <w:pStyle w:val="98"/>
      </w:pPr>
      <w:bookmarkStart w:id="20" w:name="_Toc95560022"/>
      <w:bookmarkStart w:id="21" w:name="_Toc21433"/>
      <w:bookmarkStart w:id="22" w:name="_Toc95559743"/>
      <w:r>
        <w:rPr>
          <w:rFonts w:hint="eastAsia"/>
          <w:lang w:val="en-US" w:eastAsia="zh-CN"/>
        </w:rPr>
        <w:t>附表2</w:t>
      </w:r>
      <w:r>
        <w:t>地表水环境影响评价自查表</w:t>
      </w:r>
      <w:bookmarkEnd w:id="20"/>
      <w:bookmarkEnd w:id="21"/>
      <w:bookmarkEnd w:id="22"/>
    </w:p>
    <w:p w14:paraId="6CDD53B1">
      <w:pPr>
        <w:pStyle w:val="62"/>
      </w:pPr>
      <w:r>
        <w:t>地表水环境影响评价自查表</w:t>
      </w:r>
    </w:p>
    <w:tbl>
      <w:tblPr>
        <w:tblStyle w:val="37"/>
        <w:tblW w:w="4999" w:type="pct"/>
        <w:jc w:val="center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341"/>
        <w:gridCol w:w="1382"/>
        <w:gridCol w:w="1760"/>
        <w:gridCol w:w="331"/>
        <w:gridCol w:w="546"/>
        <w:gridCol w:w="440"/>
        <w:gridCol w:w="589"/>
        <w:gridCol w:w="729"/>
        <w:gridCol w:w="165"/>
        <w:gridCol w:w="275"/>
        <w:gridCol w:w="878"/>
        <w:gridCol w:w="35"/>
        <w:gridCol w:w="364"/>
        <w:gridCol w:w="923"/>
      </w:tblGrid>
      <w:tr w14:paraId="45A4505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984" w:type="pct"/>
            <w:gridSpan w:val="2"/>
            <w:vAlign w:val="center"/>
          </w:tcPr>
          <w:p w14:paraId="79318B46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工作内容</w:t>
            </w:r>
          </w:p>
        </w:tc>
        <w:tc>
          <w:tcPr>
            <w:tcW w:w="4015" w:type="pct"/>
            <w:gridSpan w:val="12"/>
            <w:vAlign w:val="center"/>
          </w:tcPr>
          <w:p w14:paraId="7DABC5A2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自查项目</w:t>
            </w:r>
          </w:p>
        </w:tc>
      </w:tr>
      <w:tr w14:paraId="653CCE7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195" w:type="pct"/>
            <w:vMerge w:val="restart"/>
            <w:vAlign w:val="center"/>
          </w:tcPr>
          <w:p w14:paraId="6D1F81A7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影响识别</w:t>
            </w:r>
          </w:p>
        </w:tc>
        <w:tc>
          <w:tcPr>
            <w:tcW w:w="789" w:type="pct"/>
            <w:vAlign w:val="center"/>
          </w:tcPr>
          <w:p w14:paraId="0A96D853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影响类型</w:t>
            </w:r>
          </w:p>
        </w:tc>
        <w:tc>
          <w:tcPr>
            <w:tcW w:w="4015" w:type="pct"/>
            <w:gridSpan w:val="12"/>
            <w:vAlign w:val="center"/>
          </w:tcPr>
          <w:p w14:paraId="59E54A61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水污染影响型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52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；水文要素影响型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</w:p>
        </w:tc>
      </w:tr>
      <w:tr w14:paraId="135B1C7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195" w:type="pct"/>
            <w:vMerge w:val="continue"/>
            <w:vAlign w:val="center"/>
          </w:tcPr>
          <w:p w14:paraId="6C99A982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</w:tc>
        <w:tc>
          <w:tcPr>
            <w:tcW w:w="789" w:type="pct"/>
            <w:vAlign w:val="center"/>
          </w:tcPr>
          <w:p w14:paraId="59782179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水环境保护目标</w:t>
            </w:r>
          </w:p>
        </w:tc>
        <w:tc>
          <w:tcPr>
            <w:tcW w:w="4015" w:type="pct"/>
            <w:gridSpan w:val="12"/>
            <w:vAlign w:val="center"/>
          </w:tcPr>
          <w:p w14:paraId="4768ED89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饮用水水源保护区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；饮用水取水口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；涉水的自然保护区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52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；涉水的风景名胜区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；重要湿地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；</w:t>
            </w:r>
          </w:p>
          <w:p w14:paraId="58FF55E8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重点保护与珍稀水生生物的栖息地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；重要水生生物的自然产卵场及索饵场、越冬场和洄游通道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；天然渔场等渔业水体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； 水产种质资源保护区□；其他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</w:p>
        </w:tc>
      </w:tr>
      <w:tr w14:paraId="73B3216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195" w:type="pct"/>
            <w:vMerge w:val="continue"/>
            <w:vAlign w:val="center"/>
          </w:tcPr>
          <w:p w14:paraId="0425B208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</w:tc>
        <w:tc>
          <w:tcPr>
            <w:tcW w:w="789" w:type="pct"/>
            <w:vMerge w:val="restart"/>
            <w:vAlign w:val="center"/>
          </w:tcPr>
          <w:p w14:paraId="4CD80438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影响途径</w:t>
            </w:r>
          </w:p>
        </w:tc>
        <w:tc>
          <w:tcPr>
            <w:tcW w:w="2093" w:type="pct"/>
            <w:gridSpan w:val="5"/>
            <w:vAlign w:val="center"/>
          </w:tcPr>
          <w:p w14:paraId="5A12E746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水污染影响型</w:t>
            </w:r>
          </w:p>
        </w:tc>
        <w:tc>
          <w:tcPr>
            <w:tcW w:w="1921" w:type="pct"/>
            <w:gridSpan w:val="7"/>
            <w:vAlign w:val="center"/>
          </w:tcPr>
          <w:p w14:paraId="78AAB23A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水文要素影响型</w:t>
            </w:r>
          </w:p>
        </w:tc>
      </w:tr>
      <w:tr w14:paraId="37C25A9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195" w:type="pct"/>
            <w:vMerge w:val="continue"/>
            <w:vAlign w:val="center"/>
          </w:tcPr>
          <w:p w14:paraId="4B97B740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</w:tc>
        <w:tc>
          <w:tcPr>
            <w:tcW w:w="789" w:type="pct"/>
            <w:vMerge w:val="continue"/>
            <w:vAlign w:val="center"/>
          </w:tcPr>
          <w:p w14:paraId="5EEC285F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</w:tc>
        <w:tc>
          <w:tcPr>
            <w:tcW w:w="2093" w:type="pct"/>
            <w:gridSpan w:val="5"/>
            <w:vAlign w:val="center"/>
          </w:tcPr>
          <w:p w14:paraId="3FD22027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直接排放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52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；间接排放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；其他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</w:p>
        </w:tc>
        <w:tc>
          <w:tcPr>
            <w:tcW w:w="1921" w:type="pct"/>
            <w:gridSpan w:val="7"/>
            <w:vAlign w:val="center"/>
          </w:tcPr>
          <w:p w14:paraId="7EB7067E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水温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；径流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；水域面积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</w:p>
        </w:tc>
      </w:tr>
      <w:tr w14:paraId="7055443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195" w:type="pct"/>
            <w:vMerge w:val="continue"/>
            <w:vAlign w:val="center"/>
          </w:tcPr>
          <w:p w14:paraId="509AADB5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</w:tc>
        <w:tc>
          <w:tcPr>
            <w:tcW w:w="789" w:type="pct"/>
            <w:vAlign w:val="center"/>
          </w:tcPr>
          <w:p w14:paraId="30A0E231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影响因子</w:t>
            </w:r>
          </w:p>
        </w:tc>
        <w:tc>
          <w:tcPr>
            <w:tcW w:w="2093" w:type="pct"/>
            <w:gridSpan w:val="5"/>
            <w:vAlign w:val="center"/>
          </w:tcPr>
          <w:p w14:paraId="750E8996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持久性污染物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；有毒有害污染物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；非持久性污染物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52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；</w:t>
            </w:r>
          </w:p>
          <w:p w14:paraId="31F9AC10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pH 值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52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；热污染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；富营养化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；其他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</w:p>
        </w:tc>
        <w:tc>
          <w:tcPr>
            <w:tcW w:w="1921" w:type="pct"/>
            <w:gridSpan w:val="7"/>
            <w:vAlign w:val="center"/>
          </w:tcPr>
          <w:p w14:paraId="756A3047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  <w:p w14:paraId="67F33D19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水温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；水位（水深）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；流速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；流量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；其他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</w:p>
        </w:tc>
      </w:tr>
      <w:tr w14:paraId="01304C4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984" w:type="pct"/>
            <w:gridSpan w:val="2"/>
            <w:vMerge w:val="restart"/>
            <w:vAlign w:val="center"/>
          </w:tcPr>
          <w:p w14:paraId="2D5DA2AC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评价等级</w:t>
            </w:r>
          </w:p>
        </w:tc>
        <w:tc>
          <w:tcPr>
            <w:tcW w:w="2093" w:type="pct"/>
            <w:gridSpan w:val="5"/>
            <w:vAlign w:val="center"/>
          </w:tcPr>
          <w:p w14:paraId="7E823FFD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水污染影响型</w:t>
            </w:r>
          </w:p>
        </w:tc>
        <w:tc>
          <w:tcPr>
            <w:tcW w:w="1921" w:type="pct"/>
            <w:gridSpan w:val="7"/>
            <w:vAlign w:val="center"/>
          </w:tcPr>
          <w:p w14:paraId="17537691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水文要素影响型</w:t>
            </w:r>
          </w:p>
        </w:tc>
      </w:tr>
      <w:tr w14:paraId="414818F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984" w:type="pct"/>
            <w:gridSpan w:val="2"/>
            <w:vMerge w:val="continue"/>
            <w:vAlign w:val="center"/>
          </w:tcPr>
          <w:p w14:paraId="654FF17A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</w:tc>
        <w:tc>
          <w:tcPr>
            <w:tcW w:w="2093" w:type="pct"/>
            <w:gridSpan w:val="5"/>
            <w:vAlign w:val="center"/>
          </w:tcPr>
          <w:p w14:paraId="769D2476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一级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；二级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52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；三级 A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；三级 B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</w:p>
        </w:tc>
        <w:tc>
          <w:tcPr>
            <w:tcW w:w="1921" w:type="pct"/>
            <w:gridSpan w:val="7"/>
            <w:vAlign w:val="center"/>
          </w:tcPr>
          <w:p w14:paraId="670F068A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一级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；二级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；三级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</w:p>
        </w:tc>
      </w:tr>
      <w:tr w14:paraId="3AA131F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195" w:type="pct"/>
            <w:vMerge w:val="restart"/>
            <w:vAlign w:val="center"/>
          </w:tcPr>
          <w:p w14:paraId="5C8D732A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现状调查</w:t>
            </w:r>
          </w:p>
        </w:tc>
        <w:tc>
          <w:tcPr>
            <w:tcW w:w="789" w:type="pct"/>
            <w:vMerge w:val="restart"/>
            <w:vAlign w:val="center"/>
          </w:tcPr>
          <w:p w14:paraId="499B6A9A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区域污染源</w:t>
            </w:r>
          </w:p>
        </w:tc>
        <w:tc>
          <w:tcPr>
            <w:tcW w:w="2093" w:type="pct"/>
            <w:gridSpan w:val="5"/>
            <w:vAlign w:val="center"/>
          </w:tcPr>
          <w:p w14:paraId="734041B9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调查项目</w:t>
            </w:r>
          </w:p>
        </w:tc>
        <w:tc>
          <w:tcPr>
            <w:tcW w:w="1921" w:type="pct"/>
            <w:gridSpan w:val="7"/>
            <w:vAlign w:val="center"/>
          </w:tcPr>
          <w:p w14:paraId="0CF437ED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数据来源</w:t>
            </w:r>
          </w:p>
        </w:tc>
      </w:tr>
      <w:tr w14:paraId="1C0F198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195" w:type="pct"/>
            <w:vMerge w:val="continue"/>
            <w:vAlign w:val="center"/>
          </w:tcPr>
          <w:p w14:paraId="12B0A855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</w:tc>
        <w:tc>
          <w:tcPr>
            <w:tcW w:w="789" w:type="pct"/>
            <w:vMerge w:val="continue"/>
            <w:vAlign w:val="center"/>
          </w:tcPr>
          <w:p w14:paraId="3C9B2D3C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</w:tc>
        <w:tc>
          <w:tcPr>
            <w:tcW w:w="1194" w:type="pct"/>
            <w:gridSpan w:val="2"/>
            <w:vAlign w:val="center"/>
          </w:tcPr>
          <w:p w14:paraId="7D942DB3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已建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52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；在建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52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；拟建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52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；其他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52"/>
            </w:r>
          </w:p>
        </w:tc>
        <w:tc>
          <w:tcPr>
            <w:tcW w:w="898" w:type="pct"/>
            <w:gridSpan w:val="3"/>
            <w:vAlign w:val="center"/>
          </w:tcPr>
          <w:p w14:paraId="64F726DC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拟替代的污染源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</w:p>
        </w:tc>
        <w:tc>
          <w:tcPr>
            <w:tcW w:w="1921" w:type="pct"/>
            <w:gridSpan w:val="7"/>
            <w:vAlign w:val="center"/>
          </w:tcPr>
          <w:p w14:paraId="746F095B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排污许可证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；环评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；环保验收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；既有实测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；现场监测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52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；入河排放口数据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；其他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52"/>
            </w:r>
          </w:p>
        </w:tc>
      </w:tr>
      <w:tr w14:paraId="637A7EE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195" w:type="pct"/>
            <w:vMerge w:val="continue"/>
            <w:vAlign w:val="center"/>
          </w:tcPr>
          <w:p w14:paraId="313B908B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</w:tc>
        <w:tc>
          <w:tcPr>
            <w:tcW w:w="789" w:type="pct"/>
            <w:vMerge w:val="restart"/>
            <w:vAlign w:val="center"/>
          </w:tcPr>
          <w:p w14:paraId="2D709FEC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受影响水体水环境质量</w:t>
            </w:r>
          </w:p>
        </w:tc>
        <w:tc>
          <w:tcPr>
            <w:tcW w:w="2093" w:type="pct"/>
            <w:gridSpan w:val="5"/>
            <w:vAlign w:val="center"/>
          </w:tcPr>
          <w:p w14:paraId="09C19F26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调查时期</w:t>
            </w:r>
          </w:p>
        </w:tc>
        <w:tc>
          <w:tcPr>
            <w:tcW w:w="1921" w:type="pct"/>
            <w:gridSpan w:val="7"/>
            <w:vAlign w:val="center"/>
          </w:tcPr>
          <w:p w14:paraId="6C2C0741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数据来源</w:t>
            </w:r>
          </w:p>
        </w:tc>
      </w:tr>
      <w:tr w14:paraId="0ABF114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195" w:type="pct"/>
            <w:vMerge w:val="continue"/>
            <w:vAlign w:val="center"/>
          </w:tcPr>
          <w:p w14:paraId="7827B875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</w:tc>
        <w:tc>
          <w:tcPr>
            <w:tcW w:w="789" w:type="pct"/>
            <w:vMerge w:val="continue"/>
            <w:vAlign w:val="center"/>
          </w:tcPr>
          <w:p w14:paraId="2649889C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</w:tc>
        <w:tc>
          <w:tcPr>
            <w:tcW w:w="2093" w:type="pct"/>
            <w:gridSpan w:val="5"/>
            <w:vAlign w:val="center"/>
          </w:tcPr>
          <w:p w14:paraId="36928981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丰水期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52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；平水期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52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；枯水期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52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；冰封期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52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 春季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52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；夏季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52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；秋季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52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；冬季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52"/>
            </w:r>
          </w:p>
        </w:tc>
        <w:tc>
          <w:tcPr>
            <w:tcW w:w="1921" w:type="pct"/>
            <w:gridSpan w:val="7"/>
            <w:vAlign w:val="center"/>
          </w:tcPr>
          <w:p w14:paraId="5C8C5DE8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生态环境保护主管部门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52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；补充监测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；其他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</w:p>
        </w:tc>
      </w:tr>
      <w:tr w14:paraId="65E726D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195" w:type="pct"/>
            <w:vMerge w:val="continue"/>
            <w:vAlign w:val="center"/>
          </w:tcPr>
          <w:p w14:paraId="36F5C2F6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</w:tc>
        <w:tc>
          <w:tcPr>
            <w:tcW w:w="789" w:type="pct"/>
            <w:vAlign w:val="center"/>
          </w:tcPr>
          <w:p w14:paraId="24328F8D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区域水资源开发利用状况</w:t>
            </w:r>
          </w:p>
        </w:tc>
        <w:tc>
          <w:tcPr>
            <w:tcW w:w="4015" w:type="pct"/>
            <w:gridSpan w:val="12"/>
            <w:vAlign w:val="center"/>
          </w:tcPr>
          <w:p w14:paraId="455B52EA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未开发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；开发量 40%以下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；开发量 40%以上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</w:p>
        </w:tc>
      </w:tr>
      <w:tr w14:paraId="616EC9C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195" w:type="pct"/>
            <w:vMerge w:val="continue"/>
            <w:vAlign w:val="center"/>
          </w:tcPr>
          <w:p w14:paraId="40894E90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</w:tc>
        <w:tc>
          <w:tcPr>
            <w:tcW w:w="789" w:type="pct"/>
            <w:vMerge w:val="restart"/>
            <w:vAlign w:val="center"/>
          </w:tcPr>
          <w:p w14:paraId="35410776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水文情势调查</w:t>
            </w:r>
          </w:p>
        </w:tc>
        <w:tc>
          <w:tcPr>
            <w:tcW w:w="2093" w:type="pct"/>
            <w:gridSpan w:val="5"/>
            <w:vAlign w:val="center"/>
          </w:tcPr>
          <w:p w14:paraId="3A5D0C34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调查时期</w:t>
            </w:r>
          </w:p>
        </w:tc>
        <w:tc>
          <w:tcPr>
            <w:tcW w:w="1921" w:type="pct"/>
            <w:gridSpan w:val="7"/>
            <w:vAlign w:val="center"/>
          </w:tcPr>
          <w:p w14:paraId="0F7445DE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数据来源</w:t>
            </w:r>
          </w:p>
        </w:tc>
      </w:tr>
      <w:tr w14:paraId="4379429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195" w:type="pct"/>
            <w:vMerge w:val="continue"/>
            <w:vAlign w:val="center"/>
          </w:tcPr>
          <w:p w14:paraId="3CCD20F1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</w:tc>
        <w:tc>
          <w:tcPr>
            <w:tcW w:w="789" w:type="pct"/>
            <w:vMerge w:val="continue"/>
            <w:vAlign w:val="center"/>
          </w:tcPr>
          <w:p w14:paraId="07058363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</w:tc>
        <w:tc>
          <w:tcPr>
            <w:tcW w:w="2093" w:type="pct"/>
            <w:gridSpan w:val="5"/>
            <w:vAlign w:val="center"/>
          </w:tcPr>
          <w:p w14:paraId="57FCA552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丰水期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；平水期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；枯水期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；冰封期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 春季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；夏季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；秋季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；冬季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</w:p>
        </w:tc>
        <w:tc>
          <w:tcPr>
            <w:tcW w:w="1921" w:type="pct"/>
            <w:gridSpan w:val="7"/>
            <w:vAlign w:val="center"/>
          </w:tcPr>
          <w:p w14:paraId="46BEA75A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水行政主管部门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；补充监测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；其他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</w:p>
        </w:tc>
      </w:tr>
      <w:tr w14:paraId="0462B62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195" w:type="pct"/>
            <w:vMerge w:val="continue"/>
            <w:vAlign w:val="center"/>
          </w:tcPr>
          <w:p w14:paraId="3094862F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</w:tc>
        <w:tc>
          <w:tcPr>
            <w:tcW w:w="789" w:type="pct"/>
            <w:vMerge w:val="restart"/>
            <w:vAlign w:val="center"/>
          </w:tcPr>
          <w:p w14:paraId="75038D9F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补充监测</w:t>
            </w:r>
          </w:p>
        </w:tc>
        <w:tc>
          <w:tcPr>
            <w:tcW w:w="2093" w:type="pct"/>
            <w:gridSpan w:val="5"/>
            <w:vAlign w:val="center"/>
          </w:tcPr>
          <w:p w14:paraId="25300B4B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监测时期</w:t>
            </w:r>
          </w:p>
        </w:tc>
        <w:tc>
          <w:tcPr>
            <w:tcW w:w="1188" w:type="pct"/>
            <w:gridSpan w:val="5"/>
            <w:vAlign w:val="center"/>
          </w:tcPr>
          <w:p w14:paraId="5BC05B6D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监测因子</w:t>
            </w:r>
          </w:p>
        </w:tc>
        <w:tc>
          <w:tcPr>
            <w:tcW w:w="733" w:type="pct"/>
            <w:gridSpan w:val="2"/>
            <w:vAlign w:val="center"/>
          </w:tcPr>
          <w:p w14:paraId="2F4CA08A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监测断面或点位</w:t>
            </w:r>
          </w:p>
        </w:tc>
      </w:tr>
      <w:tr w14:paraId="3A5902F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195" w:type="pct"/>
            <w:vMerge w:val="continue"/>
            <w:vAlign w:val="center"/>
          </w:tcPr>
          <w:p w14:paraId="67D8EF5B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</w:tc>
        <w:tc>
          <w:tcPr>
            <w:tcW w:w="789" w:type="pct"/>
            <w:vMerge w:val="continue"/>
            <w:vAlign w:val="center"/>
          </w:tcPr>
          <w:p w14:paraId="67128A48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</w:tc>
        <w:tc>
          <w:tcPr>
            <w:tcW w:w="2093" w:type="pct"/>
            <w:gridSpan w:val="5"/>
            <w:vAlign w:val="center"/>
          </w:tcPr>
          <w:p w14:paraId="0D664F97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丰水期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；平水期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；枯水期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；冰封期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 春季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52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；夏季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52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；秋季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；冬季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52"/>
            </w:r>
          </w:p>
        </w:tc>
        <w:tc>
          <w:tcPr>
            <w:tcW w:w="1188" w:type="pct"/>
            <w:gridSpan w:val="5"/>
            <w:vAlign w:val="center"/>
          </w:tcPr>
          <w:p w14:paraId="74696A8A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（   ）</w:t>
            </w:r>
          </w:p>
        </w:tc>
        <w:tc>
          <w:tcPr>
            <w:tcW w:w="733" w:type="pct"/>
            <w:gridSpan w:val="2"/>
            <w:vAlign w:val="center"/>
          </w:tcPr>
          <w:p w14:paraId="11AAFF44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监测断面或点位个数</w:t>
            </w:r>
          </w:p>
          <w:p w14:paraId="19AC47BC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（  ）个</w:t>
            </w:r>
          </w:p>
        </w:tc>
      </w:tr>
      <w:tr w14:paraId="012911E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195" w:type="pct"/>
            <w:vMerge w:val="restart"/>
            <w:vAlign w:val="center"/>
          </w:tcPr>
          <w:p w14:paraId="6936ABF9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现状评价</w:t>
            </w:r>
          </w:p>
        </w:tc>
        <w:tc>
          <w:tcPr>
            <w:tcW w:w="789" w:type="pct"/>
            <w:vAlign w:val="center"/>
          </w:tcPr>
          <w:p w14:paraId="4433E4EC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评价范围</w:t>
            </w:r>
          </w:p>
        </w:tc>
        <w:tc>
          <w:tcPr>
            <w:tcW w:w="4015" w:type="pct"/>
            <w:gridSpan w:val="12"/>
            <w:vAlign w:val="center"/>
          </w:tcPr>
          <w:p w14:paraId="76A0F5E9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河流：长度（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  <w:lang w:val="en-US" w:eastAsia="zh-CN"/>
              </w:rPr>
              <w:t>156.3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 ）km；湖库、河口及近岸海域：面积（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ab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）km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  <w:vertAlign w:val="superscript"/>
              </w:rPr>
              <w:t>2</w:t>
            </w:r>
          </w:p>
        </w:tc>
      </w:tr>
      <w:tr w14:paraId="1A5F4CD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195" w:type="pct"/>
            <w:vMerge w:val="continue"/>
            <w:vAlign w:val="center"/>
          </w:tcPr>
          <w:p w14:paraId="25DCA0C3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</w:tc>
        <w:tc>
          <w:tcPr>
            <w:tcW w:w="789" w:type="pct"/>
            <w:vAlign w:val="center"/>
          </w:tcPr>
          <w:p w14:paraId="0E6F4978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评价因子</w:t>
            </w:r>
          </w:p>
        </w:tc>
        <w:tc>
          <w:tcPr>
            <w:tcW w:w="4015" w:type="pct"/>
            <w:gridSpan w:val="12"/>
            <w:vAlign w:val="center"/>
          </w:tcPr>
          <w:p w14:paraId="34A3448E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（pH值、悬浮物、COD、BOD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  <w:vertAlign w:val="subscript"/>
              </w:rPr>
              <w:t>5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、氨氮、氟化物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  <w:lang w:val="en-US" w:eastAsia="zh-CN"/>
              </w:rPr>
              <w:t>等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）</w:t>
            </w:r>
          </w:p>
        </w:tc>
      </w:tr>
      <w:tr w14:paraId="40DBB5E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195" w:type="pct"/>
            <w:vMerge w:val="continue"/>
            <w:vAlign w:val="center"/>
          </w:tcPr>
          <w:p w14:paraId="752B8D56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</w:tc>
        <w:tc>
          <w:tcPr>
            <w:tcW w:w="789" w:type="pct"/>
            <w:vAlign w:val="center"/>
          </w:tcPr>
          <w:p w14:paraId="3FC445F3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评价标准</w:t>
            </w:r>
          </w:p>
        </w:tc>
        <w:tc>
          <w:tcPr>
            <w:tcW w:w="4015" w:type="pct"/>
            <w:gridSpan w:val="12"/>
            <w:vAlign w:val="center"/>
          </w:tcPr>
          <w:p w14:paraId="646433F5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河流、湖库、河口：Ⅰ类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；Ⅱ类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；Ⅲ类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52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；Ⅳ类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；Ⅴ类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近岸海域：第一类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；第二类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；第三类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；第四类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</w:p>
          <w:p w14:paraId="5724110F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规划年评价标准（Ⅲ类）</w:t>
            </w:r>
          </w:p>
        </w:tc>
      </w:tr>
      <w:tr w14:paraId="4CB22AA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195" w:type="pct"/>
            <w:vMerge w:val="continue"/>
            <w:vAlign w:val="center"/>
          </w:tcPr>
          <w:p w14:paraId="288B529F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</w:tc>
        <w:tc>
          <w:tcPr>
            <w:tcW w:w="789" w:type="pct"/>
            <w:vAlign w:val="center"/>
          </w:tcPr>
          <w:p w14:paraId="739A744C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评价时期</w:t>
            </w:r>
          </w:p>
        </w:tc>
        <w:tc>
          <w:tcPr>
            <w:tcW w:w="4015" w:type="pct"/>
            <w:gridSpan w:val="12"/>
            <w:vAlign w:val="center"/>
          </w:tcPr>
          <w:p w14:paraId="0618156F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丰水期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52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；平水期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52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；枯水期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52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；冰封期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52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 春季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52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；夏季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52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；秋季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52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；冬季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52"/>
            </w:r>
          </w:p>
        </w:tc>
      </w:tr>
      <w:tr w14:paraId="072A9D9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195" w:type="pct"/>
            <w:vMerge w:val="continue"/>
            <w:vAlign w:val="center"/>
          </w:tcPr>
          <w:p w14:paraId="0A8659EB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</w:tc>
        <w:tc>
          <w:tcPr>
            <w:tcW w:w="789" w:type="pct"/>
            <w:vAlign w:val="center"/>
          </w:tcPr>
          <w:p w14:paraId="74548D64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评价结论</w:t>
            </w:r>
          </w:p>
        </w:tc>
        <w:tc>
          <w:tcPr>
            <w:tcW w:w="3489" w:type="pct"/>
            <w:gridSpan w:val="11"/>
            <w:vAlign w:val="center"/>
          </w:tcPr>
          <w:p w14:paraId="39D64B30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水环境功能区或水功能区、近岸海域环境功能区水质达标状况 ：达标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52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 ；不达标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</w:p>
          <w:p w14:paraId="5999255D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水环境控制单元或断面水质达标状况 ：达标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；不达标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</w:p>
          <w:p w14:paraId="4EC1494B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水环境保护目标质量状况 ：达标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；不达标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</w:p>
          <w:p w14:paraId="2B8FE4C7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对照断面、控制断面等代表性断面的水质状况 ：达标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；不达标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</w:p>
          <w:p w14:paraId="6A5CD3A2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底泥污染评价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</w:p>
          <w:p w14:paraId="57ED771B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水资源与开发利用程度及其水文情势评价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</w:p>
          <w:p w14:paraId="48F7B4FD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水环境质量回顾评价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</w:p>
          <w:p w14:paraId="6A76CA2B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流域（区域）水资源（包括水能资源）与开发利用总体状况、生态流量管理要求与现状满足程度、建设项目占用水域空间的水流状况与河湖演变状况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</w:p>
        </w:tc>
        <w:tc>
          <w:tcPr>
            <w:tcW w:w="525" w:type="pct"/>
            <w:vAlign w:val="center"/>
          </w:tcPr>
          <w:p w14:paraId="0C180D64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达 标 区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52"/>
            </w:r>
          </w:p>
          <w:p w14:paraId="75ECB8A4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不达标区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</w:p>
        </w:tc>
      </w:tr>
      <w:tr w14:paraId="2217B3C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195" w:type="pct"/>
            <w:vMerge w:val="restart"/>
            <w:vAlign w:val="center"/>
          </w:tcPr>
          <w:p w14:paraId="1BFF84E0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影测 响预</w:t>
            </w:r>
          </w:p>
        </w:tc>
        <w:tc>
          <w:tcPr>
            <w:tcW w:w="789" w:type="pct"/>
            <w:vAlign w:val="center"/>
          </w:tcPr>
          <w:p w14:paraId="50A8607A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预测范围</w:t>
            </w:r>
          </w:p>
        </w:tc>
        <w:tc>
          <w:tcPr>
            <w:tcW w:w="4015" w:type="pct"/>
            <w:gridSpan w:val="12"/>
            <w:vAlign w:val="center"/>
          </w:tcPr>
          <w:p w14:paraId="232F940D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河流：长度（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  <w:lang w:val="en-US" w:eastAsia="zh-CN"/>
              </w:rPr>
              <w:t>156.3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）km；湖库、河口及近岸海域：面积（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ab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）km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  <w:vertAlign w:val="superscript"/>
              </w:rPr>
              <w:t>2</w:t>
            </w:r>
          </w:p>
        </w:tc>
      </w:tr>
      <w:tr w14:paraId="5F16B09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195" w:type="pct"/>
            <w:vMerge w:val="continue"/>
            <w:vAlign w:val="center"/>
          </w:tcPr>
          <w:p w14:paraId="590863D2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</w:tc>
        <w:tc>
          <w:tcPr>
            <w:tcW w:w="789" w:type="pct"/>
            <w:vAlign w:val="center"/>
          </w:tcPr>
          <w:p w14:paraId="431FA8FC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预测因子</w:t>
            </w:r>
          </w:p>
        </w:tc>
        <w:tc>
          <w:tcPr>
            <w:tcW w:w="4015" w:type="pct"/>
            <w:gridSpan w:val="12"/>
            <w:vAlign w:val="center"/>
          </w:tcPr>
          <w:p w14:paraId="5153BBAB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（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  <w:lang w:val="en-US" w:eastAsia="zh-CN"/>
              </w:rPr>
              <w:t>COD、氨氮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）</w:t>
            </w:r>
          </w:p>
        </w:tc>
      </w:tr>
      <w:tr w14:paraId="0A808C5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195" w:type="pct"/>
            <w:vMerge w:val="continue"/>
            <w:vAlign w:val="center"/>
          </w:tcPr>
          <w:p w14:paraId="645C78CB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</w:tc>
        <w:tc>
          <w:tcPr>
            <w:tcW w:w="789" w:type="pct"/>
            <w:vAlign w:val="center"/>
          </w:tcPr>
          <w:p w14:paraId="49DB8F57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预测时期</w:t>
            </w:r>
          </w:p>
        </w:tc>
        <w:tc>
          <w:tcPr>
            <w:tcW w:w="4015" w:type="pct"/>
            <w:gridSpan w:val="12"/>
            <w:vAlign w:val="center"/>
          </w:tcPr>
          <w:p w14:paraId="0E05F1AD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丰水期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；平水期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；枯水期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52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；冰封期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 春季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；夏季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；秋季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；冬季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</w:p>
          <w:p w14:paraId="467F9421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设计水文条件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</w:p>
        </w:tc>
      </w:tr>
      <w:tr w14:paraId="18395DE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195" w:type="pct"/>
            <w:vMerge w:val="continue"/>
            <w:vAlign w:val="center"/>
          </w:tcPr>
          <w:p w14:paraId="1E3B4E8C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</w:tc>
        <w:tc>
          <w:tcPr>
            <w:tcW w:w="789" w:type="pct"/>
            <w:vAlign w:val="center"/>
          </w:tcPr>
          <w:p w14:paraId="73F8E2C9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预测情景</w:t>
            </w:r>
          </w:p>
        </w:tc>
        <w:tc>
          <w:tcPr>
            <w:tcW w:w="4015" w:type="pct"/>
            <w:gridSpan w:val="12"/>
            <w:vAlign w:val="center"/>
          </w:tcPr>
          <w:p w14:paraId="4773EE19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建设期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；生产运行期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52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；服务期满后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 正常工况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52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；非正常工况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</w:p>
          <w:p w14:paraId="7A99B790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污染控制和减缓措施方案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</w:p>
          <w:p w14:paraId="4662E489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区（流）域环境质量改善目标要求情景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</w:p>
        </w:tc>
      </w:tr>
      <w:tr w14:paraId="0AF2B49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195" w:type="pct"/>
            <w:vMerge w:val="continue"/>
            <w:vAlign w:val="center"/>
          </w:tcPr>
          <w:p w14:paraId="4D8171F5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</w:tc>
        <w:tc>
          <w:tcPr>
            <w:tcW w:w="789" w:type="pct"/>
            <w:vAlign w:val="center"/>
          </w:tcPr>
          <w:p w14:paraId="38A790B1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预测方法</w:t>
            </w:r>
          </w:p>
        </w:tc>
        <w:tc>
          <w:tcPr>
            <w:tcW w:w="4015" w:type="pct"/>
            <w:gridSpan w:val="12"/>
            <w:vAlign w:val="center"/>
          </w:tcPr>
          <w:p w14:paraId="3A31A3F6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数值解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：解析解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；其他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</w:p>
          <w:p w14:paraId="0CEF5D53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导则推荐模式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52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：其他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</w:p>
        </w:tc>
      </w:tr>
      <w:tr w14:paraId="4848EC2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195" w:type="pct"/>
            <w:vMerge w:val="restart"/>
            <w:vAlign w:val="center"/>
          </w:tcPr>
          <w:p w14:paraId="4DDC7AA9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影响评价</w:t>
            </w:r>
          </w:p>
        </w:tc>
        <w:tc>
          <w:tcPr>
            <w:tcW w:w="789" w:type="pct"/>
            <w:vAlign w:val="center"/>
          </w:tcPr>
          <w:p w14:paraId="46DC2A7A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水污染控制和水环境影响减缓措施有效性评价</w:t>
            </w:r>
          </w:p>
        </w:tc>
        <w:tc>
          <w:tcPr>
            <w:tcW w:w="4015" w:type="pct"/>
            <w:gridSpan w:val="12"/>
            <w:vAlign w:val="center"/>
          </w:tcPr>
          <w:p w14:paraId="6C4F28D0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区（流）域水环境质量改善目标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；替代削减源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</w:p>
        </w:tc>
      </w:tr>
      <w:tr w14:paraId="47985F3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195" w:type="pct"/>
            <w:vMerge w:val="continue"/>
            <w:vAlign w:val="center"/>
          </w:tcPr>
          <w:p w14:paraId="56765E62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</w:tc>
        <w:tc>
          <w:tcPr>
            <w:tcW w:w="789" w:type="pct"/>
            <w:vAlign w:val="center"/>
          </w:tcPr>
          <w:p w14:paraId="4D41A3B5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水环境影响评价</w:t>
            </w:r>
          </w:p>
        </w:tc>
        <w:tc>
          <w:tcPr>
            <w:tcW w:w="4015" w:type="pct"/>
            <w:gridSpan w:val="12"/>
            <w:vAlign w:val="center"/>
          </w:tcPr>
          <w:p w14:paraId="062059ED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排放口混合区外满足水环境管理要求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</w:p>
          <w:p w14:paraId="5535F04F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水环境功能区或水功能区、近岸海域环境功能区水质达标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52"/>
            </w:r>
          </w:p>
          <w:p w14:paraId="227A6AC9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满足水环境保护目标水域水环境质量要求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</w:p>
          <w:p w14:paraId="194D2751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水环境控制单元或断面水质达标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52"/>
            </w:r>
          </w:p>
          <w:p w14:paraId="7CCC735F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满足重点水污染物排放总量控制指标要求，重点行业建设项目，主要污染物排放满足等量或减量替代要求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</w:p>
          <w:p w14:paraId="39BE1D97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满足区（流）域水环境质量改善目标要求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</w:p>
          <w:p w14:paraId="257EC718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水文要素影响型建设项目同时应包括水文情势变化评价、主要水文特征值影响评价、生态流量符合性评价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</w:p>
          <w:p w14:paraId="5AEB5960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对于新设或调整入河（湖库、近岸海域）排放口的建设项目，应包括排放口设置的环境合理性评价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</w:p>
          <w:p w14:paraId="3AC0F29A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满足生态保护红线、水环境质量底线、资源利用上线和环境准入清单管理要求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52"/>
            </w:r>
          </w:p>
        </w:tc>
      </w:tr>
      <w:tr w14:paraId="6701341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195" w:type="pct"/>
            <w:vMerge w:val="continue"/>
            <w:vAlign w:val="center"/>
          </w:tcPr>
          <w:p w14:paraId="79114640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</w:tc>
        <w:tc>
          <w:tcPr>
            <w:tcW w:w="789" w:type="pct"/>
            <w:vMerge w:val="restart"/>
            <w:vAlign w:val="center"/>
          </w:tcPr>
          <w:p w14:paraId="6DD6872C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污染源排放量核算</w:t>
            </w:r>
          </w:p>
        </w:tc>
        <w:tc>
          <w:tcPr>
            <w:tcW w:w="1506" w:type="pct"/>
            <w:gridSpan w:val="3"/>
            <w:vAlign w:val="center"/>
          </w:tcPr>
          <w:p w14:paraId="66229286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污染物名称</w:t>
            </w:r>
          </w:p>
        </w:tc>
        <w:tc>
          <w:tcPr>
            <w:tcW w:w="1254" w:type="pct"/>
            <w:gridSpan w:val="5"/>
            <w:vAlign w:val="center"/>
          </w:tcPr>
          <w:p w14:paraId="015F8407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排放量/（t/a）</w:t>
            </w:r>
          </w:p>
        </w:tc>
        <w:tc>
          <w:tcPr>
            <w:tcW w:w="1254" w:type="pct"/>
            <w:gridSpan w:val="4"/>
            <w:vAlign w:val="center"/>
          </w:tcPr>
          <w:p w14:paraId="63145631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排放浓度/（mg/L）</w:t>
            </w:r>
          </w:p>
        </w:tc>
      </w:tr>
      <w:tr w14:paraId="0A78044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195" w:type="pct"/>
            <w:vMerge w:val="continue"/>
            <w:vAlign w:val="center"/>
          </w:tcPr>
          <w:p w14:paraId="73F87699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</w:tc>
        <w:tc>
          <w:tcPr>
            <w:tcW w:w="789" w:type="pct"/>
            <w:vMerge w:val="continue"/>
            <w:vAlign w:val="center"/>
          </w:tcPr>
          <w:p w14:paraId="6389CE23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</w:tc>
        <w:tc>
          <w:tcPr>
            <w:tcW w:w="1506" w:type="pct"/>
            <w:gridSpan w:val="3"/>
            <w:vAlign w:val="center"/>
          </w:tcPr>
          <w:p w14:paraId="626A935C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（COD、氨氮）</w:t>
            </w:r>
          </w:p>
        </w:tc>
        <w:tc>
          <w:tcPr>
            <w:tcW w:w="1254" w:type="pct"/>
            <w:gridSpan w:val="5"/>
            <w:vAlign w:val="center"/>
          </w:tcPr>
          <w:p w14:paraId="208229D5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（</w:t>
            </w:r>
            <w:r>
              <w:rPr>
                <w:rFonts w:hint="eastAsia" w:ascii="Times New Roman" w:hAnsi="Times New Roman" w:eastAsia="宋体" w:cs="Times New Roman"/>
                <w:sz w:val="18"/>
                <w:szCs w:val="18"/>
                <w:lang w:val="en-US" w:eastAsia="zh-CN"/>
              </w:rPr>
              <w:t>21.556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、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  <w:lang w:val="en-US" w:eastAsia="zh-CN"/>
              </w:rPr>
              <w:t>1.</w:t>
            </w:r>
            <w:r>
              <w:rPr>
                <w:rFonts w:hint="eastAsia" w:ascii="Times New Roman" w:hAnsi="Times New Roman" w:eastAsia="宋体" w:cs="Times New Roman"/>
                <w:sz w:val="18"/>
                <w:szCs w:val="18"/>
                <w:lang w:val="en-US" w:eastAsia="zh-CN"/>
              </w:rPr>
              <w:t>078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）</w:t>
            </w:r>
          </w:p>
        </w:tc>
        <w:tc>
          <w:tcPr>
            <w:tcW w:w="1254" w:type="pct"/>
            <w:gridSpan w:val="4"/>
            <w:vAlign w:val="center"/>
          </w:tcPr>
          <w:p w14:paraId="151035D1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（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  <w:lang w:val="en-US" w:eastAsia="zh-CN"/>
              </w:rPr>
              <w:t>20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、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  <w:lang w:val="en-US" w:eastAsia="zh-CN"/>
              </w:rPr>
              <w:t>1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）</w:t>
            </w:r>
          </w:p>
        </w:tc>
      </w:tr>
      <w:tr w14:paraId="5AA1770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195" w:type="pct"/>
            <w:vMerge w:val="continue"/>
            <w:vAlign w:val="center"/>
          </w:tcPr>
          <w:p w14:paraId="3687971F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</w:tc>
        <w:tc>
          <w:tcPr>
            <w:tcW w:w="789" w:type="pct"/>
            <w:vMerge w:val="restart"/>
            <w:vAlign w:val="center"/>
          </w:tcPr>
          <w:p w14:paraId="5D94A12A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替代源排放情况</w:t>
            </w:r>
          </w:p>
        </w:tc>
        <w:tc>
          <w:tcPr>
            <w:tcW w:w="1005" w:type="pct"/>
            <w:vAlign w:val="center"/>
          </w:tcPr>
          <w:p w14:paraId="2D47B716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污染源名称</w:t>
            </w:r>
          </w:p>
        </w:tc>
        <w:tc>
          <w:tcPr>
            <w:tcW w:w="752" w:type="pct"/>
            <w:gridSpan w:val="3"/>
            <w:vAlign w:val="center"/>
          </w:tcPr>
          <w:p w14:paraId="734EE038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排污许可证编号</w:t>
            </w:r>
          </w:p>
        </w:tc>
        <w:tc>
          <w:tcPr>
            <w:tcW w:w="751" w:type="pct"/>
            <w:gridSpan w:val="2"/>
            <w:vAlign w:val="center"/>
          </w:tcPr>
          <w:p w14:paraId="751415EF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污染物名称</w:t>
            </w:r>
          </w:p>
        </w:tc>
        <w:tc>
          <w:tcPr>
            <w:tcW w:w="752" w:type="pct"/>
            <w:gridSpan w:val="3"/>
            <w:vAlign w:val="center"/>
          </w:tcPr>
          <w:p w14:paraId="1674C884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排放量/（t/a）</w:t>
            </w:r>
          </w:p>
        </w:tc>
        <w:tc>
          <w:tcPr>
            <w:tcW w:w="753" w:type="pct"/>
            <w:gridSpan w:val="3"/>
            <w:vAlign w:val="center"/>
          </w:tcPr>
          <w:p w14:paraId="0AF11B75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排放浓度/（mg/L）</w:t>
            </w:r>
          </w:p>
        </w:tc>
      </w:tr>
      <w:tr w14:paraId="7A58968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195" w:type="pct"/>
            <w:vMerge w:val="continue"/>
            <w:vAlign w:val="center"/>
          </w:tcPr>
          <w:p w14:paraId="58625278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</w:tc>
        <w:tc>
          <w:tcPr>
            <w:tcW w:w="789" w:type="pct"/>
            <w:vMerge w:val="continue"/>
            <w:vAlign w:val="center"/>
          </w:tcPr>
          <w:p w14:paraId="65DAB685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</w:tc>
        <w:tc>
          <w:tcPr>
            <w:tcW w:w="1005" w:type="pct"/>
            <w:vAlign w:val="center"/>
          </w:tcPr>
          <w:p w14:paraId="506C206A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（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ab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）</w:t>
            </w:r>
          </w:p>
        </w:tc>
        <w:tc>
          <w:tcPr>
            <w:tcW w:w="752" w:type="pct"/>
            <w:gridSpan w:val="3"/>
            <w:vAlign w:val="center"/>
          </w:tcPr>
          <w:p w14:paraId="5B741231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（）</w:t>
            </w:r>
          </w:p>
        </w:tc>
        <w:tc>
          <w:tcPr>
            <w:tcW w:w="751" w:type="pct"/>
            <w:gridSpan w:val="2"/>
            <w:vAlign w:val="center"/>
          </w:tcPr>
          <w:p w14:paraId="39667BB7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（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ab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）</w:t>
            </w:r>
          </w:p>
        </w:tc>
        <w:tc>
          <w:tcPr>
            <w:tcW w:w="752" w:type="pct"/>
            <w:gridSpan w:val="3"/>
            <w:vAlign w:val="center"/>
          </w:tcPr>
          <w:p w14:paraId="54B6D0B9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（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ab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）</w:t>
            </w:r>
          </w:p>
        </w:tc>
        <w:tc>
          <w:tcPr>
            <w:tcW w:w="753" w:type="pct"/>
            <w:gridSpan w:val="3"/>
            <w:vAlign w:val="center"/>
          </w:tcPr>
          <w:p w14:paraId="191D8CB8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（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ab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）</w:t>
            </w:r>
          </w:p>
        </w:tc>
      </w:tr>
      <w:tr w14:paraId="4B59894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195" w:type="pct"/>
            <w:vMerge w:val="continue"/>
            <w:vAlign w:val="center"/>
          </w:tcPr>
          <w:p w14:paraId="196D55A1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</w:tc>
        <w:tc>
          <w:tcPr>
            <w:tcW w:w="789" w:type="pct"/>
            <w:vMerge w:val="restart"/>
            <w:vAlign w:val="center"/>
          </w:tcPr>
          <w:p w14:paraId="3D0789AC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生态流量确定</w:t>
            </w:r>
          </w:p>
        </w:tc>
        <w:tc>
          <w:tcPr>
            <w:tcW w:w="4015" w:type="pct"/>
            <w:gridSpan w:val="12"/>
            <w:vAlign w:val="center"/>
          </w:tcPr>
          <w:p w14:paraId="3327C456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生态流量：一般水期（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ab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）m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  <w:vertAlign w:val="superscript"/>
              </w:rPr>
              <w:t>3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/s；鱼类繁殖期（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ab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）m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  <w:vertAlign w:val="superscript"/>
              </w:rPr>
              <w:t>3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/s；其他（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ab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）m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  <w:vertAlign w:val="superscript"/>
              </w:rPr>
              <w:t>3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/s</w:t>
            </w:r>
          </w:p>
        </w:tc>
      </w:tr>
      <w:tr w14:paraId="7450395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195" w:type="pct"/>
            <w:vMerge w:val="continue"/>
            <w:vAlign w:val="center"/>
          </w:tcPr>
          <w:p w14:paraId="5FE4570C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</w:tc>
        <w:tc>
          <w:tcPr>
            <w:tcW w:w="789" w:type="pct"/>
            <w:vMerge w:val="continue"/>
            <w:vAlign w:val="center"/>
          </w:tcPr>
          <w:p w14:paraId="73F0E29B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</w:tc>
        <w:tc>
          <w:tcPr>
            <w:tcW w:w="4015" w:type="pct"/>
            <w:gridSpan w:val="12"/>
            <w:vAlign w:val="center"/>
          </w:tcPr>
          <w:p w14:paraId="47555D89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生态水位：一般水期（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ab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）m；鱼类繁殖期（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ab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）m；其他（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ab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）m</w:t>
            </w:r>
          </w:p>
        </w:tc>
      </w:tr>
      <w:tr w14:paraId="73403F5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195" w:type="pct"/>
            <w:vMerge w:val="restart"/>
            <w:vAlign w:val="center"/>
          </w:tcPr>
          <w:p w14:paraId="1149841F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防治措施</w:t>
            </w:r>
          </w:p>
        </w:tc>
        <w:tc>
          <w:tcPr>
            <w:tcW w:w="789" w:type="pct"/>
            <w:vAlign w:val="center"/>
          </w:tcPr>
          <w:p w14:paraId="62DCD7B3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环保措施</w:t>
            </w:r>
          </w:p>
        </w:tc>
        <w:tc>
          <w:tcPr>
            <w:tcW w:w="4015" w:type="pct"/>
            <w:gridSpan w:val="12"/>
            <w:vAlign w:val="center"/>
          </w:tcPr>
          <w:p w14:paraId="3C61F6C1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污水处理设施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52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；水文减缓设施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；生态流量保障设施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；区域削减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；依托其他工程措施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；其他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</w:p>
        </w:tc>
      </w:tr>
      <w:tr w14:paraId="5D1F276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195" w:type="pct"/>
            <w:vMerge w:val="continue"/>
            <w:vAlign w:val="center"/>
          </w:tcPr>
          <w:p w14:paraId="45CAD975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</w:tc>
        <w:tc>
          <w:tcPr>
            <w:tcW w:w="789" w:type="pct"/>
            <w:vMerge w:val="restart"/>
            <w:vAlign w:val="center"/>
          </w:tcPr>
          <w:p w14:paraId="41393808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监测计划</w:t>
            </w:r>
          </w:p>
        </w:tc>
        <w:tc>
          <w:tcPr>
            <w:tcW w:w="1194" w:type="pct"/>
            <w:gridSpan w:val="2"/>
            <w:vAlign w:val="center"/>
          </w:tcPr>
          <w:p w14:paraId="6E7EB45A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</w:tc>
        <w:tc>
          <w:tcPr>
            <w:tcW w:w="1409" w:type="pct"/>
            <w:gridSpan w:val="5"/>
            <w:vAlign w:val="center"/>
          </w:tcPr>
          <w:p w14:paraId="2F6A8342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环境质量</w:t>
            </w:r>
          </w:p>
        </w:tc>
        <w:tc>
          <w:tcPr>
            <w:tcW w:w="1410" w:type="pct"/>
            <w:gridSpan w:val="5"/>
            <w:vAlign w:val="center"/>
          </w:tcPr>
          <w:p w14:paraId="6EB22CB5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污染源</w:t>
            </w:r>
          </w:p>
        </w:tc>
      </w:tr>
      <w:tr w14:paraId="384289B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195" w:type="pct"/>
            <w:vMerge w:val="continue"/>
            <w:vAlign w:val="center"/>
          </w:tcPr>
          <w:p w14:paraId="284A6B74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</w:tc>
        <w:tc>
          <w:tcPr>
            <w:tcW w:w="789" w:type="pct"/>
            <w:vMerge w:val="continue"/>
            <w:vAlign w:val="center"/>
          </w:tcPr>
          <w:p w14:paraId="5265F4F7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</w:tc>
        <w:tc>
          <w:tcPr>
            <w:tcW w:w="1194" w:type="pct"/>
            <w:gridSpan w:val="2"/>
            <w:vAlign w:val="center"/>
          </w:tcPr>
          <w:p w14:paraId="5DA9B6FC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监测方式</w:t>
            </w:r>
          </w:p>
        </w:tc>
        <w:tc>
          <w:tcPr>
            <w:tcW w:w="1409" w:type="pct"/>
            <w:gridSpan w:val="5"/>
            <w:vAlign w:val="center"/>
          </w:tcPr>
          <w:p w14:paraId="7A45CB73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手动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52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；自动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；无监测 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</w:p>
        </w:tc>
        <w:tc>
          <w:tcPr>
            <w:tcW w:w="1410" w:type="pct"/>
            <w:gridSpan w:val="5"/>
            <w:vAlign w:val="center"/>
          </w:tcPr>
          <w:p w14:paraId="2C1C80CD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手动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52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；自动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52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；无监测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</w:p>
        </w:tc>
      </w:tr>
      <w:tr w14:paraId="61B1891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195" w:type="pct"/>
            <w:vMerge w:val="continue"/>
            <w:vAlign w:val="center"/>
          </w:tcPr>
          <w:p w14:paraId="02BE9662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</w:tc>
        <w:tc>
          <w:tcPr>
            <w:tcW w:w="789" w:type="pct"/>
            <w:vMerge w:val="continue"/>
            <w:vAlign w:val="center"/>
          </w:tcPr>
          <w:p w14:paraId="3AB4F3AC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</w:tc>
        <w:tc>
          <w:tcPr>
            <w:tcW w:w="1194" w:type="pct"/>
            <w:gridSpan w:val="2"/>
            <w:vAlign w:val="center"/>
          </w:tcPr>
          <w:p w14:paraId="6D4C629F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监测点位</w:t>
            </w:r>
          </w:p>
        </w:tc>
        <w:tc>
          <w:tcPr>
            <w:tcW w:w="1409" w:type="pct"/>
            <w:gridSpan w:val="5"/>
            <w:vAlign w:val="center"/>
          </w:tcPr>
          <w:p w14:paraId="6E91DBA6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（）</w:t>
            </w:r>
          </w:p>
        </w:tc>
        <w:tc>
          <w:tcPr>
            <w:tcW w:w="1410" w:type="pct"/>
            <w:gridSpan w:val="5"/>
            <w:vAlign w:val="center"/>
          </w:tcPr>
          <w:p w14:paraId="3974937F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（矿井水排水口）</w:t>
            </w:r>
          </w:p>
        </w:tc>
      </w:tr>
      <w:tr w14:paraId="0087444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195" w:type="pct"/>
            <w:vMerge w:val="continue"/>
            <w:vAlign w:val="center"/>
          </w:tcPr>
          <w:p w14:paraId="033B7A25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</w:tc>
        <w:tc>
          <w:tcPr>
            <w:tcW w:w="789" w:type="pct"/>
            <w:vMerge w:val="continue"/>
            <w:vAlign w:val="center"/>
          </w:tcPr>
          <w:p w14:paraId="5A4E7EA2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</w:tc>
        <w:tc>
          <w:tcPr>
            <w:tcW w:w="1194" w:type="pct"/>
            <w:gridSpan w:val="2"/>
            <w:vAlign w:val="center"/>
          </w:tcPr>
          <w:p w14:paraId="088D2509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监测因子</w:t>
            </w:r>
          </w:p>
        </w:tc>
        <w:tc>
          <w:tcPr>
            <w:tcW w:w="1409" w:type="pct"/>
            <w:gridSpan w:val="5"/>
            <w:vAlign w:val="center"/>
          </w:tcPr>
          <w:p w14:paraId="73561B5F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（）</w:t>
            </w:r>
          </w:p>
        </w:tc>
        <w:tc>
          <w:tcPr>
            <w:tcW w:w="1410" w:type="pct"/>
            <w:gridSpan w:val="5"/>
            <w:vAlign w:val="center"/>
          </w:tcPr>
          <w:p w14:paraId="704CBA56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（pH、SS、BOD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  <w:vertAlign w:val="subscript"/>
              </w:rPr>
              <w:t>5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、COD、石油类、锌、铅、镉、铁、锰、砷、氟化物、总铬、六价铬、含盐量等）</w:t>
            </w:r>
          </w:p>
        </w:tc>
      </w:tr>
      <w:tr w14:paraId="1DB1B8B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195" w:type="pct"/>
            <w:vMerge w:val="continue"/>
            <w:vAlign w:val="center"/>
          </w:tcPr>
          <w:p w14:paraId="3667F66D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</w:tc>
        <w:tc>
          <w:tcPr>
            <w:tcW w:w="789" w:type="pct"/>
            <w:vAlign w:val="center"/>
          </w:tcPr>
          <w:p w14:paraId="06AC008F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污染物排放清单</w:t>
            </w:r>
          </w:p>
        </w:tc>
        <w:tc>
          <w:tcPr>
            <w:tcW w:w="4015" w:type="pct"/>
            <w:gridSpan w:val="12"/>
            <w:vAlign w:val="center"/>
          </w:tcPr>
          <w:p w14:paraId="26DCE022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52"/>
            </w:r>
          </w:p>
        </w:tc>
      </w:tr>
      <w:tr w14:paraId="6499357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984" w:type="pct"/>
            <w:gridSpan w:val="2"/>
            <w:vAlign w:val="center"/>
          </w:tcPr>
          <w:p w14:paraId="5C72E34C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评价结论</w:t>
            </w:r>
          </w:p>
        </w:tc>
        <w:tc>
          <w:tcPr>
            <w:tcW w:w="4015" w:type="pct"/>
            <w:gridSpan w:val="12"/>
            <w:vAlign w:val="center"/>
          </w:tcPr>
          <w:p w14:paraId="58431B87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可以接受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52"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 xml:space="preserve">；不可以接受 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sym w:font="Wingdings 2" w:char="00A3"/>
            </w:r>
          </w:p>
        </w:tc>
      </w:tr>
      <w:tr w14:paraId="506360A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5000" w:type="pct"/>
            <w:gridSpan w:val="14"/>
            <w:vAlign w:val="center"/>
          </w:tcPr>
          <w:p w14:paraId="147C4F77">
            <w:pPr>
              <w:pStyle w:val="66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注：“□”为勾选项，可打√；“（</w:t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ab/>
            </w: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）”为内容填写项；“备注”为其他补充内容。</w:t>
            </w:r>
          </w:p>
        </w:tc>
      </w:tr>
    </w:tbl>
    <w:p w14:paraId="7B1741FF">
      <w:pPr>
        <w:pStyle w:val="68"/>
      </w:pPr>
    </w:p>
    <w:p w14:paraId="182BB234">
      <w:pPr>
        <w:pStyle w:val="68"/>
      </w:pPr>
    </w:p>
    <w:p w14:paraId="24C57C6B">
      <w:pPr>
        <w:pStyle w:val="68"/>
      </w:pPr>
    </w:p>
    <w:p w14:paraId="2703EA71">
      <w:pPr>
        <w:pStyle w:val="68"/>
      </w:pPr>
    </w:p>
    <w:p w14:paraId="1AE03F4D">
      <w:pPr>
        <w:pStyle w:val="68"/>
      </w:pPr>
    </w:p>
    <w:p w14:paraId="322CDBAA">
      <w:pPr>
        <w:pStyle w:val="68"/>
      </w:pPr>
    </w:p>
    <w:p w14:paraId="5367BC05">
      <w:pPr>
        <w:pStyle w:val="98"/>
      </w:pPr>
      <w:bookmarkStart w:id="23" w:name="_Toc11961"/>
      <w:bookmarkStart w:id="24" w:name="_Toc95560023"/>
      <w:bookmarkStart w:id="25" w:name="_Toc95559744"/>
      <w:r>
        <w:rPr>
          <w:rFonts w:hint="eastAsia"/>
          <w:lang w:val="en-US" w:eastAsia="zh-CN"/>
        </w:rPr>
        <w:t>附表3</w:t>
      </w:r>
      <w:r>
        <w:t>土壤环境影响评价自查表</w:t>
      </w:r>
      <w:bookmarkEnd w:id="23"/>
      <w:bookmarkEnd w:id="24"/>
      <w:bookmarkEnd w:id="25"/>
    </w:p>
    <w:p w14:paraId="2DFE62F3">
      <w:pPr>
        <w:pStyle w:val="62"/>
      </w:pPr>
      <w:r>
        <w:t>土壤环境影响评价自查表</w:t>
      </w:r>
    </w:p>
    <w:tbl>
      <w:tblPr>
        <w:tblStyle w:val="37"/>
        <w:tblW w:w="0" w:type="auto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48"/>
        <w:gridCol w:w="1790"/>
        <w:gridCol w:w="1275"/>
        <w:gridCol w:w="398"/>
        <w:gridCol w:w="1215"/>
        <w:gridCol w:w="742"/>
        <w:gridCol w:w="1013"/>
        <w:gridCol w:w="1132"/>
        <w:gridCol w:w="893"/>
      </w:tblGrid>
      <w:tr w14:paraId="7F75C55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</w:tblPrEx>
        <w:trPr>
          <w:trHeight w:val="244" w:hRule="atLeast"/>
          <w:jc w:val="center"/>
        </w:trPr>
        <w:tc>
          <w:tcPr>
            <w:tcW w:w="2238" w:type="dxa"/>
            <w:gridSpan w:val="2"/>
            <w:vAlign w:val="center"/>
          </w:tcPr>
          <w:p w14:paraId="7154AB77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工作内容</w:t>
            </w:r>
          </w:p>
        </w:tc>
        <w:tc>
          <w:tcPr>
            <w:tcW w:w="5775" w:type="dxa"/>
            <w:gridSpan w:val="6"/>
            <w:vAlign w:val="center"/>
          </w:tcPr>
          <w:p w14:paraId="22AAE8C8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完成情况</w:t>
            </w:r>
          </w:p>
        </w:tc>
        <w:tc>
          <w:tcPr>
            <w:tcW w:w="893" w:type="dxa"/>
            <w:vAlign w:val="center"/>
          </w:tcPr>
          <w:p w14:paraId="09BAB759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备注</w:t>
            </w:r>
          </w:p>
        </w:tc>
      </w:tr>
      <w:tr w14:paraId="47E069A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4" w:hRule="atLeast"/>
          <w:jc w:val="center"/>
        </w:trPr>
        <w:tc>
          <w:tcPr>
            <w:tcW w:w="448" w:type="dxa"/>
            <w:vMerge w:val="restart"/>
            <w:vAlign w:val="center"/>
          </w:tcPr>
          <w:p w14:paraId="4C43ECA5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影响识别</w:t>
            </w:r>
          </w:p>
        </w:tc>
        <w:tc>
          <w:tcPr>
            <w:tcW w:w="1790" w:type="dxa"/>
            <w:vAlign w:val="center"/>
          </w:tcPr>
          <w:p w14:paraId="73A60417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影响类型</w:t>
            </w:r>
          </w:p>
        </w:tc>
        <w:tc>
          <w:tcPr>
            <w:tcW w:w="5775" w:type="dxa"/>
            <w:gridSpan w:val="6"/>
            <w:vAlign w:val="center"/>
          </w:tcPr>
          <w:p w14:paraId="4000AB0A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污染影响型</w:t>
            </w:r>
            <w:r>
              <w:rPr>
                <w:rFonts w:hint="default" w:ascii="Times New Roman" w:hAnsi="Times New Roman" w:eastAsia="宋体" w:cs="Times New Roman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</w:rPr>
              <w:t>；生态影响型</w:t>
            </w:r>
            <w:r>
              <w:rPr>
                <w:rFonts w:hint="default" w:ascii="Times New Roman" w:hAnsi="Times New Roman" w:eastAsia="宋体" w:cs="Times New Roman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</w:rPr>
              <w:t>；两种兼有☑</w:t>
            </w:r>
          </w:p>
        </w:tc>
        <w:tc>
          <w:tcPr>
            <w:tcW w:w="893" w:type="dxa"/>
            <w:vAlign w:val="center"/>
          </w:tcPr>
          <w:p w14:paraId="37D57D21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</w:tr>
      <w:tr w14:paraId="25241A2C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448" w:type="dxa"/>
            <w:vMerge w:val="continue"/>
            <w:vAlign w:val="center"/>
          </w:tcPr>
          <w:p w14:paraId="4C4E9FDA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1790" w:type="dxa"/>
            <w:vAlign w:val="center"/>
          </w:tcPr>
          <w:p w14:paraId="4CE55D7E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土地利用类型</w:t>
            </w:r>
          </w:p>
        </w:tc>
        <w:tc>
          <w:tcPr>
            <w:tcW w:w="5775" w:type="dxa"/>
            <w:gridSpan w:val="6"/>
            <w:vAlign w:val="center"/>
          </w:tcPr>
          <w:p w14:paraId="11CC0E12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建设用地</w:t>
            </w:r>
            <w:r>
              <w:rPr>
                <w:rFonts w:hint="default" w:ascii="Times New Roman" w:hAnsi="Times New Roman" w:eastAsia="宋体" w:cs="Times New Roman"/>
              </w:rPr>
              <w:sym w:font="Wingdings 2" w:char="0052"/>
            </w:r>
            <w:r>
              <w:rPr>
                <w:rFonts w:hint="default" w:ascii="Times New Roman" w:hAnsi="Times New Roman" w:eastAsia="宋体" w:cs="Times New Roman"/>
              </w:rPr>
              <w:t>；农用地□；未利用地□</w:t>
            </w:r>
          </w:p>
        </w:tc>
        <w:tc>
          <w:tcPr>
            <w:tcW w:w="893" w:type="dxa"/>
            <w:vAlign w:val="center"/>
          </w:tcPr>
          <w:p w14:paraId="14372D06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土地利用类型</w:t>
            </w:r>
          </w:p>
        </w:tc>
      </w:tr>
      <w:tr w14:paraId="399B98F1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4" w:hRule="atLeast"/>
          <w:jc w:val="center"/>
        </w:trPr>
        <w:tc>
          <w:tcPr>
            <w:tcW w:w="448" w:type="dxa"/>
            <w:vMerge w:val="continue"/>
            <w:vAlign w:val="center"/>
          </w:tcPr>
          <w:p w14:paraId="4EDCA3DC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1790" w:type="dxa"/>
            <w:vAlign w:val="center"/>
          </w:tcPr>
          <w:p w14:paraId="6D9CFCCF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占地规模</w:t>
            </w:r>
          </w:p>
        </w:tc>
        <w:tc>
          <w:tcPr>
            <w:tcW w:w="5775" w:type="dxa"/>
            <w:gridSpan w:val="6"/>
            <w:vAlign w:val="center"/>
          </w:tcPr>
          <w:p w14:paraId="6CE81D64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（14.211998）hm</w:t>
            </w:r>
            <w:r>
              <w:rPr>
                <w:rFonts w:hint="default" w:ascii="Times New Roman" w:hAnsi="Times New Roman" w:eastAsia="宋体" w:cs="Times New Roman"/>
                <w:vertAlign w:val="superscript"/>
              </w:rPr>
              <w:t>2</w:t>
            </w:r>
          </w:p>
        </w:tc>
        <w:tc>
          <w:tcPr>
            <w:tcW w:w="893" w:type="dxa"/>
            <w:vAlign w:val="center"/>
          </w:tcPr>
          <w:p w14:paraId="31251AB1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</w:tr>
      <w:tr w14:paraId="13CEAF77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448" w:type="dxa"/>
            <w:vMerge w:val="continue"/>
            <w:vAlign w:val="center"/>
          </w:tcPr>
          <w:p w14:paraId="241050B8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1790" w:type="dxa"/>
            <w:vAlign w:val="center"/>
          </w:tcPr>
          <w:p w14:paraId="173C92AD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敏感目标信息</w:t>
            </w:r>
          </w:p>
        </w:tc>
        <w:tc>
          <w:tcPr>
            <w:tcW w:w="5775" w:type="dxa"/>
            <w:gridSpan w:val="6"/>
            <w:vAlign w:val="center"/>
          </w:tcPr>
          <w:p w14:paraId="4164EF36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敏感目标（耕地）、方位（四周）、距离（相邻）</w:t>
            </w:r>
          </w:p>
        </w:tc>
        <w:tc>
          <w:tcPr>
            <w:tcW w:w="893" w:type="dxa"/>
            <w:vAlign w:val="center"/>
          </w:tcPr>
          <w:p w14:paraId="591A5E31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</w:tr>
      <w:tr w14:paraId="66F98BD1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448" w:type="dxa"/>
            <w:vMerge w:val="continue"/>
            <w:vAlign w:val="center"/>
          </w:tcPr>
          <w:p w14:paraId="1947B0FE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1790" w:type="dxa"/>
            <w:vAlign w:val="center"/>
          </w:tcPr>
          <w:p w14:paraId="21B48B4B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影响途径</w:t>
            </w:r>
          </w:p>
        </w:tc>
        <w:tc>
          <w:tcPr>
            <w:tcW w:w="5775" w:type="dxa"/>
            <w:gridSpan w:val="6"/>
            <w:vAlign w:val="center"/>
          </w:tcPr>
          <w:p w14:paraId="5C6E085C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大气沉降□；地面漫流</w:t>
            </w:r>
            <w:r>
              <w:rPr>
                <w:rFonts w:hint="default" w:ascii="Times New Roman" w:hAnsi="Times New Roman" w:eastAsia="宋体" w:cs="Times New Roman"/>
              </w:rPr>
              <w:sym w:font="Wingdings 2" w:char="0052"/>
            </w:r>
            <w:r>
              <w:rPr>
                <w:rFonts w:hint="default" w:ascii="Times New Roman" w:hAnsi="Times New Roman" w:eastAsia="宋体" w:cs="Times New Roman"/>
              </w:rPr>
              <w:t>；垂直入渗</w:t>
            </w:r>
            <w:r>
              <w:rPr>
                <w:rFonts w:hint="default" w:ascii="Times New Roman" w:hAnsi="Times New Roman" w:eastAsia="宋体" w:cs="Times New Roman"/>
              </w:rPr>
              <w:sym w:font="Wingdings 2" w:char="0052"/>
            </w:r>
            <w:r>
              <w:rPr>
                <w:rFonts w:hint="default" w:ascii="Times New Roman" w:hAnsi="Times New Roman" w:eastAsia="宋体" w:cs="Times New Roman"/>
              </w:rPr>
              <w:t>；地下水位</w:t>
            </w:r>
            <w:r>
              <w:rPr>
                <w:rFonts w:hint="default" w:ascii="Times New Roman" w:hAnsi="Times New Roman" w:eastAsia="宋体" w:cs="Times New Roman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</w:rPr>
              <w:t>；其他（ ）</w:t>
            </w:r>
          </w:p>
        </w:tc>
        <w:tc>
          <w:tcPr>
            <w:tcW w:w="893" w:type="dxa"/>
            <w:vAlign w:val="center"/>
          </w:tcPr>
          <w:p w14:paraId="7DB4C593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</w:tr>
      <w:tr w14:paraId="7C1030D0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4" w:hRule="atLeast"/>
          <w:jc w:val="center"/>
        </w:trPr>
        <w:tc>
          <w:tcPr>
            <w:tcW w:w="448" w:type="dxa"/>
            <w:vMerge w:val="continue"/>
            <w:vAlign w:val="center"/>
          </w:tcPr>
          <w:p w14:paraId="530DEA5D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1790" w:type="dxa"/>
            <w:vAlign w:val="center"/>
          </w:tcPr>
          <w:p w14:paraId="1A4E3BF5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全部污染物</w:t>
            </w:r>
          </w:p>
        </w:tc>
        <w:tc>
          <w:tcPr>
            <w:tcW w:w="5775" w:type="dxa"/>
            <w:gridSpan w:val="6"/>
            <w:vAlign w:val="center"/>
          </w:tcPr>
          <w:p w14:paraId="3ACEF248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土壤全项因子</w:t>
            </w:r>
          </w:p>
        </w:tc>
        <w:tc>
          <w:tcPr>
            <w:tcW w:w="893" w:type="dxa"/>
            <w:vAlign w:val="center"/>
          </w:tcPr>
          <w:p w14:paraId="53A2217D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</w:tr>
      <w:tr w14:paraId="01BF044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448" w:type="dxa"/>
            <w:vMerge w:val="continue"/>
            <w:vAlign w:val="center"/>
          </w:tcPr>
          <w:p w14:paraId="0FD6BAD4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1790" w:type="dxa"/>
            <w:vAlign w:val="center"/>
          </w:tcPr>
          <w:p w14:paraId="689F3B90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特征因子</w:t>
            </w:r>
          </w:p>
        </w:tc>
        <w:tc>
          <w:tcPr>
            <w:tcW w:w="5775" w:type="dxa"/>
            <w:gridSpan w:val="6"/>
            <w:vAlign w:val="center"/>
          </w:tcPr>
          <w:p w14:paraId="4E099457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砷、含盐量</w:t>
            </w:r>
          </w:p>
        </w:tc>
        <w:tc>
          <w:tcPr>
            <w:tcW w:w="893" w:type="dxa"/>
            <w:vAlign w:val="center"/>
          </w:tcPr>
          <w:p w14:paraId="36A17BCA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</w:tr>
      <w:tr w14:paraId="0706CCC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</w:tblPrEx>
        <w:trPr>
          <w:trHeight w:val="330" w:hRule="atLeast"/>
          <w:jc w:val="center"/>
        </w:trPr>
        <w:tc>
          <w:tcPr>
            <w:tcW w:w="448" w:type="dxa"/>
            <w:vMerge w:val="continue"/>
            <w:vAlign w:val="center"/>
          </w:tcPr>
          <w:p w14:paraId="6DC9C854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1790" w:type="dxa"/>
            <w:vAlign w:val="center"/>
          </w:tcPr>
          <w:p w14:paraId="44C17295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所属土壤环境影响评价项目类别</w:t>
            </w:r>
          </w:p>
        </w:tc>
        <w:tc>
          <w:tcPr>
            <w:tcW w:w="5775" w:type="dxa"/>
            <w:gridSpan w:val="6"/>
            <w:vAlign w:val="center"/>
          </w:tcPr>
          <w:p w14:paraId="221A77E6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Ⅱ类  煤矿采选</w:t>
            </w:r>
          </w:p>
        </w:tc>
        <w:tc>
          <w:tcPr>
            <w:tcW w:w="893" w:type="dxa"/>
            <w:vAlign w:val="center"/>
          </w:tcPr>
          <w:p w14:paraId="154906B1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</w:tr>
      <w:tr w14:paraId="55B58EE4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448" w:type="dxa"/>
            <w:vMerge w:val="continue"/>
            <w:vAlign w:val="center"/>
          </w:tcPr>
          <w:p w14:paraId="7B65BF41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1790" w:type="dxa"/>
            <w:vAlign w:val="center"/>
          </w:tcPr>
          <w:p w14:paraId="24940A4C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敏感程度</w:t>
            </w:r>
          </w:p>
        </w:tc>
        <w:tc>
          <w:tcPr>
            <w:tcW w:w="5775" w:type="dxa"/>
            <w:gridSpan w:val="6"/>
            <w:vAlign w:val="center"/>
          </w:tcPr>
          <w:p w14:paraId="7AD5527D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敏感</w:t>
            </w:r>
            <w:r>
              <w:rPr>
                <w:rFonts w:hint="default" w:ascii="Times New Roman" w:hAnsi="Times New Roman" w:eastAsia="宋体" w:cs="Times New Roman"/>
              </w:rPr>
              <w:sym w:font="Wingdings 2" w:char="0052"/>
            </w:r>
            <w:r>
              <w:rPr>
                <w:rFonts w:hint="default" w:ascii="Times New Roman" w:hAnsi="Times New Roman" w:eastAsia="宋体" w:cs="Times New Roman"/>
              </w:rPr>
              <w:t>；较敏感</w:t>
            </w:r>
            <w:r>
              <w:rPr>
                <w:rFonts w:hint="default" w:ascii="Times New Roman" w:hAnsi="Times New Roman" w:eastAsia="宋体" w:cs="Times New Roman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</w:rPr>
              <w:t>；不敏感</w:t>
            </w:r>
            <w:r>
              <w:rPr>
                <w:rFonts w:hint="default" w:ascii="Times New Roman" w:hAnsi="Times New Roman" w:eastAsia="宋体" w:cs="Times New Roman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</w:rPr>
              <w:t>；</w:t>
            </w:r>
          </w:p>
        </w:tc>
        <w:tc>
          <w:tcPr>
            <w:tcW w:w="893" w:type="dxa"/>
            <w:vAlign w:val="center"/>
          </w:tcPr>
          <w:p w14:paraId="022E7EA9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</w:tr>
      <w:tr w14:paraId="2CBC725D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2238" w:type="dxa"/>
            <w:gridSpan w:val="2"/>
            <w:vAlign w:val="center"/>
          </w:tcPr>
          <w:p w14:paraId="42B0ACAF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评价工作等级</w:t>
            </w:r>
          </w:p>
        </w:tc>
        <w:tc>
          <w:tcPr>
            <w:tcW w:w="5775" w:type="dxa"/>
            <w:gridSpan w:val="6"/>
            <w:vAlign w:val="center"/>
          </w:tcPr>
          <w:p w14:paraId="7D2DB820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一级□；二级</w:t>
            </w:r>
            <w:r>
              <w:rPr>
                <w:rFonts w:hint="default" w:ascii="Times New Roman" w:hAnsi="Times New Roman" w:eastAsia="宋体" w:cs="Times New Roman"/>
              </w:rPr>
              <w:sym w:font="Wingdings 2" w:char="0052"/>
            </w:r>
            <w:r>
              <w:rPr>
                <w:rFonts w:hint="default" w:ascii="Times New Roman" w:hAnsi="Times New Roman" w:eastAsia="宋体" w:cs="Times New Roman"/>
              </w:rPr>
              <w:t>；三级</w:t>
            </w:r>
            <w:r>
              <w:rPr>
                <w:rFonts w:hint="default" w:ascii="Times New Roman" w:hAnsi="Times New Roman" w:eastAsia="宋体" w:cs="Times New Roman"/>
              </w:rPr>
              <w:sym w:font="Wingdings 2" w:char="0052"/>
            </w:r>
            <w:r>
              <w:rPr>
                <w:rFonts w:hint="default" w:ascii="Times New Roman" w:hAnsi="Times New Roman" w:eastAsia="宋体" w:cs="Times New Roman"/>
              </w:rPr>
              <w:t>；</w:t>
            </w:r>
          </w:p>
        </w:tc>
        <w:tc>
          <w:tcPr>
            <w:tcW w:w="893" w:type="dxa"/>
            <w:vAlign w:val="center"/>
          </w:tcPr>
          <w:p w14:paraId="5D85D063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</w:tr>
      <w:tr w14:paraId="1687A0A6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448" w:type="dxa"/>
            <w:vMerge w:val="restart"/>
            <w:vAlign w:val="center"/>
          </w:tcPr>
          <w:p w14:paraId="0DD8C2CE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现状调查内容</w:t>
            </w:r>
          </w:p>
        </w:tc>
        <w:tc>
          <w:tcPr>
            <w:tcW w:w="1790" w:type="dxa"/>
            <w:vAlign w:val="center"/>
          </w:tcPr>
          <w:p w14:paraId="3D6C0513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资料收集</w:t>
            </w:r>
          </w:p>
        </w:tc>
        <w:tc>
          <w:tcPr>
            <w:tcW w:w="5775" w:type="dxa"/>
            <w:gridSpan w:val="6"/>
            <w:vAlign w:val="center"/>
          </w:tcPr>
          <w:p w14:paraId="1183B425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 xml:space="preserve">a) </w:t>
            </w:r>
            <w:r>
              <w:rPr>
                <w:rFonts w:hint="default" w:ascii="Times New Roman" w:hAnsi="Times New Roman" w:eastAsia="宋体" w:cs="Times New Roman"/>
              </w:rPr>
              <w:sym w:font="Wingdings 2" w:char="0052"/>
            </w:r>
            <w:r>
              <w:rPr>
                <w:rFonts w:hint="default" w:ascii="Times New Roman" w:hAnsi="Times New Roman" w:eastAsia="宋体" w:cs="Times New Roman"/>
              </w:rPr>
              <w:t xml:space="preserve">； b) </w:t>
            </w:r>
            <w:r>
              <w:rPr>
                <w:rFonts w:hint="default" w:ascii="Times New Roman" w:hAnsi="Times New Roman" w:eastAsia="宋体" w:cs="Times New Roman"/>
              </w:rPr>
              <w:sym w:font="Wingdings 2" w:char="0052"/>
            </w:r>
            <w:r>
              <w:rPr>
                <w:rFonts w:hint="default" w:ascii="Times New Roman" w:hAnsi="Times New Roman" w:eastAsia="宋体" w:cs="Times New Roman"/>
              </w:rPr>
              <w:t xml:space="preserve">； c) </w:t>
            </w:r>
            <w:r>
              <w:rPr>
                <w:rFonts w:hint="default" w:ascii="Times New Roman" w:hAnsi="Times New Roman" w:eastAsia="宋体" w:cs="Times New Roman"/>
              </w:rPr>
              <w:sym w:font="Wingdings 2" w:char="0052"/>
            </w:r>
            <w:r>
              <w:rPr>
                <w:rFonts w:hint="default" w:ascii="Times New Roman" w:hAnsi="Times New Roman" w:eastAsia="宋体" w:cs="Times New Roman"/>
              </w:rPr>
              <w:t xml:space="preserve">； d) </w:t>
            </w:r>
            <w:r>
              <w:rPr>
                <w:rFonts w:hint="default" w:ascii="Times New Roman" w:hAnsi="Times New Roman" w:eastAsia="宋体" w:cs="Times New Roman"/>
              </w:rPr>
              <w:sym w:font="Wingdings 2" w:char="0052"/>
            </w:r>
          </w:p>
        </w:tc>
        <w:tc>
          <w:tcPr>
            <w:tcW w:w="893" w:type="dxa"/>
            <w:vAlign w:val="center"/>
          </w:tcPr>
          <w:p w14:paraId="21670951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</w:tr>
      <w:tr w14:paraId="164C2694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448" w:type="dxa"/>
            <w:vMerge w:val="continue"/>
            <w:vAlign w:val="center"/>
          </w:tcPr>
          <w:p w14:paraId="48CF3DF6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1790" w:type="dxa"/>
            <w:vAlign w:val="center"/>
          </w:tcPr>
          <w:p w14:paraId="76B49E08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理化特性</w:t>
            </w:r>
          </w:p>
        </w:tc>
        <w:tc>
          <w:tcPr>
            <w:tcW w:w="5775" w:type="dxa"/>
            <w:gridSpan w:val="6"/>
            <w:vAlign w:val="center"/>
          </w:tcPr>
          <w:p w14:paraId="114E74F4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工业场地内pH7.74，全盐量1.9 g/kg，阳离子交换量8.54 cmol/kg（+），土壤渗透性0.92mm/min，土壤容重1.58g/cm</w:t>
            </w:r>
            <w:r>
              <w:rPr>
                <w:rFonts w:hint="default" w:ascii="Times New Roman" w:hAnsi="Times New Roman" w:eastAsia="宋体" w:cs="Times New Roman"/>
                <w:vertAlign w:val="superscript"/>
              </w:rPr>
              <w:t>3</w:t>
            </w:r>
            <w:r>
              <w:rPr>
                <w:rFonts w:hint="default" w:ascii="Times New Roman" w:hAnsi="Times New Roman" w:eastAsia="宋体" w:cs="Times New Roman"/>
              </w:rPr>
              <w:t>，总孔隙度41.8/%，氧化还原电位650mV</w:t>
            </w:r>
          </w:p>
        </w:tc>
        <w:tc>
          <w:tcPr>
            <w:tcW w:w="893" w:type="dxa"/>
            <w:vAlign w:val="center"/>
          </w:tcPr>
          <w:p w14:paraId="5785013C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同附录C</w:t>
            </w:r>
          </w:p>
        </w:tc>
      </w:tr>
      <w:tr w14:paraId="197CED61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448" w:type="dxa"/>
            <w:vMerge w:val="continue"/>
            <w:vAlign w:val="center"/>
          </w:tcPr>
          <w:p w14:paraId="5A3AF131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1790" w:type="dxa"/>
            <w:vMerge w:val="restart"/>
            <w:vAlign w:val="center"/>
          </w:tcPr>
          <w:p w14:paraId="017E9DE3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现状监测点位</w:t>
            </w:r>
          </w:p>
        </w:tc>
        <w:tc>
          <w:tcPr>
            <w:tcW w:w="1275" w:type="dxa"/>
            <w:vAlign w:val="center"/>
          </w:tcPr>
          <w:p w14:paraId="2B1F3254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1613" w:type="dxa"/>
            <w:gridSpan w:val="2"/>
            <w:vAlign w:val="center"/>
          </w:tcPr>
          <w:p w14:paraId="602DBBD5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占地范围内</w:t>
            </w:r>
          </w:p>
        </w:tc>
        <w:tc>
          <w:tcPr>
            <w:tcW w:w="1755" w:type="dxa"/>
            <w:gridSpan w:val="2"/>
            <w:vAlign w:val="center"/>
          </w:tcPr>
          <w:p w14:paraId="54B2EE6B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占地范围外</w:t>
            </w:r>
          </w:p>
        </w:tc>
        <w:tc>
          <w:tcPr>
            <w:tcW w:w="1132" w:type="dxa"/>
            <w:vAlign w:val="center"/>
          </w:tcPr>
          <w:p w14:paraId="162A3C37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深度</w:t>
            </w:r>
          </w:p>
        </w:tc>
        <w:tc>
          <w:tcPr>
            <w:tcW w:w="893" w:type="dxa"/>
            <w:vMerge w:val="restart"/>
            <w:vAlign w:val="center"/>
          </w:tcPr>
          <w:p w14:paraId="10C9F370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点位布置图</w:t>
            </w:r>
          </w:p>
        </w:tc>
      </w:tr>
      <w:tr w14:paraId="1257C877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448" w:type="dxa"/>
            <w:vMerge w:val="continue"/>
            <w:vAlign w:val="center"/>
          </w:tcPr>
          <w:p w14:paraId="3BDF0967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1790" w:type="dxa"/>
            <w:vMerge w:val="continue"/>
            <w:vAlign w:val="center"/>
          </w:tcPr>
          <w:p w14:paraId="4C3990C3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1275" w:type="dxa"/>
            <w:vAlign w:val="center"/>
          </w:tcPr>
          <w:p w14:paraId="01B27772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表层样点数</w:t>
            </w:r>
          </w:p>
        </w:tc>
        <w:tc>
          <w:tcPr>
            <w:tcW w:w="1613" w:type="dxa"/>
            <w:gridSpan w:val="2"/>
            <w:vAlign w:val="center"/>
          </w:tcPr>
          <w:p w14:paraId="5D576DB0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1</w:t>
            </w:r>
          </w:p>
        </w:tc>
        <w:tc>
          <w:tcPr>
            <w:tcW w:w="1755" w:type="dxa"/>
            <w:gridSpan w:val="2"/>
            <w:vAlign w:val="center"/>
          </w:tcPr>
          <w:p w14:paraId="5C677D92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4</w:t>
            </w:r>
          </w:p>
        </w:tc>
        <w:tc>
          <w:tcPr>
            <w:tcW w:w="1132" w:type="dxa"/>
            <w:vAlign w:val="center"/>
          </w:tcPr>
          <w:p w14:paraId="32C4AE74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0~0.2m</w:t>
            </w:r>
          </w:p>
        </w:tc>
        <w:tc>
          <w:tcPr>
            <w:tcW w:w="893" w:type="dxa"/>
            <w:vMerge w:val="continue"/>
            <w:vAlign w:val="center"/>
          </w:tcPr>
          <w:p w14:paraId="393DBA6F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</w:tr>
      <w:tr w14:paraId="4C984FB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448" w:type="dxa"/>
            <w:vMerge w:val="continue"/>
            <w:vAlign w:val="center"/>
          </w:tcPr>
          <w:p w14:paraId="3DDF2EC3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1790" w:type="dxa"/>
            <w:vMerge w:val="continue"/>
            <w:vAlign w:val="center"/>
          </w:tcPr>
          <w:p w14:paraId="1CB24583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1275" w:type="dxa"/>
            <w:vAlign w:val="center"/>
          </w:tcPr>
          <w:p w14:paraId="393BBF86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柱状样点数</w:t>
            </w:r>
          </w:p>
        </w:tc>
        <w:tc>
          <w:tcPr>
            <w:tcW w:w="1613" w:type="dxa"/>
            <w:gridSpan w:val="2"/>
            <w:vAlign w:val="center"/>
          </w:tcPr>
          <w:p w14:paraId="225D7340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3</w:t>
            </w:r>
          </w:p>
        </w:tc>
        <w:tc>
          <w:tcPr>
            <w:tcW w:w="1755" w:type="dxa"/>
            <w:gridSpan w:val="2"/>
            <w:vAlign w:val="center"/>
          </w:tcPr>
          <w:p w14:paraId="143645C6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1132" w:type="dxa"/>
            <w:vAlign w:val="center"/>
          </w:tcPr>
          <w:p w14:paraId="7A5DF6DA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0~0.5m</w:t>
            </w:r>
          </w:p>
          <w:p w14:paraId="3E0BC565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0.5~1.5m</w:t>
            </w:r>
          </w:p>
        </w:tc>
        <w:tc>
          <w:tcPr>
            <w:tcW w:w="893" w:type="dxa"/>
            <w:vMerge w:val="continue"/>
            <w:vAlign w:val="center"/>
          </w:tcPr>
          <w:p w14:paraId="1E351EF9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</w:tr>
      <w:tr w14:paraId="03845004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448" w:type="dxa"/>
            <w:vMerge w:val="continue"/>
            <w:vAlign w:val="center"/>
          </w:tcPr>
          <w:p w14:paraId="262EAD86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1790" w:type="dxa"/>
            <w:vAlign w:val="center"/>
          </w:tcPr>
          <w:p w14:paraId="07B5A535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现状监测因子</w:t>
            </w:r>
          </w:p>
        </w:tc>
        <w:tc>
          <w:tcPr>
            <w:tcW w:w="5775" w:type="dxa"/>
            <w:gridSpan w:val="6"/>
            <w:vAlign w:val="center"/>
          </w:tcPr>
          <w:p w14:paraId="45054CAD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  <w:szCs w:val="21"/>
              </w:rPr>
              <w:t>pH、</w:t>
            </w:r>
            <w:r>
              <w:rPr>
                <w:rFonts w:hint="default" w:ascii="Times New Roman" w:hAnsi="Times New Roman" w:eastAsia="宋体" w:cs="Times New Roman"/>
              </w:rPr>
              <w:t>砷、镉、铬（六价）、铜、铅、汞、镍、四氯化碳、氯仿、氯甲烷、1,1-二氯乙烷、1,2-二氯乙烷、1,1-二氯乙烯、顺-1,2-二氯乙烯、反-1,2-二氯乙烯、二氯甲烷、1,2-二氯丙烷、1,1,1,2-四氯乙烷、1,1,2,2-四氯乙烷、四氯乙烯、1,1,1-三氯乙烷、1,1,2-三氯乙烷、三氯乙烯、1,2,3-三氯丙烷、氯乙烯、苯、氯苯、1,2-二氯苯、1,4-二氯苯、乙苯、苯乙烯、甲苯、间二甲苯+对二甲苯、邻二甲苯、硝基苯、苯胺、2-氯酚、苯并[a]蒽、苯并[a]芘、苯并[b]荧蒽、苯并[k]荧蒽、䓛、二苯并[a,h]蒽、茚并[1,2,3-cd]芘、萘</w:t>
            </w:r>
          </w:p>
        </w:tc>
        <w:tc>
          <w:tcPr>
            <w:tcW w:w="893" w:type="dxa"/>
            <w:vAlign w:val="center"/>
          </w:tcPr>
          <w:p w14:paraId="1AFBEAD9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</w:tr>
      <w:tr w14:paraId="4F60532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448" w:type="dxa"/>
            <w:vMerge w:val="restart"/>
            <w:vAlign w:val="center"/>
          </w:tcPr>
          <w:p w14:paraId="4D87A2FB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现状评价</w:t>
            </w:r>
          </w:p>
        </w:tc>
        <w:tc>
          <w:tcPr>
            <w:tcW w:w="1790" w:type="dxa"/>
            <w:vAlign w:val="center"/>
          </w:tcPr>
          <w:p w14:paraId="773C373D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评价因子</w:t>
            </w:r>
          </w:p>
        </w:tc>
        <w:tc>
          <w:tcPr>
            <w:tcW w:w="5775" w:type="dxa"/>
            <w:gridSpan w:val="6"/>
            <w:vAlign w:val="center"/>
          </w:tcPr>
          <w:p w14:paraId="49E3ABF3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  <w:szCs w:val="21"/>
              </w:rPr>
              <w:t>pH、</w:t>
            </w:r>
            <w:r>
              <w:rPr>
                <w:rFonts w:hint="default" w:ascii="Times New Roman" w:hAnsi="Times New Roman" w:eastAsia="宋体" w:cs="Times New Roman"/>
              </w:rPr>
              <w:t>砷、镉、铬（六价）、铜、铅、汞、镍、四氯化碳、氯仿、氯甲烷、1,1-二氯乙烷、1,2-二氯乙烷、1,1-二氯乙烯、顺-1,2-二氯乙烯、反-1,2-二氯乙烯、二氯甲烷、1,2-二氯丙烷、1,1,1,2-四氯乙烷、1,1,2,2-四氯乙烷、四氯乙烯、1,1,1-三氯乙烷、1,1,2-三氯乙烷、三氯乙烯、1,2,3-三氯丙烷、氯乙烯、苯、氯苯、1,2-二氯苯、1,4-二氯苯、乙苯、苯乙烯、甲苯、间二甲苯+对二甲苯、邻二甲苯、硝基苯、苯胺、2-氯酚、苯并[a]蒽、苯并[a]芘、苯并[b]荧蒽、苯并[k]荧蒽、䓛、二苯并[a,h]蒽、茚并[1,2,3-cd]芘、萘</w:t>
            </w:r>
          </w:p>
        </w:tc>
        <w:tc>
          <w:tcPr>
            <w:tcW w:w="893" w:type="dxa"/>
            <w:vAlign w:val="center"/>
          </w:tcPr>
          <w:p w14:paraId="481B4788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</w:tr>
      <w:tr w14:paraId="01466386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448" w:type="dxa"/>
            <w:vMerge w:val="continue"/>
            <w:vAlign w:val="center"/>
          </w:tcPr>
          <w:p w14:paraId="0546D721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1790" w:type="dxa"/>
            <w:vAlign w:val="center"/>
          </w:tcPr>
          <w:p w14:paraId="397A5FCC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评价标准</w:t>
            </w:r>
          </w:p>
        </w:tc>
        <w:tc>
          <w:tcPr>
            <w:tcW w:w="5775" w:type="dxa"/>
            <w:gridSpan w:val="6"/>
            <w:vAlign w:val="center"/>
          </w:tcPr>
          <w:p w14:paraId="46C56F8E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GB15618</w:t>
            </w:r>
            <w:r>
              <w:rPr>
                <w:rFonts w:hint="default" w:ascii="Times New Roman" w:hAnsi="Times New Roman" w:eastAsia="宋体" w:cs="Times New Roman"/>
              </w:rPr>
              <w:sym w:font="Wingdings 2" w:char="0052"/>
            </w:r>
            <w:r>
              <w:rPr>
                <w:rFonts w:hint="default" w:ascii="Times New Roman" w:hAnsi="Times New Roman" w:eastAsia="宋体" w:cs="Times New Roman"/>
              </w:rPr>
              <w:t>；GB36600</w:t>
            </w:r>
            <w:r>
              <w:rPr>
                <w:rFonts w:hint="default" w:ascii="Times New Roman" w:hAnsi="Times New Roman" w:eastAsia="宋体" w:cs="Times New Roman"/>
              </w:rPr>
              <w:sym w:font="Wingdings 2" w:char="0052"/>
            </w:r>
            <w:r>
              <w:rPr>
                <w:rFonts w:hint="default" w:ascii="Times New Roman" w:hAnsi="Times New Roman" w:eastAsia="宋体" w:cs="Times New Roman"/>
              </w:rPr>
              <w:t>；表D.1；表D.2；其他（  ）</w:t>
            </w:r>
          </w:p>
        </w:tc>
        <w:tc>
          <w:tcPr>
            <w:tcW w:w="893" w:type="dxa"/>
            <w:vAlign w:val="center"/>
          </w:tcPr>
          <w:p w14:paraId="729D7F53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</w:tr>
      <w:tr w14:paraId="3726546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448" w:type="dxa"/>
            <w:vMerge w:val="continue"/>
            <w:vAlign w:val="center"/>
          </w:tcPr>
          <w:p w14:paraId="597C310A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1790" w:type="dxa"/>
            <w:vAlign w:val="center"/>
          </w:tcPr>
          <w:p w14:paraId="375FDEC9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现状评价结论</w:t>
            </w:r>
          </w:p>
        </w:tc>
        <w:tc>
          <w:tcPr>
            <w:tcW w:w="5775" w:type="dxa"/>
            <w:gridSpan w:val="6"/>
            <w:vAlign w:val="center"/>
          </w:tcPr>
          <w:p w14:paraId="7543083D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厂界内各土壤采样点各监测因子监测值满足《土壤环境质量建设用地土壤污染风险管控标准（试行）》（GB36600-2018）表1建设用地土壤污染风险筛选值，厂界外各土壤采样点各监测因子监测值《土壤环境质量农用地土壤污染风险管控标准（试行）》（GB15618-2018）表1农用地土壤污染风险筛选值要求</w:t>
            </w:r>
          </w:p>
        </w:tc>
        <w:tc>
          <w:tcPr>
            <w:tcW w:w="893" w:type="dxa"/>
            <w:vAlign w:val="center"/>
          </w:tcPr>
          <w:p w14:paraId="14154A60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</w:tr>
      <w:tr w14:paraId="06796A68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448" w:type="dxa"/>
            <w:vMerge w:val="restart"/>
            <w:vAlign w:val="center"/>
          </w:tcPr>
          <w:p w14:paraId="34DC9358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影响预测</w:t>
            </w:r>
          </w:p>
        </w:tc>
        <w:tc>
          <w:tcPr>
            <w:tcW w:w="1790" w:type="dxa"/>
            <w:vAlign w:val="center"/>
          </w:tcPr>
          <w:p w14:paraId="3B46E4DD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预测因子</w:t>
            </w:r>
          </w:p>
        </w:tc>
        <w:tc>
          <w:tcPr>
            <w:tcW w:w="5775" w:type="dxa"/>
            <w:gridSpan w:val="6"/>
            <w:vAlign w:val="center"/>
          </w:tcPr>
          <w:p w14:paraId="5A81C834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砷</w:t>
            </w:r>
          </w:p>
        </w:tc>
        <w:tc>
          <w:tcPr>
            <w:tcW w:w="893" w:type="dxa"/>
            <w:vAlign w:val="center"/>
          </w:tcPr>
          <w:p w14:paraId="2F4DA9EE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</w:tr>
      <w:tr w14:paraId="615B9855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448" w:type="dxa"/>
            <w:vMerge w:val="continue"/>
            <w:vAlign w:val="center"/>
          </w:tcPr>
          <w:p w14:paraId="7E67231F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1790" w:type="dxa"/>
            <w:vAlign w:val="center"/>
          </w:tcPr>
          <w:p w14:paraId="754051D1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预测方法</w:t>
            </w:r>
          </w:p>
        </w:tc>
        <w:tc>
          <w:tcPr>
            <w:tcW w:w="5775" w:type="dxa"/>
            <w:gridSpan w:val="6"/>
            <w:vAlign w:val="center"/>
          </w:tcPr>
          <w:p w14:paraId="0A420DC6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附录E</w:t>
            </w:r>
            <w:r>
              <w:rPr>
                <w:rFonts w:hint="default" w:ascii="Times New Roman" w:hAnsi="Times New Roman" w:eastAsia="宋体" w:cs="Times New Roman"/>
              </w:rPr>
              <w:sym w:font="Wingdings 2" w:char="0052"/>
            </w:r>
            <w:r>
              <w:rPr>
                <w:rFonts w:hint="default" w:ascii="Times New Roman" w:hAnsi="Times New Roman" w:eastAsia="宋体" w:cs="Times New Roman"/>
              </w:rPr>
              <w:t>；附录F</w:t>
            </w:r>
            <w:r>
              <w:rPr>
                <w:rFonts w:hint="default" w:ascii="Times New Roman" w:hAnsi="Times New Roman" w:eastAsia="宋体" w:cs="Times New Roman"/>
              </w:rPr>
              <w:sym w:font="Wingdings 2" w:char="00A3"/>
            </w:r>
            <w:r>
              <w:rPr>
                <w:rFonts w:hint="default" w:ascii="Times New Roman" w:hAnsi="Times New Roman" w:eastAsia="宋体" w:cs="Times New Roman"/>
              </w:rPr>
              <w:t>；其他（     ）</w:t>
            </w:r>
          </w:p>
        </w:tc>
        <w:tc>
          <w:tcPr>
            <w:tcW w:w="893" w:type="dxa"/>
            <w:vAlign w:val="center"/>
          </w:tcPr>
          <w:p w14:paraId="57464AC5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</w:tr>
      <w:tr w14:paraId="0FE0002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448" w:type="dxa"/>
            <w:vMerge w:val="continue"/>
            <w:vAlign w:val="center"/>
          </w:tcPr>
          <w:p w14:paraId="4C9C0457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1790" w:type="dxa"/>
            <w:vAlign w:val="center"/>
          </w:tcPr>
          <w:p w14:paraId="2B9E34FD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预测分析内容</w:t>
            </w:r>
          </w:p>
        </w:tc>
        <w:tc>
          <w:tcPr>
            <w:tcW w:w="5775" w:type="dxa"/>
            <w:gridSpan w:val="6"/>
            <w:vAlign w:val="center"/>
          </w:tcPr>
          <w:p w14:paraId="2644EA15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影响范围（占地范围）</w:t>
            </w:r>
          </w:p>
          <w:p w14:paraId="0DC87F35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影响程度（项目服务期满后满足《土壤环境质量建设用地土壤污染风险管控标准（试行）》（GB36600-2018）表1建设用地土壤污染风险筛选值，对土壤环境影响较小）</w:t>
            </w:r>
          </w:p>
        </w:tc>
        <w:tc>
          <w:tcPr>
            <w:tcW w:w="893" w:type="dxa"/>
            <w:vAlign w:val="center"/>
          </w:tcPr>
          <w:p w14:paraId="7458E9F8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</w:tr>
      <w:tr w14:paraId="2A60793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448" w:type="dxa"/>
            <w:vMerge w:val="continue"/>
            <w:vAlign w:val="center"/>
          </w:tcPr>
          <w:p w14:paraId="32AAB19F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1790" w:type="dxa"/>
            <w:vAlign w:val="center"/>
          </w:tcPr>
          <w:p w14:paraId="42697769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预测结论</w:t>
            </w:r>
          </w:p>
        </w:tc>
        <w:tc>
          <w:tcPr>
            <w:tcW w:w="5775" w:type="dxa"/>
            <w:gridSpan w:val="6"/>
            <w:vAlign w:val="center"/>
          </w:tcPr>
          <w:p w14:paraId="236BB540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 xml:space="preserve">达标结论：a) </w:t>
            </w:r>
            <w:r>
              <w:rPr>
                <w:rFonts w:hint="default" w:ascii="Times New Roman" w:hAnsi="Times New Roman" w:eastAsia="宋体" w:cs="Times New Roman"/>
              </w:rPr>
              <w:sym w:font="Wingdings 2" w:char="0052"/>
            </w:r>
            <w:r>
              <w:rPr>
                <w:rFonts w:hint="default" w:ascii="Times New Roman" w:hAnsi="Times New Roman" w:eastAsia="宋体" w:cs="Times New Roman"/>
              </w:rPr>
              <w:t>； b) □； c) □</w:t>
            </w:r>
          </w:p>
          <w:p w14:paraId="0BEA05F7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不达标结论：a) □； b) □</w:t>
            </w:r>
          </w:p>
        </w:tc>
        <w:tc>
          <w:tcPr>
            <w:tcW w:w="893" w:type="dxa"/>
            <w:vAlign w:val="center"/>
          </w:tcPr>
          <w:p w14:paraId="7AB616E5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</w:tr>
      <w:tr w14:paraId="6A76481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448" w:type="dxa"/>
            <w:vMerge w:val="restart"/>
            <w:vAlign w:val="center"/>
          </w:tcPr>
          <w:p w14:paraId="5320C1D8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防控措施</w:t>
            </w:r>
          </w:p>
        </w:tc>
        <w:tc>
          <w:tcPr>
            <w:tcW w:w="1790" w:type="dxa"/>
            <w:vAlign w:val="center"/>
          </w:tcPr>
          <w:p w14:paraId="5012D768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防控措施</w:t>
            </w:r>
          </w:p>
        </w:tc>
        <w:tc>
          <w:tcPr>
            <w:tcW w:w="5775" w:type="dxa"/>
            <w:gridSpan w:val="6"/>
            <w:vAlign w:val="center"/>
          </w:tcPr>
          <w:p w14:paraId="5BCEC322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对危废暂存间、初期雨水（含淋滤水）沉淀池、截排水沟进行防渗、生活污水地埋污水处理设备、场地硬化</w:t>
            </w:r>
          </w:p>
        </w:tc>
        <w:tc>
          <w:tcPr>
            <w:tcW w:w="893" w:type="dxa"/>
            <w:vAlign w:val="center"/>
          </w:tcPr>
          <w:p w14:paraId="53986F50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</w:tr>
      <w:tr w14:paraId="720C0D17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  <w:jc w:val="center"/>
        </w:trPr>
        <w:tc>
          <w:tcPr>
            <w:tcW w:w="448" w:type="dxa"/>
            <w:vMerge w:val="continue"/>
            <w:vAlign w:val="center"/>
          </w:tcPr>
          <w:p w14:paraId="2E21E47A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1790" w:type="dxa"/>
            <w:vMerge w:val="restart"/>
            <w:vAlign w:val="center"/>
          </w:tcPr>
          <w:p w14:paraId="21FFBDBC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跟踪监测</w:t>
            </w:r>
          </w:p>
        </w:tc>
        <w:tc>
          <w:tcPr>
            <w:tcW w:w="1673" w:type="dxa"/>
            <w:gridSpan w:val="2"/>
            <w:vAlign w:val="center"/>
          </w:tcPr>
          <w:p w14:paraId="1DBBE343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监测点数</w:t>
            </w:r>
          </w:p>
        </w:tc>
        <w:tc>
          <w:tcPr>
            <w:tcW w:w="1957" w:type="dxa"/>
            <w:gridSpan w:val="2"/>
            <w:vAlign w:val="center"/>
          </w:tcPr>
          <w:p w14:paraId="6D208CAF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监测指标</w:t>
            </w:r>
          </w:p>
        </w:tc>
        <w:tc>
          <w:tcPr>
            <w:tcW w:w="2145" w:type="dxa"/>
            <w:gridSpan w:val="2"/>
            <w:vAlign w:val="center"/>
          </w:tcPr>
          <w:p w14:paraId="1253D050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监测频次</w:t>
            </w:r>
          </w:p>
        </w:tc>
        <w:tc>
          <w:tcPr>
            <w:tcW w:w="893" w:type="dxa"/>
            <w:vAlign w:val="center"/>
          </w:tcPr>
          <w:p w14:paraId="7509CD67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</w:tr>
      <w:tr w14:paraId="7683509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</w:tblPrEx>
        <w:trPr>
          <w:trHeight w:val="330" w:hRule="atLeast"/>
          <w:jc w:val="center"/>
        </w:trPr>
        <w:tc>
          <w:tcPr>
            <w:tcW w:w="448" w:type="dxa"/>
            <w:vMerge w:val="continue"/>
            <w:vAlign w:val="center"/>
          </w:tcPr>
          <w:p w14:paraId="4C1D2E88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1790" w:type="dxa"/>
            <w:vMerge w:val="continue"/>
            <w:vAlign w:val="center"/>
          </w:tcPr>
          <w:p w14:paraId="11C5CCDC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1673" w:type="dxa"/>
            <w:gridSpan w:val="2"/>
            <w:vAlign w:val="center"/>
          </w:tcPr>
          <w:p w14:paraId="0916D57D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2</w:t>
            </w:r>
          </w:p>
        </w:tc>
        <w:tc>
          <w:tcPr>
            <w:tcW w:w="1957" w:type="dxa"/>
            <w:gridSpan w:val="2"/>
            <w:vAlign w:val="center"/>
          </w:tcPr>
          <w:p w14:paraId="1B5BE79E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砷、镉、六价铬、铜、铅、汞、镍</w:t>
            </w:r>
          </w:p>
        </w:tc>
        <w:tc>
          <w:tcPr>
            <w:tcW w:w="2145" w:type="dxa"/>
            <w:gridSpan w:val="2"/>
            <w:vAlign w:val="center"/>
          </w:tcPr>
          <w:p w14:paraId="368DFC01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1次/5年</w:t>
            </w:r>
          </w:p>
        </w:tc>
        <w:tc>
          <w:tcPr>
            <w:tcW w:w="893" w:type="dxa"/>
            <w:vAlign w:val="center"/>
          </w:tcPr>
          <w:p w14:paraId="447EA93A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</w:tr>
      <w:tr w14:paraId="347015C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</w:tblPrEx>
        <w:trPr>
          <w:trHeight w:val="330" w:hRule="atLeast"/>
          <w:jc w:val="center"/>
        </w:trPr>
        <w:tc>
          <w:tcPr>
            <w:tcW w:w="448" w:type="dxa"/>
            <w:vMerge w:val="continue"/>
            <w:vAlign w:val="center"/>
          </w:tcPr>
          <w:p w14:paraId="39DE8891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1790" w:type="dxa"/>
            <w:vAlign w:val="center"/>
          </w:tcPr>
          <w:p w14:paraId="194B660D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信息公开指标</w:t>
            </w:r>
          </w:p>
        </w:tc>
        <w:tc>
          <w:tcPr>
            <w:tcW w:w="5775" w:type="dxa"/>
            <w:gridSpan w:val="6"/>
            <w:vAlign w:val="center"/>
          </w:tcPr>
          <w:p w14:paraId="7F5E50C3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893" w:type="dxa"/>
            <w:vAlign w:val="center"/>
          </w:tcPr>
          <w:p w14:paraId="2A4C81E9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</w:tr>
      <w:tr w14:paraId="50C189E5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</w:tblPrEx>
        <w:trPr>
          <w:trHeight w:val="330" w:hRule="atLeast"/>
          <w:jc w:val="center"/>
        </w:trPr>
        <w:tc>
          <w:tcPr>
            <w:tcW w:w="2238" w:type="dxa"/>
            <w:gridSpan w:val="2"/>
            <w:vAlign w:val="center"/>
          </w:tcPr>
          <w:p w14:paraId="284235E8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评价结论</w:t>
            </w:r>
          </w:p>
        </w:tc>
        <w:tc>
          <w:tcPr>
            <w:tcW w:w="5775" w:type="dxa"/>
            <w:gridSpan w:val="6"/>
            <w:vAlign w:val="center"/>
          </w:tcPr>
          <w:p w14:paraId="4E648129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矿区建设过程中采取严格的防雨、防渗措施，对该区域土壤影响较小</w:t>
            </w:r>
          </w:p>
        </w:tc>
        <w:tc>
          <w:tcPr>
            <w:tcW w:w="893" w:type="dxa"/>
            <w:vAlign w:val="center"/>
          </w:tcPr>
          <w:p w14:paraId="34ED86F1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</w:tr>
      <w:tr w14:paraId="77A803F2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</w:tblPrEx>
        <w:trPr>
          <w:trHeight w:val="670" w:hRule="atLeast"/>
          <w:jc w:val="center"/>
        </w:trPr>
        <w:tc>
          <w:tcPr>
            <w:tcW w:w="8906" w:type="dxa"/>
            <w:gridSpan w:val="9"/>
            <w:vAlign w:val="center"/>
          </w:tcPr>
          <w:p w14:paraId="62DDF5FE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注1：“□”为勾选项，可√  “（ ）”为内容填写项；“备注”为其他补充内容</w:t>
            </w:r>
          </w:p>
          <w:p w14:paraId="7DFCC5A0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注2：需要分别开展土壤环境影响评级工作的，分别填写自查表</w:t>
            </w:r>
          </w:p>
        </w:tc>
      </w:tr>
    </w:tbl>
    <w:p w14:paraId="4DA5C741">
      <w:pPr>
        <w:pStyle w:val="68"/>
      </w:pPr>
    </w:p>
    <w:p w14:paraId="6BBFC15D">
      <w:pPr>
        <w:pStyle w:val="68"/>
      </w:pPr>
    </w:p>
    <w:p w14:paraId="5BEAC5CB">
      <w:pPr>
        <w:pStyle w:val="68"/>
      </w:pPr>
    </w:p>
    <w:p w14:paraId="0C01C32F">
      <w:pPr>
        <w:pStyle w:val="68"/>
      </w:pPr>
    </w:p>
    <w:p w14:paraId="69B0120F">
      <w:pPr>
        <w:pStyle w:val="68"/>
      </w:pPr>
    </w:p>
    <w:p w14:paraId="0402787B">
      <w:pPr>
        <w:pStyle w:val="68"/>
      </w:pPr>
    </w:p>
    <w:p w14:paraId="520D2ED7">
      <w:pPr>
        <w:pStyle w:val="68"/>
      </w:pPr>
    </w:p>
    <w:p w14:paraId="112B15BB">
      <w:pPr>
        <w:pStyle w:val="68"/>
      </w:pPr>
    </w:p>
    <w:p w14:paraId="74A19B60">
      <w:pPr>
        <w:pStyle w:val="68"/>
      </w:pPr>
    </w:p>
    <w:p w14:paraId="69D76C50">
      <w:pPr>
        <w:pStyle w:val="68"/>
      </w:pPr>
    </w:p>
    <w:p w14:paraId="333BF7DF">
      <w:pPr>
        <w:pStyle w:val="68"/>
      </w:pPr>
    </w:p>
    <w:p w14:paraId="1349DBA4">
      <w:pPr>
        <w:pStyle w:val="68"/>
      </w:pPr>
    </w:p>
    <w:p w14:paraId="54B67ABE">
      <w:pPr>
        <w:pStyle w:val="68"/>
      </w:pPr>
    </w:p>
    <w:p w14:paraId="1D418832">
      <w:pPr>
        <w:pStyle w:val="68"/>
      </w:pPr>
    </w:p>
    <w:p w14:paraId="60932162">
      <w:pPr>
        <w:pStyle w:val="68"/>
        <w:rPr>
          <w:rFonts w:hint="eastAsia"/>
        </w:rPr>
      </w:pPr>
    </w:p>
    <w:p w14:paraId="267E62EC">
      <w:pPr>
        <w:pStyle w:val="68"/>
      </w:pPr>
    </w:p>
    <w:p w14:paraId="662BC4EF">
      <w:pPr>
        <w:pStyle w:val="98"/>
      </w:pPr>
      <w:bookmarkStart w:id="26" w:name="_Toc95559745"/>
      <w:bookmarkStart w:id="27" w:name="_Toc95560024"/>
      <w:r>
        <w:rPr>
          <w:rFonts w:hint="eastAsia"/>
          <w:lang w:val="en-US" w:eastAsia="zh-CN"/>
        </w:rPr>
        <w:t>附表4</w:t>
      </w:r>
      <w:r>
        <w:t>建设项目环境风险评价自查表</w:t>
      </w:r>
      <w:bookmarkEnd w:id="26"/>
      <w:bookmarkEnd w:id="27"/>
    </w:p>
    <w:p w14:paraId="6CB2F557">
      <w:pPr>
        <w:pStyle w:val="62"/>
      </w:pPr>
      <w:r>
        <w:t>环境风险评价自查表</w:t>
      </w:r>
    </w:p>
    <w:tbl>
      <w:tblPr>
        <w:tblStyle w:val="37"/>
        <w:tblW w:w="5000" w:type="pct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55"/>
        <w:gridCol w:w="1199"/>
        <w:gridCol w:w="1190"/>
        <w:gridCol w:w="297"/>
        <w:gridCol w:w="444"/>
        <w:gridCol w:w="295"/>
        <w:gridCol w:w="878"/>
        <w:gridCol w:w="156"/>
        <w:gridCol w:w="313"/>
        <w:gridCol w:w="739"/>
        <w:gridCol w:w="141"/>
        <w:gridCol w:w="453"/>
        <w:gridCol w:w="447"/>
        <w:gridCol w:w="363"/>
        <w:gridCol w:w="89"/>
        <w:gridCol w:w="649"/>
        <w:gridCol w:w="738"/>
      </w:tblGrid>
      <w:tr w14:paraId="471894D2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980" w:type="pct"/>
            <w:gridSpan w:val="2"/>
            <w:vAlign w:val="center"/>
          </w:tcPr>
          <w:p w14:paraId="2AC1FD78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工作内容</w:t>
            </w:r>
          </w:p>
        </w:tc>
        <w:tc>
          <w:tcPr>
            <w:tcW w:w="4019" w:type="pct"/>
            <w:gridSpan w:val="15"/>
            <w:vAlign w:val="center"/>
          </w:tcPr>
          <w:p w14:paraId="2D01770D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完成情况</w:t>
            </w:r>
          </w:p>
        </w:tc>
      </w:tr>
      <w:tr w14:paraId="7A30DCA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10" w:type="pct"/>
            <w:vMerge w:val="restart"/>
            <w:vAlign w:val="center"/>
          </w:tcPr>
          <w:p w14:paraId="4B07E87B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风险调查</w:t>
            </w:r>
          </w:p>
        </w:tc>
        <w:tc>
          <w:tcPr>
            <w:tcW w:w="670" w:type="pct"/>
            <w:vMerge w:val="restart"/>
            <w:vAlign w:val="center"/>
          </w:tcPr>
          <w:p w14:paraId="2F5DF9F1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危险物质</w:t>
            </w:r>
          </w:p>
        </w:tc>
        <w:tc>
          <w:tcPr>
            <w:tcW w:w="665" w:type="pct"/>
            <w:vAlign w:val="center"/>
          </w:tcPr>
          <w:p w14:paraId="0403C4EE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名称</w:t>
            </w:r>
          </w:p>
        </w:tc>
        <w:tc>
          <w:tcPr>
            <w:tcW w:w="579" w:type="pct"/>
            <w:gridSpan w:val="3"/>
            <w:shd w:val="clear" w:color="auto" w:fill="auto"/>
            <w:vAlign w:val="center"/>
          </w:tcPr>
          <w:p w14:paraId="1CA3B5F4">
            <w:pPr>
              <w:pStyle w:val="66"/>
              <w:ind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8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lang w:val="en-US" w:eastAsia="zh-CN"/>
              </w:rPr>
              <w:t>油类物质</w:t>
            </w:r>
          </w:p>
        </w:tc>
        <w:tc>
          <w:tcPr>
            <w:tcW w:w="578" w:type="pct"/>
            <w:gridSpan w:val="2"/>
            <w:shd w:val="clear" w:color="auto" w:fill="auto"/>
            <w:vAlign w:val="center"/>
          </w:tcPr>
          <w:p w14:paraId="695F7024">
            <w:pPr>
              <w:pStyle w:val="66"/>
              <w:ind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8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lang w:val="en-US" w:eastAsia="zh-CN"/>
              </w:rPr>
              <w:t>氨水</w:t>
            </w:r>
          </w:p>
        </w:tc>
        <w:tc>
          <w:tcPr>
            <w:tcW w:w="667" w:type="pct"/>
            <w:gridSpan w:val="3"/>
            <w:vAlign w:val="center"/>
          </w:tcPr>
          <w:p w14:paraId="4524CE2D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706" w:type="pct"/>
            <w:gridSpan w:val="3"/>
            <w:vAlign w:val="center"/>
          </w:tcPr>
          <w:p w14:paraId="3E3FA3E6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413" w:type="pct"/>
            <w:gridSpan w:val="2"/>
            <w:vAlign w:val="center"/>
          </w:tcPr>
          <w:p w14:paraId="1BAF19F1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409" w:type="pct"/>
            <w:vAlign w:val="center"/>
          </w:tcPr>
          <w:p w14:paraId="5A9696B6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</w:tr>
      <w:tr w14:paraId="587E3ECB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0" w:type="auto"/>
            <w:vMerge w:val="continue"/>
            <w:vAlign w:val="center"/>
          </w:tcPr>
          <w:p w14:paraId="7DEFCD74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0" w:type="auto"/>
            <w:vMerge w:val="continue"/>
            <w:vAlign w:val="center"/>
          </w:tcPr>
          <w:p w14:paraId="289939DA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665" w:type="pct"/>
            <w:vAlign w:val="center"/>
          </w:tcPr>
          <w:p w14:paraId="14B9BFE8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存在总量t</w:t>
            </w:r>
          </w:p>
        </w:tc>
        <w:tc>
          <w:tcPr>
            <w:tcW w:w="579" w:type="pct"/>
            <w:gridSpan w:val="3"/>
            <w:shd w:val="clear" w:color="auto" w:fill="auto"/>
            <w:vAlign w:val="center"/>
          </w:tcPr>
          <w:p w14:paraId="35D1BDAC">
            <w:pPr>
              <w:pStyle w:val="66"/>
              <w:ind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8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lang w:val="en-US" w:eastAsia="zh-CN"/>
              </w:rPr>
              <w:t>44</w:t>
            </w:r>
          </w:p>
        </w:tc>
        <w:tc>
          <w:tcPr>
            <w:tcW w:w="578" w:type="pct"/>
            <w:gridSpan w:val="2"/>
            <w:shd w:val="clear" w:color="auto" w:fill="auto"/>
            <w:vAlign w:val="center"/>
          </w:tcPr>
          <w:p w14:paraId="28AEB207">
            <w:pPr>
              <w:pStyle w:val="66"/>
              <w:ind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8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lang w:val="en-US" w:eastAsia="zh-CN"/>
              </w:rPr>
              <w:t>4.95</w:t>
            </w:r>
          </w:p>
        </w:tc>
        <w:tc>
          <w:tcPr>
            <w:tcW w:w="667" w:type="pct"/>
            <w:gridSpan w:val="3"/>
            <w:vAlign w:val="center"/>
          </w:tcPr>
          <w:p w14:paraId="26C7008C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706" w:type="pct"/>
            <w:gridSpan w:val="3"/>
            <w:vAlign w:val="center"/>
          </w:tcPr>
          <w:p w14:paraId="51823F10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413" w:type="pct"/>
            <w:gridSpan w:val="2"/>
            <w:vAlign w:val="center"/>
          </w:tcPr>
          <w:p w14:paraId="0720FAC4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409" w:type="pct"/>
            <w:vAlign w:val="center"/>
          </w:tcPr>
          <w:p w14:paraId="6BFE79BB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</w:tr>
      <w:tr w14:paraId="6D91D35B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0" w:type="auto"/>
            <w:vMerge w:val="continue"/>
            <w:vAlign w:val="center"/>
          </w:tcPr>
          <w:p w14:paraId="40C4CB9A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670" w:type="pct"/>
            <w:vMerge w:val="restart"/>
            <w:vAlign w:val="center"/>
          </w:tcPr>
          <w:p w14:paraId="404F945E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环境敏感性</w:t>
            </w:r>
          </w:p>
        </w:tc>
        <w:tc>
          <w:tcPr>
            <w:tcW w:w="665" w:type="pct"/>
            <w:vMerge w:val="restart"/>
            <w:vAlign w:val="center"/>
          </w:tcPr>
          <w:p w14:paraId="2E1C1F9F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大气</w:t>
            </w:r>
          </w:p>
        </w:tc>
        <w:tc>
          <w:tcPr>
            <w:tcW w:w="1824" w:type="pct"/>
            <w:gridSpan w:val="8"/>
            <w:vAlign w:val="center"/>
          </w:tcPr>
          <w:p w14:paraId="284D8E97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500m范围内人口数</w:t>
            </w:r>
            <w:r>
              <w:rPr>
                <w:rFonts w:hint="default" w:ascii="Times New Roman" w:hAnsi="Times New Roman" w:eastAsia="宋体" w:cs="Times New Roman"/>
                <w:u w:val="single"/>
              </w:rPr>
              <w:t xml:space="preserve">   </w:t>
            </w:r>
            <w:r>
              <w:rPr>
                <w:rFonts w:hint="default" w:ascii="Times New Roman" w:hAnsi="Times New Roman" w:eastAsia="宋体" w:cs="Times New Roman"/>
              </w:rPr>
              <w:t>人</w:t>
            </w:r>
          </w:p>
        </w:tc>
        <w:tc>
          <w:tcPr>
            <w:tcW w:w="1529" w:type="pct"/>
            <w:gridSpan w:val="6"/>
            <w:vAlign w:val="center"/>
          </w:tcPr>
          <w:p w14:paraId="1A006452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5km范围内人口数</w:t>
            </w:r>
            <w:r>
              <w:rPr>
                <w:rFonts w:hint="default" w:ascii="Times New Roman" w:hAnsi="Times New Roman" w:eastAsia="宋体" w:cs="Times New Roman"/>
                <w:u w:val="single"/>
              </w:rPr>
              <w:t xml:space="preserve">   </w:t>
            </w:r>
            <w:r>
              <w:rPr>
                <w:rFonts w:hint="default" w:ascii="Times New Roman" w:hAnsi="Times New Roman" w:eastAsia="宋体" w:cs="Times New Roman"/>
              </w:rPr>
              <w:t>人</w:t>
            </w:r>
          </w:p>
        </w:tc>
      </w:tr>
      <w:tr w14:paraId="759AE931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0" w:type="auto"/>
            <w:vMerge w:val="continue"/>
            <w:vAlign w:val="center"/>
          </w:tcPr>
          <w:p w14:paraId="64A52857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0" w:type="auto"/>
            <w:vMerge w:val="continue"/>
            <w:vAlign w:val="center"/>
          </w:tcPr>
          <w:p w14:paraId="04DACD6B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0" w:type="auto"/>
            <w:vMerge w:val="continue"/>
            <w:vAlign w:val="center"/>
          </w:tcPr>
          <w:p w14:paraId="4818BEB3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2580" w:type="pct"/>
            <w:gridSpan w:val="12"/>
            <w:vAlign w:val="center"/>
          </w:tcPr>
          <w:p w14:paraId="7E52D563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每公里管段周边200m范围内人口数（最大）</w:t>
            </w:r>
          </w:p>
        </w:tc>
        <w:tc>
          <w:tcPr>
            <w:tcW w:w="774" w:type="pct"/>
            <w:gridSpan w:val="2"/>
            <w:vAlign w:val="center"/>
          </w:tcPr>
          <w:p w14:paraId="5A67F96B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 xml:space="preserve">   人</w:t>
            </w:r>
          </w:p>
        </w:tc>
      </w:tr>
      <w:tr w14:paraId="42623138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0" w:type="auto"/>
            <w:vMerge w:val="continue"/>
            <w:vAlign w:val="center"/>
          </w:tcPr>
          <w:p w14:paraId="2B8AF610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0" w:type="auto"/>
            <w:vMerge w:val="continue"/>
            <w:vAlign w:val="center"/>
          </w:tcPr>
          <w:p w14:paraId="4D7130BB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665" w:type="pct"/>
            <w:vMerge w:val="restart"/>
            <w:vAlign w:val="center"/>
          </w:tcPr>
          <w:p w14:paraId="0B126A68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地表水</w:t>
            </w:r>
          </w:p>
        </w:tc>
        <w:tc>
          <w:tcPr>
            <w:tcW w:w="1070" w:type="pct"/>
            <w:gridSpan w:val="4"/>
            <w:vAlign w:val="center"/>
          </w:tcPr>
          <w:p w14:paraId="2AAE9D17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地表水功能敏感性</w:t>
            </w:r>
          </w:p>
        </w:tc>
        <w:tc>
          <w:tcPr>
            <w:tcW w:w="675" w:type="pct"/>
            <w:gridSpan w:val="3"/>
            <w:vAlign w:val="center"/>
          </w:tcPr>
          <w:p w14:paraId="1DE545F8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F1</w:t>
            </w:r>
            <w:r>
              <w:rPr>
                <w:rFonts w:hint="default" w:ascii="Times New Roman" w:hAnsi="Times New Roman" w:eastAsia="宋体" w:cs="Times New Roman"/>
              </w:rPr>
              <w:sym w:font="Wingdings" w:char="00A8"/>
            </w:r>
          </w:p>
        </w:tc>
        <w:tc>
          <w:tcPr>
            <w:tcW w:w="834" w:type="pct"/>
            <w:gridSpan w:val="5"/>
            <w:vAlign w:val="center"/>
          </w:tcPr>
          <w:p w14:paraId="4544872C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F2</w:t>
            </w:r>
            <w:r>
              <w:rPr>
                <w:rFonts w:hint="default" w:ascii="Times New Roman" w:hAnsi="Times New Roman" w:eastAsia="宋体" w:cs="Times New Roman"/>
              </w:rPr>
              <w:sym w:font="Wingdings" w:char="00A8"/>
            </w:r>
          </w:p>
        </w:tc>
        <w:tc>
          <w:tcPr>
            <w:tcW w:w="774" w:type="pct"/>
            <w:gridSpan w:val="2"/>
            <w:vAlign w:val="center"/>
          </w:tcPr>
          <w:p w14:paraId="47C778FB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F3</w:t>
            </w:r>
            <w:r>
              <w:rPr>
                <w:rFonts w:hint="default" w:ascii="Times New Roman" w:hAnsi="Times New Roman" w:eastAsia="宋体" w:cs="Times New Roman"/>
              </w:rPr>
              <w:sym w:font="Wingdings" w:char="00A8"/>
            </w:r>
          </w:p>
        </w:tc>
      </w:tr>
      <w:tr w14:paraId="2D2FDF0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0" w:type="auto"/>
            <w:vMerge w:val="continue"/>
            <w:vAlign w:val="center"/>
          </w:tcPr>
          <w:p w14:paraId="64E6260E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0" w:type="auto"/>
            <w:vMerge w:val="continue"/>
            <w:vAlign w:val="center"/>
          </w:tcPr>
          <w:p w14:paraId="0C5A05E3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0" w:type="auto"/>
            <w:vMerge w:val="continue"/>
            <w:vAlign w:val="center"/>
          </w:tcPr>
          <w:p w14:paraId="166E5EE9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1070" w:type="pct"/>
            <w:gridSpan w:val="4"/>
            <w:vAlign w:val="center"/>
          </w:tcPr>
          <w:p w14:paraId="20EBB5AE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环境敏感目标分级</w:t>
            </w:r>
          </w:p>
        </w:tc>
        <w:tc>
          <w:tcPr>
            <w:tcW w:w="675" w:type="pct"/>
            <w:gridSpan w:val="3"/>
            <w:vAlign w:val="center"/>
          </w:tcPr>
          <w:p w14:paraId="3F7E6E2C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S1</w:t>
            </w:r>
            <w:r>
              <w:rPr>
                <w:rFonts w:hint="default" w:ascii="Times New Roman" w:hAnsi="Times New Roman" w:eastAsia="宋体" w:cs="Times New Roman"/>
              </w:rPr>
              <w:sym w:font="Wingdings" w:char="00A8"/>
            </w:r>
          </w:p>
        </w:tc>
        <w:tc>
          <w:tcPr>
            <w:tcW w:w="834" w:type="pct"/>
            <w:gridSpan w:val="5"/>
            <w:vAlign w:val="center"/>
          </w:tcPr>
          <w:p w14:paraId="2F91E8F9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S2</w:t>
            </w:r>
            <w:r>
              <w:rPr>
                <w:rFonts w:hint="default" w:ascii="Times New Roman" w:hAnsi="Times New Roman" w:eastAsia="宋体" w:cs="Times New Roman"/>
              </w:rPr>
              <w:sym w:font="Wingdings" w:char="00A8"/>
            </w:r>
          </w:p>
        </w:tc>
        <w:tc>
          <w:tcPr>
            <w:tcW w:w="774" w:type="pct"/>
            <w:gridSpan w:val="2"/>
            <w:vAlign w:val="center"/>
          </w:tcPr>
          <w:p w14:paraId="539E3AC3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S3</w:t>
            </w:r>
            <w:r>
              <w:rPr>
                <w:rFonts w:hint="default" w:ascii="Times New Roman" w:hAnsi="Times New Roman" w:eastAsia="宋体" w:cs="Times New Roman"/>
              </w:rPr>
              <w:sym w:font="Wingdings" w:char="00A8"/>
            </w:r>
          </w:p>
        </w:tc>
      </w:tr>
      <w:tr w14:paraId="05FD9461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0" w:type="auto"/>
            <w:vMerge w:val="continue"/>
            <w:vAlign w:val="center"/>
          </w:tcPr>
          <w:p w14:paraId="549C02B8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0" w:type="auto"/>
            <w:vMerge w:val="continue"/>
            <w:vAlign w:val="center"/>
          </w:tcPr>
          <w:p w14:paraId="2B7A59E4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665" w:type="pct"/>
            <w:vMerge w:val="restart"/>
            <w:vAlign w:val="center"/>
          </w:tcPr>
          <w:p w14:paraId="18673688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地下水</w:t>
            </w:r>
          </w:p>
        </w:tc>
        <w:tc>
          <w:tcPr>
            <w:tcW w:w="1070" w:type="pct"/>
            <w:gridSpan w:val="4"/>
            <w:vAlign w:val="center"/>
          </w:tcPr>
          <w:p w14:paraId="6B99D46B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地下水功能敏感性</w:t>
            </w:r>
          </w:p>
        </w:tc>
        <w:tc>
          <w:tcPr>
            <w:tcW w:w="675" w:type="pct"/>
            <w:gridSpan w:val="3"/>
            <w:vAlign w:val="center"/>
          </w:tcPr>
          <w:p w14:paraId="1B979D80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G1</w:t>
            </w:r>
            <w:r>
              <w:rPr>
                <w:rFonts w:hint="default" w:ascii="Times New Roman" w:hAnsi="Times New Roman" w:eastAsia="宋体" w:cs="Times New Roman"/>
              </w:rPr>
              <w:sym w:font="Wingdings" w:char="00A8"/>
            </w:r>
          </w:p>
        </w:tc>
        <w:tc>
          <w:tcPr>
            <w:tcW w:w="834" w:type="pct"/>
            <w:gridSpan w:val="5"/>
            <w:vAlign w:val="center"/>
          </w:tcPr>
          <w:p w14:paraId="537A09E9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G2</w:t>
            </w:r>
            <w:r>
              <w:rPr>
                <w:rFonts w:hint="default" w:ascii="Times New Roman" w:hAnsi="Times New Roman" w:eastAsia="宋体" w:cs="Times New Roman"/>
              </w:rPr>
              <w:sym w:font="Wingdings" w:char="00A8"/>
            </w:r>
          </w:p>
        </w:tc>
        <w:tc>
          <w:tcPr>
            <w:tcW w:w="774" w:type="pct"/>
            <w:gridSpan w:val="2"/>
            <w:vAlign w:val="center"/>
          </w:tcPr>
          <w:p w14:paraId="2E310FA9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G3</w:t>
            </w:r>
            <w:r>
              <w:rPr>
                <w:rFonts w:hint="default" w:ascii="Times New Roman" w:hAnsi="Times New Roman" w:eastAsia="宋体" w:cs="Times New Roman"/>
              </w:rPr>
              <w:sym w:font="Wingdings" w:char="00A8"/>
            </w:r>
          </w:p>
        </w:tc>
      </w:tr>
      <w:tr w14:paraId="2C957DCC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0" w:type="auto"/>
            <w:vMerge w:val="continue"/>
            <w:vAlign w:val="center"/>
          </w:tcPr>
          <w:p w14:paraId="7E9251C8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0" w:type="auto"/>
            <w:vMerge w:val="continue"/>
            <w:vAlign w:val="center"/>
          </w:tcPr>
          <w:p w14:paraId="02D58210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0" w:type="auto"/>
            <w:vMerge w:val="continue"/>
            <w:vAlign w:val="center"/>
          </w:tcPr>
          <w:p w14:paraId="0D9F4FC5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1070" w:type="pct"/>
            <w:gridSpan w:val="4"/>
            <w:vAlign w:val="center"/>
          </w:tcPr>
          <w:p w14:paraId="095A8315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包气带防污性能</w:t>
            </w:r>
          </w:p>
        </w:tc>
        <w:tc>
          <w:tcPr>
            <w:tcW w:w="675" w:type="pct"/>
            <w:gridSpan w:val="3"/>
            <w:vAlign w:val="center"/>
          </w:tcPr>
          <w:p w14:paraId="51E1A961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D1</w:t>
            </w:r>
            <w:r>
              <w:rPr>
                <w:rFonts w:hint="default" w:ascii="Times New Roman" w:hAnsi="Times New Roman" w:eastAsia="宋体" w:cs="Times New Roman"/>
              </w:rPr>
              <w:sym w:font="Wingdings" w:char="00A8"/>
            </w:r>
          </w:p>
        </w:tc>
        <w:tc>
          <w:tcPr>
            <w:tcW w:w="834" w:type="pct"/>
            <w:gridSpan w:val="5"/>
            <w:vAlign w:val="center"/>
          </w:tcPr>
          <w:p w14:paraId="65B46CA2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D2</w:t>
            </w:r>
            <w:r>
              <w:rPr>
                <w:rFonts w:hint="default" w:ascii="Times New Roman" w:hAnsi="Times New Roman" w:eastAsia="宋体" w:cs="Times New Roman"/>
              </w:rPr>
              <w:sym w:font="Wingdings" w:char="00A8"/>
            </w:r>
          </w:p>
        </w:tc>
        <w:tc>
          <w:tcPr>
            <w:tcW w:w="774" w:type="pct"/>
            <w:gridSpan w:val="2"/>
            <w:vAlign w:val="center"/>
          </w:tcPr>
          <w:p w14:paraId="0682D725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D3</w:t>
            </w:r>
            <w:r>
              <w:rPr>
                <w:rFonts w:hint="default" w:ascii="Times New Roman" w:hAnsi="Times New Roman" w:eastAsia="宋体" w:cs="Times New Roman"/>
              </w:rPr>
              <w:sym w:font="Wingdings" w:char="00A8"/>
            </w:r>
          </w:p>
        </w:tc>
      </w:tr>
      <w:tr w14:paraId="595C3D90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980" w:type="pct"/>
            <w:gridSpan w:val="2"/>
            <w:vMerge w:val="restart"/>
            <w:vAlign w:val="center"/>
          </w:tcPr>
          <w:p w14:paraId="1820B19E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物质及工艺系数危险性</w:t>
            </w:r>
          </w:p>
        </w:tc>
        <w:tc>
          <w:tcPr>
            <w:tcW w:w="665" w:type="pct"/>
            <w:vAlign w:val="center"/>
          </w:tcPr>
          <w:p w14:paraId="0CFBDB3B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Q值</w:t>
            </w:r>
          </w:p>
        </w:tc>
        <w:tc>
          <w:tcPr>
            <w:tcW w:w="1070" w:type="pct"/>
            <w:gridSpan w:val="4"/>
            <w:vAlign w:val="center"/>
          </w:tcPr>
          <w:p w14:paraId="7CAC3600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Q＜1</w:t>
            </w:r>
            <w:r>
              <w:rPr>
                <w:rFonts w:hint="default" w:ascii="Times New Roman" w:hAnsi="Times New Roman" w:eastAsia="宋体" w:cs="Times New Roman"/>
              </w:rPr>
              <w:sym w:font="Wingdings" w:char="F0FE"/>
            </w:r>
          </w:p>
        </w:tc>
        <w:tc>
          <w:tcPr>
            <w:tcW w:w="675" w:type="pct"/>
            <w:gridSpan w:val="3"/>
            <w:vAlign w:val="center"/>
          </w:tcPr>
          <w:p w14:paraId="66E72E69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1≤Q＜10</w:t>
            </w:r>
            <w:r>
              <w:rPr>
                <w:rFonts w:hint="default" w:ascii="Times New Roman" w:hAnsi="Times New Roman" w:eastAsia="宋体" w:cs="Times New Roman"/>
              </w:rPr>
              <w:sym w:font="Wingdings" w:char="00A8"/>
            </w:r>
          </w:p>
        </w:tc>
        <w:tc>
          <w:tcPr>
            <w:tcW w:w="834" w:type="pct"/>
            <w:gridSpan w:val="5"/>
            <w:vAlign w:val="center"/>
          </w:tcPr>
          <w:p w14:paraId="443668F5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10≤Q＜100</w:t>
            </w:r>
            <w:r>
              <w:rPr>
                <w:rFonts w:hint="default" w:ascii="Times New Roman" w:hAnsi="Times New Roman" w:eastAsia="宋体" w:cs="Times New Roman"/>
              </w:rPr>
              <w:sym w:font="Wingdings" w:char="00A8"/>
            </w:r>
          </w:p>
        </w:tc>
        <w:tc>
          <w:tcPr>
            <w:tcW w:w="774" w:type="pct"/>
            <w:gridSpan w:val="2"/>
            <w:vAlign w:val="center"/>
          </w:tcPr>
          <w:p w14:paraId="7467B5D9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Q＞100</w:t>
            </w:r>
            <w:r>
              <w:rPr>
                <w:rFonts w:hint="default" w:ascii="Times New Roman" w:hAnsi="Times New Roman" w:eastAsia="宋体" w:cs="Times New Roman"/>
              </w:rPr>
              <w:sym w:font="Wingdings" w:char="00A8"/>
            </w:r>
          </w:p>
        </w:tc>
      </w:tr>
      <w:tr w14:paraId="51A38CA2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0" w:type="auto"/>
            <w:gridSpan w:val="2"/>
            <w:vMerge w:val="continue"/>
            <w:vAlign w:val="center"/>
          </w:tcPr>
          <w:p w14:paraId="204B3A37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665" w:type="pct"/>
            <w:vAlign w:val="center"/>
          </w:tcPr>
          <w:p w14:paraId="60F2CF9D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M值</w:t>
            </w:r>
          </w:p>
        </w:tc>
        <w:tc>
          <w:tcPr>
            <w:tcW w:w="1070" w:type="pct"/>
            <w:gridSpan w:val="4"/>
            <w:vAlign w:val="center"/>
          </w:tcPr>
          <w:p w14:paraId="4E058D5F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M1</w:t>
            </w:r>
            <w:r>
              <w:rPr>
                <w:rFonts w:hint="default" w:ascii="Times New Roman" w:hAnsi="Times New Roman" w:eastAsia="宋体" w:cs="Times New Roman"/>
              </w:rPr>
              <w:sym w:font="Wingdings" w:char="00A8"/>
            </w:r>
          </w:p>
        </w:tc>
        <w:tc>
          <w:tcPr>
            <w:tcW w:w="675" w:type="pct"/>
            <w:gridSpan w:val="3"/>
            <w:vAlign w:val="center"/>
          </w:tcPr>
          <w:p w14:paraId="559C8F18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M2</w:t>
            </w:r>
            <w:r>
              <w:rPr>
                <w:rFonts w:hint="default" w:ascii="Times New Roman" w:hAnsi="Times New Roman" w:eastAsia="宋体" w:cs="Times New Roman"/>
              </w:rPr>
              <w:sym w:font="Wingdings" w:char="00A8"/>
            </w:r>
          </w:p>
        </w:tc>
        <w:tc>
          <w:tcPr>
            <w:tcW w:w="834" w:type="pct"/>
            <w:gridSpan w:val="5"/>
            <w:vAlign w:val="center"/>
          </w:tcPr>
          <w:p w14:paraId="04D4503F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M3</w:t>
            </w:r>
            <w:r>
              <w:rPr>
                <w:rFonts w:hint="default" w:ascii="Times New Roman" w:hAnsi="Times New Roman" w:eastAsia="宋体" w:cs="Times New Roman"/>
              </w:rPr>
              <w:sym w:font="Wingdings" w:char="00A8"/>
            </w:r>
          </w:p>
        </w:tc>
        <w:tc>
          <w:tcPr>
            <w:tcW w:w="774" w:type="pct"/>
            <w:gridSpan w:val="2"/>
            <w:vAlign w:val="center"/>
          </w:tcPr>
          <w:p w14:paraId="5DEA580B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M4</w:t>
            </w:r>
            <w:r>
              <w:rPr>
                <w:rFonts w:hint="default" w:ascii="Times New Roman" w:hAnsi="Times New Roman" w:eastAsia="宋体" w:cs="Times New Roman"/>
              </w:rPr>
              <w:sym w:font="Wingdings" w:char="00A8"/>
            </w:r>
          </w:p>
        </w:tc>
      </w:tr>
      <w:tr w14:paraId="1F8515DC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0" w:type="auto"/>
            <w:gridSpan w:val="2"/>
            <w:vMerge w:val="continue"/>
            <w:vAlign w:val="center"/>
          </w:tcPr>
          <w:p w14:paraId="5D0F3112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665" w:type="pct"/>
            <w:vAlign w:val="center"/>
          </w:tcPr>
          <w:p w14:paraId="36E09BB0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P值</w:t>
            </w:r>
          </w:p>
        </w:tc>
        <w:tc>
          <w:tcPr>
            <w:tcW w:w="1070" w:type="pct"/>
            <w:gridSpan w:val="4"/>
            <w:vAlign w:val="center"/>
          </w:tcPr>
          <w:p w14:paraId="3578E8B2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P1</w:t>
            </w:r>
            <w:r>
              <w:rPr>
                <w:rFonts w:hint="default" w:ascii="Times New Roman" w:hAnsi="Times New Roman" w:eastAsia="宋体" w:cs="Times New Roman"/>
              </w:rPr>
              <w:sym w:font="Wingdings" w:char="00A8"/>
            </w:r>
          </w:p>
        </w:tc>
        <w:tc>
          <w:tcPr>
            <w:tcW w:w="675" w:type="pct"/>
            <w:gridSpan w:val="3"/>
            <w:vAlign w:val="center"/>
          </w:tcPr>
          <w:p w14:paraId="3A78A7B8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P2</w:t>
            </w:r>
            <w:r>
              <w:rPr>
                <w:rFonts w:hint="default" w:ascii="Times New Roman" w:hAnsi="Times New Roman" w:eastAsia="宋体" w:cs="Times New Roman"/>
              </w:rPr>
              <w:sym w:font="Wingdings" w:char="00A8"/>
            </w:r>
          </w:p>
        </w:tc>
        <w:tc>
          <w:tcPr>
            <w:tcW w:w="834" w:type="pct"/>
            <w:gridSpan w:val="5"/>
            <w:vAlign w:val="center"/>
          </w:tcPr>
          <w:p w14:paraId="4C6A85C1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P3</w:t>
            </w:r>
            <w:r>
              <w:rPr>
                <w:rFonts w:hint="default" w:ascii="Times New Roman" w:hAnsi="Times New Roman" w:eastAsia="宋体" w:cs="Times New Roman"/>
              </w:rPr>
              <w:sym w:font="Wingdings" w:char="00A8"/>
            </w:r>
          </w:p>
        </w:tc>
        <w:tc>
          <w:tcPr>
            <w:tcW w:w="774" w:type="pct"/>
            <w:gridSpan w:val="2"/>
            <w:vAlign w:val="center"/>
          </w:tcPr>
          <w:p w14:paraId="1CB168CC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P4</w:t>
            </w:r>
            <w:r>
              <w:rPr>
                <w:rFonts w:hint="default" w:ascii="Times New Roman" w:hAnsi="Times New Roman" w:eastAsia="宋体" w:cs="Times New Roman"/>
              </w:rPr>
              <w:sym w:font="Wingdings" w:char="00A8"/>
            </w:r>
          </w:p>
        </w:tc>
      </w:tr>
      <w:tr w14:paraId="022857F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980" w:type="pct"/>
            <w:gridSpan w:val="2"/>
            <w:vAlign w:val="center"/>
          </w:tcPr>
          <w:p w14:paraId="342EA881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环境风险潜势</w:t>
            </w:r>
          </w:p>
        </w:tc>
        <w:tc>
          <w:tcPr>
            <w:tcW w:w="831" w:type="pct"/>
            <w:gridSpan w:val="2"/>
            <w:vAlign w:val="center"/>
          </w:tcPr>
          <w:p w14:paraId="2D174ADA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Ⅳ</w:t>
            </w:r>
            <w:r>
              <w:rPr>
                <w:rFonts w:hint="default" w:ascii="Times New Roman" w:hAnsi="Times New Roman" w:eastAsia="宋体" w:cs="Times New Roman"/>
                <w:vertAlign w:val="superscript"/>
              </w:rPr>
              <w:t>+</w:t>
            </w:r>
            <w:r>
              <w:rPr>
                <w:rFonts w:hint="default" w:ascii="Times New Roman" w:hAnsi="Times New Roman" w:eastAsia="宋体" w:cs="Times New Roman"/>
              </w:rPr>
              <w:sym w:font="Wingdings" w:char="00A8"/>
            </w:r>
          </w:p>
        </w:tc>
        <w:tc>
          <w:tcPr>
            <w:tcW w:w="904" w:type="pct"/>
            <w:gridSpan w:val="3"/>
            <w:vAlign w:val="center"/>
          </w:tcPr>
          <w:p w14:paraId="02C22DC0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Ⅳ</w:t>
            </w:r>
            <w:r>
              <w:rPr>
                <w:rFonts w:hint="default" w:ascii="Times New Roman" w:hAnsi="Times New Roman" w:eastAsia="宋体" w:cs="Times New Roman"/>
              </w:rPr>
              <w:sym w:font="Wingdings" w:char="00A8"/>
            </w:r>
          </w:p>
        </w:tc>
        <w:tc>
          <w:tcPr>
            <w:tcW w:w="675" w:type="pct"/>
            <w:gridSpan w:val="3"/>
            <w:vAlign w:val="center"/>
          </w:tcPr>
          <w:p w14:paraId="06A5F717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Ⅲ</w:t>
            </w:r>
            <w:r>
              <w:rPr>
                <w:rFonts w:hint="default" w:ascii="Times New Roman" w:hAnsi="Times New Roman" w:eastAsia="宋体" w:cs="Times New Roman"/>
              </w:rPr>
              <w:sym w:font="Wingdings" w:char="00A8"/>
            </w:r>
          </w:p>
        </w:tc>
        <w:tc>
          <w:tcPr>
            <w:tcW w:w="834" w:type="pct"/>
            <w:gridSpan w:val="5"/>
            <w:vAlign w:val="center"/>
          </w:tcPr>
          <w:p w14:paraId="2391A284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Ⅱ</w:t>
            </w:r>
            <w:r>
              <w:rPr>
                <w:rFonts w:hint="default" w:ascii="Times New Roman" w:hAnsi="Times New Roman" w:eastAsia="宋体" w:cs="Times New Roman"/>
              </w:rPr>
              <w:sym w:font="Wingdings" w:char="00A8"/>
            </w:r>
          </w:p>
        </w:tc>
        <w:tc>
          <w:tcPr>
            <w:tcW w:w="774" w:type="pct"/>
            <w:gridSpan w:val="2"/>
            <w:vAlign w:val="center"/>
          </w:tcPr>
          <w:p w14:paraId="000BB82A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Ⅰ</w:t>
            </w:r>
            <w:r>
              <w:rPr>
                <w:rFonts w:hint="default" w:ascii="Times New Roman" w:hAnsi="Times New Roman" w:eastAsia="宋体" w:cs="Times New Roman"/>
              </w:rPr>
              <w:sym w:font="Wingdings" w:char="F0FE"/>
            </w:r>
          </w:p>
        </w:tc>
      </w:tr>
      <w:tr w14:paraId="2193655B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980" w:type="pct"/>
            <w:gridSpan w:val="2"/>
            <w:vAlign w:val="center"/>
          </w:tcPr>
          <w:p w14:paraId="2365562B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评价等级</w:t>
            </w:r>
          </w:p>
        </w:tc>
        <w:tc>
          <w:tcPr>
            <w:tcW w:w="1735" w:type="pct"/>
            <w:gridSpan w:val="5"/>
            <w:vAlign w:val="center"/>
          </w:tcPr>
          <w:p w14:paraId="1433E025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一级</w:t>
            </w:r>
            <w:r>
              <w:rPr>
                <w:rFonts w:hint="default" w:ascii="Times New Roman" w:hAnsi="Times New Roman" w:eastAsia="宋体" w:cs="Times New Roman"/>
              </w:rPr>
              <w:sym w:font="Wingdings" w:char="00A8"/>
            </w:r>
          </w:p>
        </w:tc>
        <w:tc>
          <w:tcPr>
            <w:tcW w:w="675" w:type="pct"/>
            <w:gridSpan w:val="3"/>
            <w:vAlign w:val="center"/>
          </w:tcPr>
          <w:p w14:paraId="7A191FAE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二级</w:t>
            </w:r>
            <w:r>
              <w:rPr>
                <w:rFonts w:hint="default" w:ascii="Times New Roman" w:hAnsi="Times New Roman" w:eastAsia="宋体" w:cs="Times New Roman"/>
              </w:rPr>
              <w:sym w:font="Wingdings" w:char="00A8"/>
            </w:r>
          </w:p>
        </w:tc>
        <w:tc>
          <w:tcPr>
            <w:tcW w:w="834" w:type="pct"/>
            <w:gridSpan w:val="5"/>
            <w:vAlign w:val="center"/>
          </w:tcPr>
          <w:p w14:paraId="7553F03F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三级</w:t>
            </w:r>
            <w:r>
              <w:rPr>
                <w:rFonts w:hint="default" w:ascii="Times New Roman" w:hAnsi="Times New Roman" w:eastAsia="宋体" w:cs="Times New Roman"/>
              </w:rPr>
              <w:sym w:font="Wingdings" w:char="00A8"/>
            </w:r>
          </w:p>
        </w:tc>
        <w:tc>
          <w:tcPr>
            <w:tcW w:w="774" w:type="pct"/>
            <w:gridSpan w:val="2"/>
            <w:vAlign w:val="center"/>
          </w:tcPr>
          <w:p w14:paraId="04E15D00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简单分析</w:t>
            </w:r>
            <w:r>
              <w:rPr>
                <w:rFonts w:hint="default" w:ascii="Times New Roman" w:hAnsi="Times New Roman" w:eastAsia="宋体" w:cs="Times New Roman"/>
              </w:rPr>
              <w:sym w:font="Wingdings" w:char="F0FE"/>
            </w:r>
          </w:p>
        </w:tc>
      </w:tr>
      <w:tr w14:paraId="1BADD34D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10" w:type="pct"/>
            <w:vMerge w:val="restart"/>
            <w:vAlign w:val="center"/>
          </w:tcPr>
          <w:p w14:paraId="23F674A9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风险识别</w:t>
            </w:r>
          </w:p>
        </w:tc>
        <w:tc>
          <w:tcPr>
            <w:tcW w:w="670" w:type="pct"/>
            <w:vAlign w:val="center"/>
          </w:tcPr>
          <w:p w14:paraId="4F50B271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物质危险性</w:t>
            </w:r>
          </w:p>
        </w:tc>
        <w:tc>
          <w:tcPr>
            <w:tcW w:w="1997" w:type="pct"/>
            <w:gridSpan w:val="7"/>
            <w:vAlign w:val="center"/>
          </w:tcPr>
          <w:p w14:paraId="571DFBD9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有毒有害</w:t>
            </w:r>
            <w:r>
              <w:rPr>
                <w:rFonts w:hint="default" w:ascii="Times New Roman" w:hAnsi="Times New Roman" w:eastAsia="宋体" w:cs="Times New Roman"/>
              </w:rPr>
              <w:sym w:font="Wingdings" w:char="F0FE"/>
            </w:r>
          </w:p>
        </w:tc>
        <w:tc>
          <w:tcPr>
            <w:tcW w:w="2021" w:type="pct"/>
            <w:gridSpan w:val="8"/>
            <w:vAlign w:val="center"/>
          </w:tcPr>
          <w:p w14:paraId="49FF5A2D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易燃易爆</w:t>
            </w:r>
            <w:r>
              <w:rPr>
                <w:rFonts w:hint="default" w:ascii="Times New Roman" w:hAnsi="Times New Roman" w:eastAsia="宋体" w:cs="Times New Roman"/>
              </w:rPr>
              <w:sym w:font="Wingdings" w:char="F0FE"/>
            </w:r>
          </w:p>
        </w:tc>
      </w:tr>
      <w:tr w14:paraId="5BD7C26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0" w:type="auto"/>
            <w:vMerge w:val="continue"/>
            <w:vAlign w:val="center"/>
          </w:tcPr>
          <w:p w14:paraId="5102475B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670" w:type="pct"/>
            <w:vAlign w:val="center"/>
          </w:tcPr>
          <w:p w14:paraId="649650A3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环境风险类型</w:t>
            </w:r>
          </w:p>
        </w:tc>
        <w:tc>
          <w:tcPr>
            <w:tcW w:w="1997" w:type="pct"/>
            <w:gridSpan w:val="7"/>
            <w:vAlign w:val="center"/>
          </w:tcPr>
          <w:p w14:paraId="685F0D27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泄漏</w:t>
            </w:r>
            <w:r>
              <w:rPr>
                <w:rFonts w:hint="default" w:ascii="Times New Roman" w:hAnsi="Times New Roman" w:eastAsia="宋体" w:cs="Times New Roman"/>
              </w:rPr>
              <w:sym w:font="Wingdings" w:char="F0FE"/>
            </w:r>
          </w:p>
        </w:tc>
        <w:tc>
          <w:tcPr>
            <w:tcW w:w="2021" w:type="pct"/>
            <w:gridSpan w:val="8"/>
            <w:vAlign w:val="center"/>
          </w:tcPr>
          <w:p w14:paraId="0236A21F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火灾、爆炸引发伴生/次生污染物排放</w:t>
            </w:r>
            <w:r>
              <w:rPr>
                <w:rFonts w:hint="default" w:ascii="Times New Roman" w:hAnsi="Times New Roman" w:eastAsia="宋体" w:cs="Times New Roman"/>
              </w:rPr>
              <w:sym w:font="Wingdings" w:char="F0FE"/>
            </w:r>
          </w:p>
        </w:tc>
      </w:tr>
      <w:tr w14:paraId="639E80F5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0" w:type="auto"/>
            <w:vMerge w:val="continue"/>
            <w:vAlign w:val="center"/>
          </w:tcPr>
          <w:p w14:paraId="44D05715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670" w:type="pct"/>
            <w:vAlign w:val="center"/>
          </w:tcPr>
          <w:p w14:paraId="277F5A65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影响途径</w:t>
            </w:r>
          </w:p>
        </w:tc>
        <w:tc>
          <w:tcPr>
            <w:tcW w:w="1244" w:type="pct"/>
            <w:gridSpan w:val="4"/>
            <w:vAlign w:val="center"/>
          </w:tcPr>
          <w:p w14:paraId="1EB75BDA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大气</w:t>
            </w:r>
            <w:r>
              <w:rPr>
                <w:rFonts w:hint="default" w:ascii="Times New Roman" w:hAnsi="Times New Roman" w:eastAsia="宋体" w:cs="Times New Roman"/>
              </w:rPr>
              <w:sym w:font="Wingdings" w:char="F0FE"/>
            </w:r>
          </w:p>
        </w:tc>
        <w:tc>
          <w:tcPr>
            <w:tcW w:w="1498" w:type="pct"/>
            <w:gridSpan w:val="6"/>
            <w:vAlign w:val="center"/>
          </w:tcPr>
          <w:p w14:paraId="11560A45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地表水</w:t>
            </w:r>
            <w:r>
              <w:rPr>
                <w:rFonts w:hint="default" w:ascii="Times New Roman" w:hAnsi="Times New Roman" w:eastAsia="宋体" w:cs="Times New Roman"/>
              </w:rPr>
              <w:sym w:font="Wingdings" w:char="F0FE"/>
            </w:r>
          </w:p>
        </w:tc>
        <w:tc>
          <w:tcPr>
            <w:tcW w:w="1276" w:type="pct"/>
            <w:gridSpan w:val="5"/>
            <w:vAlign w:val="center"/>
          </w:tcPr>
          <w:p w14:paraId="5B6A672E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地下水</w:t>
            </w:r>
            <w:r>
              <w:rPr>
                <w:rFonts w:hint="default" w:ascii="Times New Roman" w:hAnsi="Times New Roman" w:eastAsia="宋体" w:cs="Times New Roman"/>
              </w:rPr>
              <w:sym w:font="Wingdings" w:char="F0FE"/>
            </w:r>
          </w:p>
        </w:tc>
      </w:tr>
      <w:tr w14:paraId="50BBB644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980" w:type="pct"/>
            <w:gridSpan w:val="2"/>
            <w:vAlign w:val="center"/>
          </w:tcPr>
          <w:p w14:paraId="5C7EB9A4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事故情形分析</w:t>
            </w:r>
          </w:p>
        </w:tc>
        <w:tc>
          <w:tcPr>
            <w:tcW w:w="1079" w:type="pct"/>
            <w:gridSpan w:val="3"/>
            <w:vAlign w:val="center"/>
          </w:tcPr>
          <w:p w14:paraId="37A3C5FD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源强设定方法</w:t>
            </w:r>
          </w:p>
        </w:tc>
        <w:tc>
          <w:tcPr>
            <w:tcW w:w="918" w:type="pct"/>
            <w:gridSpan w:val="4"/>
            <w:vAlign w:val="center"/>
          </w:tcPr>
          <w:p w14:paraId="448AAA1E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计算法</w:t>
            </w:r>
            <w:r>
              <w:rPr>
                <w:rFonts w:hint="default" w:ascii="Times New Roman" w:hAnsi="Times New Roman" w:eastAsia="宋体" w:cs="Times New Roman"/>
              </w:rPr>
              <w:sym w:font="Wingdings" w:char="00A8"/>
            </w:r>
          </w:p>
        </w:tc>
        <w:tc>
          <w:tcPr>
            <w:tcW w:w="995" w:type="pct"/>
            <w:gridSpan w:val="4"/>
            <w:vAlign w:val="center"/>
          </w:tcPr>
          <w:p w14:paraId="0D51A3AB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经验估算法</w:t>
            </w:r>
            <w:r>
              <w:rPr>
                <w:rFonts w:hint="default" w:ascii="Times New Roman" w:hAnsi="Times New Roman" w:eastAsia="宋体" w:cs="Times New Roman"/>
              </w:rPr>
              <w:sym w:font="Wingdings" w:char="00A8"/>
            </w:r>
          </w:p>
        </w:tc>
        <w:tc>
          <w:tcPr>
            <w:tcW w:w="1026" w:type="pct"/>
            <w:gridSpan w:val="4"/>
            <w:vAlign w:val="center"/>
          </w:tcPr>
          <w:p w14:paraId="13E8E8DB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其他估算法</w:t>
            </w:r>
            <w:r>
              <w:rPr>
                <w:rFonts w:hint="default" w:ascii="Times New Roman" w:hAnsi="Times New Roman" w:eastAsia="宋体" w:cs="Times New Roman"/>
              </w:rPr>
              <w:sym w:font="Wingdings" w:char="00A8"/>
            </w:r>
          </w:p>
        </w:tc>
      </w:tr>
      <w:tr w14:paraId="6B646C47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310" w:type="pct"/>
            <w:vMerge w:val="restart"/>
            <w:vAlign w:val="center"/>
          </w:tcPr>
          <w:p w14:paraId="3D9E999F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风险预测与评价</w:t>
            </w:r>
          </w:p>
        </w:tc>
        <w:tc>
          <w:tcPr>
            <w:tcW w:w="670" w:type="pct"/>
            <w:vMerge w:val="restart"/>
            <w:vAlign w:val="center"/>
          </w:tcPr>
          <w:p w14:paraId="64DDAAF4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大气</w:t>
            </w:r>
          </w:p>
        </w:tc>
        <w:tc>
          <w:tcPr>
            <w:tcW w:w="1079" w:type="pct"/>
            <w:gridSpan w:val="3"/>
            <w:vAlign w:val="center"/>
          </w:tcPr>
          <w:p w14:paraId="427EE29E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预测模型</w:t>
            </w:r>
          </w:p>
        </w:tc>
        <w:tc>
          <w:tcPr>
            <w:tcW w:w="918" w:type="pct"/>
            <w:gridSpan w:val="4"/>
            <w:vAlign w:val="center"/>
          </w:tcPr>
          <w:p w14:paraId="6A7D4A3D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SLAB</w:t>
            </w:r>
            <w:r>
              <w:rPr>
                <w:rFonts w:hint="default" w:ascii="Times New Roman" w:hAnsi="Times New Roman" w:eastAsia="宋体" w:cs="Times New Roman"/>
              </w:rPr>
              <w:sym w:font="Wingdings" w:char="00A8"/>
            </w:r>
          </w:p>
        </w:tc>
        <w:tc>
          <w:tcPr>
            <w:tcW w:w="995" w:type="pct"/>
            <w:gridSpan w:val="4"/>
            <w:vAlign w:val="center"/>
          </w:tcPr>
          <w:p w14:paraId="5B1372DE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AFTOX</w:t>
            </w:r>
            <w:r>
              <w:rPr>
                <w:rFonts w:hint="default" w:ascii="Times New Roman" w:hAnsi="Times New Roman" w:eastAsia="宋体" w:cs="Times New Roman"/>
              </w:rPr>
              <w:sym w:font="Wingdings" w:char="00A8"/>
            </w:r>
          </w:p>
        </w:tc>
        <w:tc>
          <w:tcPr>
            <w:tcW w:w="1026" w:type="pct"/>
            <w:gridSpan w:val="4"/>
            <w:vAlign w:val="center"/>
          </w:tcPr>
          <w:p w14:paraId="5D7A2B8B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其他</w:t>
            </w:r>
            <w:r>
              <w:rPr>
                <w:rFonts w:hint="default" w:ascii="Times New Roman" w:hAnsi="Times New Roman" w:eastAsia="宋体" w:cs="Times New Roman"/>
              </w:rPr>
              <w:sym w:font="Wingdings" w:char="00A8"/>
            </w:r>
          </w:p>
        </w:tc>
      </w:tr>
      <w:tr w14:paraId="04488A4C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0" w:type="auto"/>
            <w:vMerge w:val="continue"/>
            <w:vAlign w:val="center"/>
          </w:tcPr>
          <w:p w14:paraId="741EFA1A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0" w:type="auto"/>
            <w:vMerge w:val="continue"/>
            <w:vAlign w:val="center"/>
          </w:tcPr>
          <w:p w14:paraId="57F6A217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1079" w:type="pct"/>
            <w:gridSpan w:val="3"/>
            <w:vMerge w:val="restart"/>
            <w:vAlign w:val="center"/>
          </w:tcPr>
          <w:p w14:paraId="6B386BE2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预测结果</w:t>
            </w:r>
          </w:p>
        </w:tc>
        <w:tc>
          <w:tcPr>
            <w:tcW w:w="2940" w:type="pct"/>
            <w:gridSpan w:val="12"/>
            <w:vAlign w:val="center"/>
          </w:tcPr>
          <w:p w14:paraId="0B96379B">
            <w:pPr>
              <w:pStyle w:val="66"/>
              <w:rPr>
                <w:rFonts w:hint="default" w:ascii="Times New Roman" w:hAnsi="Times New Roman" w:eastAsia="宋体" w:cs="Times New Roman"/>
                <w:u w:val="single"/>
              </w:rPr>
            </w:pPr>
            <w:r>
              <w:rPr>
                <w:rFonts w:hint="default" w:ascii="Times New Roman" w:hAnsi="Times New Roman" w:eastAsia="宋体" w:cs="Times New Roman"/>
              </w:rPr>
              <w:t>大气毒性终点浓度-1 最大影响范围</w:t>
            </w:r>
            <w:r>
              <w:rPr>
                <w:rFonts w:hint="default" w:ascii="Times New Roman" w:hAnsi="Times New Roman" w:eastAsia="宋体" w:cs="Times New Roman"/>
                <w:u w:val="single"/>
              </w:rPr>
              <w:t xml:space="preserve">     </w:t>
            </w:r>
            <w:r>
              <w:rPr>
                <w:rFonts w:hint="default" w:ascii="Times New Roman" w:hAnsi="Times New Roman" w:eastAsia="宋体" w:cs="Times New Roman"/>
              </w:rPr>
              <w:t>m</w:t>
            </w:r>
          </w:p>
        </w:tc>
      </w:tr>
      <w:tr w14:paraId="1F37676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0" w:type="auto"/>
            <w:vMerge w:val="continue"/>
            <w:vAlign w:val="center"/>
          </w:tcPr>
          <w:p w14:paraId="4C65388E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0" w:type="auto"/>
            <w:vMerge w:val="continue"/>
            <w:vAlign w:val="center"/>
          </w:tcPr>
          <w:p w14:paraId="2FA861D8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0" w:type="auto"/>
            <w:gridSpan w:val="3"/>
            <w:vMerge w:val="continue"/>
            <w:vAlign w:val="center"/>
          </w:tcPr>
          <w:p w14:paraId="496E11E8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2940" w:type="pct"/>
            <w:gridSpan w:val="12"/>
            <w:vAlign w:val="center"/>
          </w:tcPr>
          <w:p w14:paraId="43D18FC0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大气毒性终点浓度-2 最大影响范围</w:t>
            </w:r>
            <w:r>
              <w:rPr>
                <w:rFonts w:hint="default" w:ascii="Times New Roman" w:hAnsi="Times New Roman" w:eastAsia="宋体" w:cs="Times New Roman"/>
                <w:u w:val="single"/>
              </w:rPr>
              <w:t xml:space="preserve">     </w:t>
            </w:r>
            <w:r>
              <w:rPr>
                <w:rFonts w:hint="default" w:ascii="Times New Roman" w:hAnsi="Times New Roman" w:eastAsia="宋体" w:cs="Times New Roman"/>
              </w:rPr>
              <w:t>m</w:t>
            </w:r>
          </w:p>
        </w:tc>
      </w:tr>
      <w:tr w14:paraId="4D4F1253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0" w:type="auto"/>
            <w:vMerge w:val="continue"/>
            <w:vAlign w:val="center"/>
          </w:tcPr>
          <w:p w14:paraId="617A650E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670" w:type="pct"/>
            <w:vAlign w:val="center"/>
          </w:tcPr>
          <w:p w14:paraId="5EDF5521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地表水</w:t>
            </w:r>
          </w:p>
        </w:tc>
        <w:tc>
          <w:tcPr>
            <w:tcW w:w="4019" w:type="pct"/>
            <w:gridSpan w:val="15"/>
            <w:vAlign w:val="center"/>
          </w:tcPr>
          <w:p w14:paraId="0A1E2F79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最近敏感目标</w:t>
            </w:r>
            <w:r>
              <w:rPr>
                <w:rFonts w:hint="default" w:ascii="Times New Roman" w:hAnsi="Times New Roman" w:eastAsia="宋体" w:cs="Times New Roman"/>
                <w:u w:val="single"/>
              </w:rPr>
              <w:t xml:space="preserve">       </w:t>
            </w:r>
            <w:r>
              <w:rPr>
                <w:rFonts w:hint="default" w:ascii="Times New Roman" w:hAnsi="Times New Roman" w:eastAsia="宋体" w:cs="Times New Roman"/>
              </w:rPr>
              <w:t>，到达时间</w:t>
            </w:r>
            <w:r>
              <w:rPr>
                <w:rFonts w:hint="default" w:ascii="Times New Roman" w:hAnsi="Times New Roman" w:eastAsia="宋体" w:cs="Times New Roman"/>
                <w:u w:val="single"/>
              </w:rPr>
              <w:t xml:space="preserve">     </w:t>
            </w:r>
            <w:r>
              <w:rPr>
                <w:rFonts w:hint="default" w:ascii="Times New Roman" w:hAnsi="Times New Roman" w:eastAsia="宋体" w:cs="Times New Roman"/>
              </w:rPr>
              <w:t>h</w:t>
            </w:r>
          </w:p>
        </w:tc>
      </w:tr>
      <w:tr w14:paraId="6305DF4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0" w:type="auto"/>
            <w:vMerge w:val="continue"/>
            <w:vAlign w:val="center"/>
          </w:tcPr>
          <w:p w14:paraId="4A284988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670" w:type="pct"/>
            <w:vMerge w:val="restart"/>
            <w:vAlign w:val="center"/>
          </w:tcPr>
          <w:p w14:paraId="5A03FFEE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地下水</w:t>
            </w:r>
          </w:p>
        </w:tc>
        <w:tc>
          <w:tcPr>
            <w:tcW w:w="4019" w:type="pct"/>
            <w:gridSpan w:val="15"/>
            <w:vAlign w:val="center"/>
          </w:tcPr>
          <w:p w14:paraId="4E28A373">
            <w:pPr>
              <w:pStyle w:val="66"/>
              <w:rPr>
                <w:rFonts w:hint="default" w:ascii="Times New Roman" w:hAnsi="Times New Roman" w:eastAsia="宋体" w:cs="Times New Roman"/>
                <w:u w:val="single"/>
              </w:rPr>
            </w:pPr>
            <w:r>
              <w:rPr>
                <w:rFonts w:hint="default" w:ascii="Times New Roman" w:hAnsi="Times New Roman" w:eastAsia="宋体" w:cs="Times New Roman"/>
              </w:rPr>
              <w:t>下游厂区边界到达时间</w:t>
            </w:r>
            <w:r>
              <w:rPr>
                <w:rFonts w:hint="default" w:ascii="Times New Roman" w:hAnsi="Times New Roman" w:eastAsia="宋体" w:cs="Times New Roman"/>
                <w:u w:val="single"/>
              </w:rPr>
              <w:t xml:space="preserve">      </w:t>
            </w:r>
            <w:r>
              <w:rPr>
                <w:rFonts w:hint="default" w:ascii="Times New Roman" w:hAnsi="Times New Roman" w:eastAsia="宋体" w:cs="Times New Roman"/>
              </w:rPr>
              <w:t>d</w:t>
            </w:r>
          </w:p>
        </w:tc>
      </w:tr>
      <w:tr w14:paraId="7313E198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0" w:type="auto"/>
            <w:vMerge w:val="continue"/>
            <w:vAlign w:val="center"/>
          </w:tcPr>
          <w:p w14:paraId="6B35A8D3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0" w:type="auto"/>
            <w:vMerge w:val="continue"/>
            <w:vAlign w:val="center"/>
          </w:tcPr>
          <w:p w14:paraId="22C2357D">
            <w:pPr>
              <w:pStyle w:val="66"/>
              <w:rPr>
                <w:rFonts w:hint="default" w:ascii="Times New Roman" w:hAnsi="Times New Roman" w:eastAsia="宋体" w:cs="Times New Roman"/>
              </w:rPr>
            </w:pPr>
          </w:p>
        </w:tc>
        <w:tc>
          <w:tcPr>
            <w:tcW w:w="4019" w:type="pct"/>
            <w:gridSpan w:val="15"/>
            <w:vAlign w:val="center"/>
          </w:tcPr>
          <w:p w14:paraId="2DF28251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最近环境敏感目标</w:t>
            </w:r>
            <w:r>
              <w:rPr>
                <w:rFonts w:hint="default" w:ascii="Times New Roman" w:hAnsi="Times New Roman" w:eastAsia="宋体" w:cs="Times New Roman"/>
                <w:u w:val="single"/>
              </w:rPr>
              <w:t xml:space="preserve">      </w:t>
            </w:r>
            <w:r>
              <w:rPr>
                <w:rFonts w:hint="default" w:ascii="Times New Roman" w:hAnsi="Times New Roman" w:eastAsia="宋体" w:cs="Times New Roman"/>
              </w:rPr>
              <w:t>，到达时间</w:t>
            </w:r>
            <w:r>
              <w:rPr>
                <w:rFonts w:hint="default" w:ascii="Times New Roman" w:hAnsi="Times New Roman" w:eastAsia="宋体" w:cs="Times New Roman"/>
                <w:u w:val="single"/>
              </w:rPr>
              <w:t xml:space="preserve">     </w:t>
            </w:r>
            <w:r>
              <w:rPr>
                <w:rFonts w:hint="default" w:ascii="Times New Roman" w:hAnsi="Times New Roman" w:eastAsia="宋体" w:cs="Times New Roman"/>
              </w:rPr>
              <w:t>d</w:t>
            </w:r>
          </w:p>
        </w:tc>
      </w:tr>
      <w:tr w14:paraId="27E536E6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980" w:type="pct"/>
            <w:gridSpan w:val="2"/>
            <w:vAlign w:val="center"/>
          </w:tcPr>
          <w:p w14:paraId="78ED68D8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重点风险防范措施</w:t>
            </w:r>
          </w:p>
        </w:tc>
        <w:tc>
          <w:tcPr>
            <w:tcW w:w="4019" w:type="pct"/>
            <w:gridSpan w:val="15"/>
            <w:vAlign w:val="center"/>
          </w:tcPr>
          <w:p w14:paraId="6D361AA8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存储区地面采取防渗措施，四周设置围堰，配备消防器材，加强风险管理</w:t>
            </w:r>
          </w:p>
        </w:tc>
      </w:tr>
      <w:tr w14:paraId="0C26DFE0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980" w:type="pct"/>
            <w:gridSpan w:val="2"/>
            <w:vAlign w:val="center"/>
          </w:tcPr>
          <w:p w14:paraId="59704184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评价结论与建议</w:t>
            </w:r>
          </w:p>
        </w:tc>
        <w:tc>
          <w:tcPr>
            <w:tcW w:w="4019" w:type="pct"/>
            <w:gridSpan w:val="15"/>
            <w:vAlign w:val="center"/>
          </w:tcPr>
          <w:p w14:paraId="4D98D692">
            <w:pPr>
              <w:pStyle w:val="66"/>
              <w:rPr>
                <w:rFonts w:hint="default" w:ascii="Times New Roman" w:hAnsi="Times New Roman" w:eastAsia="宋体" w:cs="Times New Roman"/>
                <w:smallCaps/>
              </w:rPr>
            </w:pPr>
            <w:r>
              <w:rPr>
                <w:rFonts w:hint="default" w:ascii="Times New Roman" w:hAnsi="Times New Roman" w:eastAsia="宋体" w:cs="Times New Roman"/>
                <w:lang w:val="en-US" w:eastAsia="zh-CN"/>
              </w:rPr>
              <w:t>项目运营期，企业要认真落实并严格执行本报告中关于风险防范等方面的措施，加强风险管理，杜绝违章操作，完善各类安全设备、设施，建立相应的风险管理制度和应急救援预案，严格执行并遵守风险管理制度和安全生产操作规程，如此可以使本项目的环境风险值极大程度降低，使本项目的环境风险达到可接受水平。在此前提下，从环境风险角度分析，本项目运营具备可行性。</w:t>
            </w:r>
          </w:p>
        </w:tc>
      </w:tr>
      <w:tr w14:paraId="20CBCAE7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000" w:type="pct"/>
            <w:gridSpan w:val="17"/>
            <w:vAlign w:val="center"/>
          </w:tcPr>
          <w:p w14:paraId="44795EF4">
            <w:pPr>
              <w:pStyle w:val="66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注：“</w:t>
            </w:r>
            <w:r>
              <w:rPr>
                <w:rFonts w:hint="default" w:ascii="Times New Roman" w:hAnsi="Times New Roman" w:eastAsia="宋体" w:cs="Times New Roman"/>
              </w:rPr>
              <w:sym w:font="Wingdings" w:char="00A8"/>
            </w:r>
            <w:r>
              <w:rPr>
                <w:rFonts w:hint="default" w:ascii="Times New Roman" w:hAnsi="Times New Roman" w:eastAsia="宋体" w:cs="Times New Roman"/>
              </w:rPr>
              <w:t>”为勾选项， “</w:t>
            </w:r>
            <w:r>
              <w:rPr>
                <w:rFonts w:hint="default" w:ascii="Times New Roman" w:hAnsi="Times New Roman" w:eastAsia="宋体" w:cs="Times New Roman"/>
                <w:u w:val="single"/>
              </w:rPr>
              <w:t xml:space="preserve">    </w:t>
            </w:r>
            <w:r>
              <w:rPr>
                <w:rFonts w:hint="default" w:ascii="Times New Roman" w:hAnsi="Times New Roman" w:eastAsia="宋体" w:cs="Times New Roman"/>
              </w:rPr>
              <w:t>”为内容填写项</w:t>
            </w:r>
          </w:p>
        </w:tc>
      </w:tr>
    </w:tbl>
    <w:p w14:paraId="19CB6839">
      <w:pPr>
        <w:rPr>
          <w:rFonts w:hint="eastAsia"/>
          <w:lang w:val="en-US" w:eastAsia="zh-CN"/>
        </w:rPr>
      </w:pPr>
    </w:p>
    <w:p w14:paraId="7814186D">
      <w:pPr>
        <w:pStyle w:val="98"/>
        <w:rPr>
          <w:rFonts w:hint="eastAsia" w:ascii="Times New Roman" w:hAnsi="Times New Roman" w:eastAsia="宋体" w:cs="Times New Roman"/>
          <w:lang w:val="en-US" w:eastAsia="zh-CN"/>
        </w:rPr>
      </w:pPr>
      <w:r>
        <w:rPr>
          <w:rFonts w:hint="eastAsia" w:ascii="Times New Roman" w:hAnsi="Times New Roman" w:eastAsia="宋体" w:cs="Times New Roman"/>
          <w:lang w:val="en-US" w:eastAsia="zh-CN"/>
        </w:rPr>
        <w:t>附表5声环境影响评价自查表</w:t>
      </w:r>
    </w:p>
    <w:tbl>
      <w:tblPr>
        <w:tblStyle w:val="37"/>
        <w:tblW w:w="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44"/>
        <w:gridCol w:w="1381"/>
        <w:gridCol w:w="1050"/>
        <w:gridCol w:w="270"/>
        <w:gridCol w:w="885"/>
        <w:gridCol w:w="872"/>
        <w:gridCol w:w="88"/>
        <w:gridCol w:w="1027"/>
        <w:gridCol w:w="533"/>
        <w:gridCol w:w="411"/>
        <w:gridCol w:w="189"/>
        <w:gridCol w:w="1071"/>
      </w:tblGrid>
      <w:tr w14:paraId="0AEBA7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</w:trPr>
        <w:tc>
          <w:tcPr>
            <w:tcW w:w="2325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50A273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工作内容</w:t>
            </w:r>
          </w:p>
        </w:tc>
        <w:tc>
          <w:tcPr>
            <w:tcW w:w="6396" w:type="dxa"/>
            <w:gridSpan w:val="10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E36C89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自查项目</w:t>
            </w:r>
          </w:p>
        </w:tc>
      </w:tr>
      <w:tr w14:paraId="4BAB59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</w:trPr>
        <w:tc>
          <w:tcPr>
            <w:tcW w:w="944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D1F8FD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评价等级与范围</w:t>
            </w:r>
          </w:p>
        </w:tc>
        <w:tc>
          <w:tcPr>
            <w:tcW w:w="13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DA07EC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评价等级</w:t>
            </w:r>
          </w:p>
        </w:tc>
        <w:tc>
          <w:tcPr>
            <w:tcW w:w="6396" w:type="dxa"/>
            <w:gridSpan w:val="10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89F89C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一级</w:t>
            </w:r>
            <w:r>
              <w:rPr>
                <w:sz w:val="21"/>
                <w:szCs w:val="21"/>
              </w:rPr>
              <w:sym w:font="Wingdings" w:char="F0A8"/>
            </w:r>
            <w:r>
              <w:rPr>
                <w:sz w:val="21"/>
                <w:szCs w:val="21"/>
              </w:rPr>
              <w:t xml:space="preserve">                  </w:t>
            </w:r>
            <w:r>
              <w:rPr>
                <w:rFonts w:hint="eastAsia"/>
                <w:sz w:val="21"/>
                <w:szCs w:val="21"/>
              </w:rPr>
              <w:t>二级</w:t>
            </w:r>
            <w:r>
              <w:rPr>
                <w:sz w:val="21"/>
                <w:szCs w:val="21"/>
              </w:rPr>
              <w:sym w:font="Wingdings" w:char="00A8"/>
            </w:r>
            <w:r>
              <w:rPr>
                <w:sz w:val="21"/>
                <w:szCs w:val="21"/>
              </w:rPr>
              <w:t xml:space="preserve">                   </w:t>
            </w:r>
            <w:r>
              <w:rPr>
                <w:rFonts w:hint="eastAsia"/>
                <w:sz w:val="21"/>
                <w:szCs w:val="21"/>
              </w:rPr>
              <w:t>三级</w:t>
            </w:r>
            <w:r>
              <w:rPr>
                <w:sz w:val="21"/>
                <w:szCs w:val="21"/>
              </w:rPr>
              <w:sym w:font="Wingdings" w:char="00FE"/>
            </w:r>
          </w:p>
        </w:tc>
      </w:tr>
      <w:tr w14:paraId="2CED36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</w:trPr>
        <w:tc>
          <w:tcPr>
            <w:tcW w:w="872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1447D0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sz w:val="21"/>
                <w:szCs w:val="21"/>
              </w:rPr>
            </w:pPr>
          </w:p>
        </w:tc>
        <w:tc>
          <w:tcPr>
            <w:tcW w:w="13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DDFCD4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评价范围</w:t>
            </w:r>
          </w:p>
        </w:tc>
        <w:tc>
          <w:tcPr>
            <w:tcW w:w="6396" w:type="dxa"/>
            <w:gridSpan w:val="10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538E34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200m</w:t>
            </w:r>
            <w:r>
              <w:rPr>
                <w:sz w:val="21"/>
                <w:szCs w:val="21"/>
              </w:rPr>
              <w:sym w:font="Wingdings" w:char="F0FE"/>
            </w:r>
            <w:r>
              <w:rPr>
                <w:sz w:val="21"/>
                <w:szCs w:val="21"/>
              </w:rPr>
              <w:t xml:space="preserve">              </w:t>
            </w:r>
            <w:r>
              <w:rPr>
                <w:rFonts w:hint="eastAsia"/>
                <w:sz w:val="21"/>
                <w:szCs w:val="21"/>
              </w:rPr>
              <w:t>大于</w:t>
            </w:r>
            <w:r>
              <w:rPr>
                <w:sz w:val="21"/>
                <w:szCs w:val="21"/>
              </w:rPr>
              <w:t xml:space="preserve"> 200 m□             </w:t>
            </w:r>
            <w:r>
              <w:rPr>
                <w:rFonts w:hint="eastAsia"/>
                <w:sz w:val="21"/>
                <w:szCs w:val="21"/>
              </w:rPr>
              <w:t>小于</w:t>
            </w:r>
            <w:r>
              <w:rPr>
                <w:sz w:val="21"/>
                <w:szCs w:val="21"/>
              </w:rPr>
              <w:t>200m□</w:t>
            </w:r>
          </w:p>
        </w:tc>
      </w:tr>
      <w:tr w14:paraId="7ECCF6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</w:trPr>
        <w:tc>
          <w:tcPr>
            <w:tcW w:w="9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24ACAB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评价因子</w:t>
            </w:r>
          </w:p>
        </w:tc>
        <w:tc>
          <w:tcPr>
            <w:tcW w:w="13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6CC18B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评价因子</w:t>
            </w:r>
          </w:p>
        </w:tc>
        <w:tc>
          <w:tcPr>
            <w:tcW w:w="6396" w:type="dxa"/>
            <w:gridSpan w:val="10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E61AF6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等效连续</w:t>
            </w:r>
            <w:r>
              <w:rPr>
                <w:sz w:val="21"/>
                <w:szCs w:val="21"/>
              </w:rPr>
              <w:t>A</w:t>
            </w:r>
            <w:r>
              <w:rPr>
                <w:rFonts w:hint="eastAsia"/>
                <w:sz w:val="21"/>
                <w:szCs w:val="21"/>
              </w:rPr>
              <w:t>声级</w:t>
            </w:r>
            <w:r>
              <w:rPr>
                <w:sz w:val="21"/>
                <w:szCs w:val="21"/>
              </w:rPr>
              <w:sym w:font="Wingdings" w:char="F0FE"/>
            </w:r>
            <w:r>
              <w:rPr>
                <w:sz w:val="21"/>
                <w:szCs w:val="21"/>
              </w:rPr>
              <w:t xml:space="preserve">     </w:t>
            </w:r>
            <w:r>
              <w:rPr>
                <w:rFonts w:hint="eastAsia"/>
                <w:sz w:val="21"/>
                <w:szCs w:val="21"/>
              </w:rPr>
              <w:t>最大</w:t>
            </w:r>
            <w:r>
              <w:rPr>
                <w:sz w:val="21"/>
                <w:szCs w:val="21"/>
              </w:rPr>
              <w:t>A</w:t>
            </w:r>
            <w:r>
              <w:rPr>
                <w:rFonts w:hint="eastAsia"/>
                <w:sz w:val="21"/>
                <w:szCs w:val="21"/>
              </w:rPr>
              <w:t>声级</w:t>
            </w:r>
            <w:r>
              <w:rPr>
                <w:sz w:val="21"/>
                <w:szCs w:val="21"/>
              </w:rPr>
              <w:t xml:space="preserve">□   </w:t>
            </w:r>
            <w:r>
              <w:rPr>
                <w:rFonts w:hint="eastAsia"/>
                <w:sz w:val="21"/>
                <w:szCs w:val="21"/>
              </w:rPr>
              <w:t>计权等效连续感觉噪声级</w:t>
            </w:r>
            <w:r>
              <w:rPr>
                <w:sz w:val="21"/>
                <w:szCs w:val="21"/>
              </w:rPr>
              <w:t>□</w:t>
            </w:r>
          </w:p>
        </w:tc>
      </w:tr>
      <w:tr w14:paraId="0806F6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</w:trPr>
        <w:tc>
          <w:tcPr>
            <w:tcW w:w="9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4763AF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评价标准</w:t>
            </w:r>
          </w:p>
        </w:tc>
        <w:tc>
          <w:tcPr>
            <w:tcW w:w="13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65E1A5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评价标准</w:t>
            </w:r>
          </w:p>
        </w:tc>
        <w:tc>
          <w:tcPr>
            <w:tcW w:w="6396" w:type="dxa"/>
            <w:gridSpan w:val="10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B800E2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国家标准</w:t>
            </w:r>
            <w:r>
              <w:rPr>
                <w:sz w:val="21"/>
                <w:szCs w:val="21"/>
              </w:rPr>
              <w:sym w:font="Wingdings" w:char="F0FE"/>
            </w:r>
            <w:r>
              <w:rPr>
                <w:sz w:val="21"/>
                <w:szCs w:val="21"/>
              </w:rPr>
              <w:t xml:space="preserve">        </w:t>
            </w:r>
            <w:r>
              <w:rPr>
                <w:rFonts w:hint="eastAsia"/>
                <w:sz w:val="21"/>
                <w:szCs w:val="21"/>
              </w:rPr>
              <w:t>地方标准</w:t>
            </w:r>
            <w:r>
              <w:rPr>
                <w:sz w:val="21"/>
                <w:szCs w:val="21"/>
              </w:rPr>
              <w:t xml:space="preserve">□        </w:t>
            </w:r>
            <w:r>
              <w:rPr>
                <w:rFonts w:hint="eastAsia"/>
                <w:sz w:val="21"/>
                <w:szCs w:val="21"/>
              </w:rPr>
              <w:t>国外标准</w:t>
            </w:r>
            <w:r>
              <w:rPr>
                <w:sz w:val="21"/>
                <w:szCs w:val="21"/>
              </w:rPr>
              <w:t>□</w:t>
            </w:r>
          </w:p>
        </w:tc>
      </w:tr>
      <w:tr w14:paraId="1D259B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</w:trPr>
        <w:tc>
          <w:tcPr>
            <w:tcW w:w="944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FB51FE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现状评价</w:t>
            </w:r>
          </w:p>
        </w:tc>
        <w:tc>
          <w:tcPr>
            <w:tcW w:w="13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B305CA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环境功能区</w:t>
            </w:r>
          </w:p>
        </w:tc>
        <w:tc>
          <w:tcPr>
            <w:tcW w:w="10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74B68D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0</w:t>
            </w:r>
            <w:r>
              <w:rPr>
                <w:rFonts w:hint="eastAsia"/>
                <w:sz w:val="21"/>
                <w:szCs w:val="21"/>
              </w:rPr>
              <w:t>类区</w:t>
            </w:r>
            <w:r>
              <w:rPr>
                <w:sz w:val="21"/>
                <w:szCs w:val="21"/>
              </w:rPr>
              <w:t>□</w:t>
            </w:r>
          </w:p>
        </w:tc>
        <w:tc>
          <w:tcPr>
            <w:tcW w:w="1155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581475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rFonts w:hint="eastAsia" w:eastAsia="宋体"/>
                <w:sz w:val="21"/>
                <w:szCs w:val="21"/>
                <w:lang w:eastAsia="zh-CN"/>
              </w:rPr>
            </w:pPr>
            <w:r>
              <w:rPr>
                <w:sz w:val="21"/>
                <w:szCs w:val="21"/>
              </w:rPr>
              <w:t>1</w:t>
            </w:r>
            <w:r>
              <w:rPr>
                <w:rFonts w:hint="eastAsia"/>
                <w:sz w:val="21"/>
                <w:szCs w:val="21"/>
              </w:rPr>
              <w:t>类区</w:t>
            </w:r>
            <w:r>
              <w:rPr>
                <w:rFonts w:hint="eastAsia"/>
                <w:sz w:val="21"/>
                <w:szCs w:val="21"/>
                <w:lang w:eastAsia="zh-CN"/>
              </w:rPr>
              <w:t>□</w:t>
            </w:r>
          </w:p>
        </w:tc>
        <w:tc>
          <w:tcPr>
            <w:tcW w:w="96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9F16B9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2</w:t>
            </w:r>
            <w:r>
              <w:rPr>
                <w:rFonts w:hint="eastAsia"/>
                <w:sz w:val="21"/>
                <w:szCs w:val="21"/>
              </w:rPr>
              <w:t>类区</w:t>
            </w:r>
            <w:r>
              <w:rPr>
                <w:sz w:val="21"/>
                <w:szCs w:val="21"/>
              </w:rPr>
              <w:sym w:font="Wingdings" w:char="00A8"/>
            </w:r>
          </w:p>
        </w:tc>
        <w:tc>
          <w:tcPr>
            <w:tcW w:w="10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CA05D5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rFonts w:hint="eastAsia" w:eastAsia="宋体"/>
                <w:sz w:val="21"/>
                <w:szCs w:val="21"/>
                <w:lang w:eastAsia="zh-CN"/>
              </w:rPr>
            </w:pPr>
            <w:r>
              <w:rPr>
                <w:sz w:val="21"/>
                <w:szCs w:val="21"/>
              </w:rPr>
              <w:t>3</w:t>
            </w:r>
            <w:r>
              <w:rPr>
                <w:rFonts w:hint="eastAsia"/>
                <w:sz w:val="21"/>
                <w:szCs w:val="21"/>
              </w:rPr>
              <w:t>类区</w:t>
            </w:r>
            <w:r>
              <w:rPr>
                <w:rFonts w:hint="eastAsia"/>
                <w:sz w:val="21"/>
                <w:szCs w:val="21"/>
                <w:lang w:eastAsia="zh-CN"/>
              </w:rPr>
              <w:t>☑</w:t>
            </w:r>
          </w:p>
        </w:tc>
        <w:tc>
          <w:tcPr>
            <w:tcW w:w="1133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53DE10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4a</w:t>
            </w:r>
            <w:r>
              <w:rPr>
                <w:rFonts w:hint="eastAsia"/>
                <w:sz w:val="21"/>
                <w:szCs w:val="21"/>
              </w:rPr>
              <w:t>类区</w:t>
            </w:r>
            <w:r>
              <w:rPr>
                <w:sz w:val="21"/>
                <w:szCs w:val="21"/>
              </w:rPr>
              <w:t>□</w:t>
            </w:r>
          </w:p>
        </w:tc>
        <w:tc>
          <w:tcPr>
            <w:tcW w:w="107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9C1EF7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4b</w:t>
            </w:r>
            <w:r>
              <w:rPr>
                <w:rFonts w:hint="eastAsia"/>
                <w:sz w:val="21"/>
                <w:szCs w:val="21"/>
              </w:rPr>
              <w:t>类区</w:t>
            </w:r>
            <w:r>
              <w:rPr>
                <w:sz w:val="21"/>
                <w:szCs w:val="21"/>
              </w:rPr>
              <w:t>□</w:t>
            </w:r>
          </w:p>
        </w:tc>
      </w:tr>
      <w:tr w14:paraId="1626ED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</w:trPr>
        <w:tc>
          <w:tcPr>
            <w:tcW w:w="872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69BDC9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sz w:val="21"/>
                <w:szCs w:val="21"/>
              </w:rPr>
            </w:pPr>
          </w:p>
        </w:tc>
        <w:tc>
          <w:tcPr>
            <w:tcW w:w="13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581C22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评价年度</w:t>
            </w:r>
          </w:p>
        </w:tc>
        <w:tc>
          <w:tcPr>
            <w:tcW w:w="132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F14457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初期</w:t>
            </w:r>
            <w:r>
              <w:rPr>
                <w:sz w:val="21"/>
                <w:szCs w:val="21"/>
              </w:rPr>
              <w:sym w:font="Wingdings" w:char="F0FE"/>
            </w:r>
          </w:p>
        </w:tc>
        <w:tc>
          <w:tcPr>
            <w:tcW w:w="1845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7E7E0E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近期</w:t>
            </w:r>
            <w:r>
              <w:rPr>
                <w:sz w:val="21"/>
                <w:szCs w:val="21"/>
              </w:rPr>
              <w:sym w:font="Wingdings" w:char="F0A8"/>
            </w:r>
          </w:p>
        </w:tc>
        <w:tc>
          <w:tcPr>
            <w:tcW w:w="156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1ACD3A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中期</w:t>
            </w:r>
            <w:r>
              <w:rPr>
                <w:sz w:val="21"/>
                <w:szCs w:val="21"/>
              </w:rPr>
              <w:sym w:font="Wingdings" w:char="F0A8"/>
            </w:r>
          </w:p>
        </w:tc>
        <w:tc>
          <w:tcPr>
            <w:tcW w:w="1671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9150B8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远期</w:t>
            </w:r>
            <w:r>
              <w:rPr>
                <w:sz w:val="21"/>
                <w:szCs w:val="21"/>
              </w:rPr>
              <w:sym w:font="Wingdings" w:char="F0A8"/>
            </w:r>
          </w:p>
        </w:tc>
      </w:tr>
      <w:tr w14:paraId="7240A5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</w:trPr>
        <w:tc>
          <w:tcPr>
            <w:tcW w:w="872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C9E569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sz w:val="21"/>
                <w:szCs w:val="21"/>
              </w:rPr>
            </w:pPr>
          </w:p>
        </w:tc>
        <w:tc>
          <w:tcPr>
            <w:tcW w:w="13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3DE9B5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现状调查方法</w:t>
            </w:r>
          </w:p>
        </w:tc>
        <w:tc>
          <w:tcPr>
            <w:tcW w:w="6396" w:type="dxa"/>
            <w:gridSpan w:val="10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C8380C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现场实测法</w:t>
            </w:r>
            <w:r>
              <w:rPr>
                <w:sz w:val="21"/>
                <w:szCs w:val="21"/>
              </w:rPr>
              <w:sym w:font="Wingdings" w:char="F0FE"/>
            </w:r>
            <w:r>
              <w:rPr>
                <w:sz w:val="21"/>
                <w:szCs w:val="21"/>
              </w:rPr>
              <w:t xml:space="preserve">     </w:t>
            </w:r>
            <w:r>
              <w:rPr>
                <w:rFonts w:hint="eastAsia"/>
                <w:sz w:val="21"/>
                <w:szCs w:val="21"/>
              </w:rPr>
              <w:t>现场实测加模型计算法</w:t>
            </w:r>
            <w:r>
              <w:rPr>
                <w:sz w:val="21"/>
                <w:szCs w:val="21"/>
              </w:rPr>
              <w:t xml:space="preserve">□     </w:t>
            </w:r>
            <w:r>
              <w:rPr>
                <w:rFonts w:hint="eastAsia"/>
                <w:sz w:val="21"/>
                <w:szCs w:val="21"/>
              </w:rPr>
              <w:t>收集资料</w:t>
            </w:r>
            <w:r>
              <w:rPr>
                <w:sz w:val="21"/>
                <w:szCs w:val="21"/>
              </w:rPr>
              <w:t>□</w:t>
            </w:r>
          </w:p>
        </w:tc>
      </w:tr>
      <w:tr w14:paraId="607485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</w:trPr>
        <w:tc>
          <w:tcPr>
            <w:tcW w:w="872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DF29E7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sz w:val="21"/>
                <w:szCs w:val="21"/>
              </w:rPr>
            </w:pPr>
          </w:p>
        </w:tc>
        <w:tc>
          <w:tcPr>
            <w:tcW w:w="13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E2AAC0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现状评价</w:t>
            </w:r>
          </w:p>
        </w:tc>
        <w:tc>
          <w:tcPr>
            <w:tcW w:w="3077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8F4630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达标百分比</w:t>
            </w:r>
          </w:p>
        </w:tc>
        <w:tc>
          <w:tcPr>
            <w:tcW w:w="3319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0E65DC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100%</w:t>
            </w:r>
          </w:p>
        </w:tc>
      </w:tr>
      <w:tr w14:paraId="37AFAE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</w:trPr>
        <w:tc>
          <w:tcPr>
            <w:tcW w:w="9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59E6E1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噪声源</w:t>
            </w:r>
            <w:r>
              <w:rPr>
                <w:sz w:val="21"/>
                <w:szCs w:val="21"/>
              </w:rPr>
              <w:t xml:space="preserve"> </w:t>
            </w:r>
          </w:p>
          <w:p w14:paraId="78305E9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调查</w:t>
            </w:r>
          </w:p>
        </w:tc>
        <w:tc>
          <w:tcPr>
            <w:tcW w:w="13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78CC26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噪声源调查方法</w:t>
            </w:r>
          </w:p>
        </w:tc>
        <w:tc>
          <w:tcPr>
            <w:tcW w:w="6396" w:type="dxa"/>
            <w:gridSpan w:val="10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152098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现场实测</w:t>
            </w:r>
            <w:r>
              <w:rPr>
                <w:sz w:val="21"/>
                <w:szCs w:val="21"/>
              </w:rPr>
              <w:t xml:space="preserve">□      </w:t>
            </w:r>
            <w:r>
              <w:rPr>
                <w:rFonts w:hint="eastAsia"/>
                <w:sz w:val="21"/>
                <w:szCs w:val="21"/>
              </w:rPr>
              <w:t>已有资料</w:t>
            </w:r>
            <w:r>
              <w:rPr>
                <w:sz w:val="21"/>
                <w:szCs w:val="21"/>
              </w:rPr>
              <w:sym w:font="Wingdings" w:char="F0FE"/>
            </w:r>
            <w:r>
              <w:rPr>
                <w:sz w:val="21"/>
                <w:szCs w:val="21"/>
              </w:rPr>
              <w:t xml:space="preserve">      </w:t>
            </w:r>
            <w:r>
              <w:rPr>
                <w:rFonts w:hint="eastAsia"/>
                <w:sz w:val="21"/>
                <w:szCs w:val="21"/>
              </w:rPr>
              <w:t>研究成果</w:t>
            </w:r>
            <w:r>
              <w:rPr>
                <w:sz w:val="21"/>
                <w:szCs w:val="21"/>
              </w:rPr>
              <w:sym w:font="Wingdings" w:char="F0FE"/>
            </w:r>
          </w:p>
        </w:tc>
      </w:tr>
      <w:tr w14:paraId="5B067C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</w:trPr>
        <w:tc>
          <w:tcPr>
            <w:tcW w:w="944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6F91F9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声环境影</w:t>
            </w:r>
          </w:p>
          <w:p w14:paraId="57D5766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响预测与</w:t>
            </w:r>
          </w:p>
          <w:p w14:paraId="54A83E3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评价</w:t>
            </w:r>
          </w:p>
        </w:tc>
        <w:tc>
          <w:tcPr>
            <w:tcW w:w="13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5F5142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预测模型</w:t>
            </w:r>
          </w:p>
        </w:tc>
        <w:tc>
          <w:tcPr>
            <w:tcW w:w="6396" w:type="dxa"/>
            <w:gridSpan w:val="10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AF7CFA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rFonts w:hint="eastAsia" w:eastAsia="宋体"/>
                <w:sz w:val="21"/>
                <w:szCs w:val="21"/>
                <w:lang w:eastAsia="zh-CN"/>
              </w:rPr>
            </w:pPr>
            <w:r>
              <w:rPr>
                <w:rFonts w:hint="eastAsia"/>
                <w:sz w:val="21"/>
                <w:szCs w:val="21"/>
              </w:rPr>
              <w:t>导则推荐模型</w:t>
            </w:r>
            <w:r>
              <w:rPr>
                <w:sz w:val="21"/>
                <w:szCs w:val="21"/>
              </w:rPr>
              <w:sym w:font="Wingdings" w:char="F0FE"/>
            </w:r>
            <w:r>
              <w:rPr>
                <w:sz w:val="21"/>
                <w:szCs w:val="21"/>
              </w:rPr>
              <w:t xml:space="preserve">                   </w:t>
            </w:r>
            <w:r>
              <w:rPr>
                <w:rFonts w:hint="eastAsia"/>
                <w:sz w:val="21"/>
                <w:szCs w:val="21"/>
              </w:rPr>
              <w:t>其他</w:t>
            </w:r>
            <w:r>
              <w:rPr>
                <w:rFonts w:hint="eastAsia"/>
                <w:sz w:val="21"/>
                <w:szCs w:val="21"/>
                <w:lang w:eastAsia="zh-CN"/>
              </w:rPr>
              <w:t>☑</w:t>
            </w:r>
          </w:p>
        </w:tc>
      </w:tr>
      <w:tr w14:paraId="1BBC8F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</w:trPr>
        <w:tc>
          <w:tcPr>
            <w:tcW w:w="872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50CD60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sz w:val="21"/>
                <w:szCs w:val="21"/>
              </w:rPr>
            </w:pPr>
          </w:p>
        </w:tc>
        <w:tc>
          <w:tcPr>
            <w:tcW w:w="13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F1E6F2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预测范围</w:t>
            </w:r>
          </w:p>
        </w:tc>
        <w:tc>
          <w:tcPr>
            <w:tcW w:w="6396" w:type="dxa"/>
            <w:gridSpan w:val="10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4709A8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200m</w:t>
            </w:r>
            <w:r>
              <w:rPr>
                <w:sz w:val="21"/>
                <w:szCs w:val="21"/>
              </w:rPr>
              <w:sym w:font="Wingdings" w:char="F0FE"/>
            </w:r>
            <w:r>
              <w:rPr>
                <w:sz w:val="21"/>
                <w:szCs w:val="21"/>
              </w:rPr>
              <w:t xml:space="preserve">            </w:t>
            </w:r>
            <w:r>
              <w:rPr>
                <w:rFonts w:hint="eastAsia"/>
                <w:sz w:val="21"/>
                <w:szCs w:val="21"/>
              </w:rPr>
              <w:t>大于</w:t>
            </w:r>
            <w:r>
              <w:rPr>
                <w:sz w:val="21"/>
                <w:szCs w:val="21"/>
              </w:rPr>
              <w:t xml:space="preserve">200m□           </w:t>
            </w:r>
            <w:r>
              <w:rPr>
                <w:rFonts w:hint="eastAsia"/>
                <w:sz w:val="21"/>
                <w:szCs w:val="21"/>
              </w:rPr>
              <w:t>小于</w:t>
            </w:r>
            <w:r>
              <w:rPr>
                <w:sz w:val="21"/>
                <w:szCs w:val="21"/>
              </w:rPr>
              <w:t>200m□</w:t>
            </w:r>
          </w:p>
        </w:tc>
      </w:tr>
      <w:tr w14:paraId="582FF0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</w:trPr>
        <w:tc>
          <w:tcPr>
            <w:tcW w:w="872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2035C3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sz w:val="21"/>
                <w:szCs w:val="21"/>
              </w:rPr>
            </w:pPr>
          </w:p>
        </w:tc>
        <w:tc>
          <w:tcPr>
            <w:tcW w:w="13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FC1BCA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预测因子</w:t>
            </w:r>
          </w:p>
        </w:tc>
        <w:tc>
          <w:tcPr>
            <w:tcW w:w="6396" w:type="dxa"/>
            <w:gridSpan w:val="10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A0E927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等效连续</w:t>
            </w:r>
            <w:r>
              <w:rPr>
                <w:sz w:val="21"/>
                <w:szCs w:val="21"/>
              </w:rPr>
              <w:t>A</w:t>
            </w:r>
            <w:r>
              <w:rPr>
                <w:rFonts w:hint="eastAsia"/>
                <w:sz w:val="21"/>
                <w:szCs w:val="21"/>
              </w:rPr>
              <w:t>声级</w:t>
            </w:r>
            <w:r>
              <w:rPr>
                <w:sz w:val="21"/>
                <w:szCs w:val="21"/>
              </w:rPr>
              <w:sym w:font="Wingdings" w:char="F0FE"/>
            </w:r>
            <w:r>
              <w:rPr>
                <w:sz w:val="21"/>
                <w:szCs w:val="21"/>
              </w:rPr>
              <w:t xml:space="preserve">        </w:t>
            </w:r>
            <w:r>
              <w:rPr>
                <w:rFonts w:hint="eastAsia"/>
                <w:sz w:val="21"/>
                <w:szCs w:val="21"/>
              </w:rPr>
              <w:t>最大</w:t>
            </w:r>
            <w:r>
              <w:rPr>
                <w:sz w:val="21"/>
                <w:szCs w:val="21"/>
              </w:rPr>
              <w:t>A</w:t>
            </w:r>
            <w:r>
              <w:rPr>
                <w:rFonts w:hint="eastAsia"/>
                <w:sz w:val="21"/>
                <w:szCs w:val="21"/>
              </w:rPr>
              <w:t>声级</w:t>
            </w:r>
            <w:r>
              <w:rPr>
                <w:sz w:val="21"/>
                <w:szCs w:val="21"/>
              </w:rPr>
              <w:t xml:space="preserve">□        </w:t>
            </w:r>
            <w:r>
              <w:rPr>
                <w:rFonts w:hint="eastAsia"/>
                <w:sz w:val="21"/>
                <w:szCs w:val="21"/>
              </w:rPr>
              <w:t>计权等效连续感觉噪声级</w:t>
            </w:r>
            <w:r>
              <w:rPr>
                <w:sz w:val="21"/>
                <w:szCs w:val="21"/>
              </w:rPr>
              <w:t>□</w:t>
            </w:r>
          </w:p>
        </w:tc>
      </w:tr>
      <w:tr w14:paraId="264197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</w:trPr>
        <w:tc>
          <w:tcPr>
            <w:tcW w:w="872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6102C5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sz w:val="21"/>
                <w:szCs w:val="21"/>
              </w:rPr>
            </w:pPr>
          </w:p>
        </w:tc>
        <w:tc>
          <w:tcPr>
            <w:tcW w:w="13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39B4E4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厂界噪声贡献值</w:t>
            </w:r>
          </w:p>
        </w:tc>
        <w:tc>
          <w:tcPr>
            <w:tcW w:w="6396" w:type="dxa"/>
            <w:gridSpan w:val="10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5EAC5B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达标</w:t>
            </w:r>
            <w:r>
              <w:rPr>
                <w:sz w:val="21"/>
                <w:szCs w:val="21"/>
              </w:rPr>
              <w:sym w:font="Wingdings" w:char="F0FE"/>
            </w:r>
            <w:r>
              <w:rPr>
                <w:sz w:val="21"/>
                <w:szCs w:val="21"/>
              </w:rPr>
              <w:t xml:space="preserve">         </w:t>
            </w:r>
            <w:r>
              <w:rPr>
                <w:rFonts w:hint="eastAsia"/>
                <w:sz w:val="21"/>
                <w:szCs w:val="21"/>
              </w:rPr>
              <w:t>不达标</w:t>
            </w:r>
            <w:r>
              <w:rPr>
                <w:sz w:val="21"/>
                <w:szCs w:val="21"/>
              </w:rPr>
              <w:t>□</w:t>
            </w:r>
          </w:p>
        </w:tc>
      </w:tr>
      <w:tr w14:paraId="11CFE5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</w:trPr>
        <w:tc>
          <w:tcPr>
            <w:tcW w:w="872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1D69E3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sz w:val="21"/>
                <w:szCs w:val="21"/>
              </w:rPr>
            </w:pPr>
          </w:p>
        </w:tc>
        <w:tc>
          <w:tcPr>
            <w:tcW w:w="13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CD6BFB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声环境保护目标处噪声值</w:t>
            </w:r>
          </w:p>
        </w:tc>
        <w:tc>
          <w:tcPr>
            <w:tcW w:w="6396" w:type="dxa"/>
            <w:gridSpan w:val="10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8EF053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达标</w:t>
            </w:r>
            <w:r>
              <w:rPr>
                <w:sz w:val="21"/>
                <w:szCs w:val="21"/>
              </w:rPr>
              <w:sym w:font="Wingdings" w:char="F0FE"/>
            </w:r>
            <w:r>
              <w:rPr>
                <w:sz w:val="21"/>
                <w:szCs w:val="21"/>
              </w:rPr>
              <w:t xml:space="preserve">         </w:t>
            </w:r>
            <w:r>
              <w:rPr>
                <w:rFonts w:hint="eastAsia"/>
                <w:sz w:val="21"/>
                <w:szCs w:val="21"/>
              </w:rPr>
              <w:t>不达标</w:t>
            </w:r>
            <w:r>
              <w:rPr>
                <w:sz w:val="21"/>
                <w:szCs w:val="21"/>
              </w:rPr>
              <w:t>□</w:t>
            </w:r>
          </w:p>
        </w:tc>
      </w:tr>
      <w:tr w14:paraId="299521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</w:trPr>
        <w:tc>
          <w:tcPr>
            <w:tcW w:w="944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5C9346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环境监测计划</w:t>
            </w:r>
          </w:p>
        </w:tc>
        <w:tc>
          <w:tcPr>
            <w:tcW w:w="13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F01FEB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排放监测</w:t>
            </w:r>
          </w:p>
        </w:tc>
        <w:tc>
          <w:tcPr>
            <w:tcW w:w="6396" w:type="dxa"/>
            <w:gridSpan w:val="10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FA9216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厂界监测</w:t>
            </w:r>
            <w:r>
              <w:rPr>
                <w:sz w:val="21"/>
                <w:szCs w:val="21"/>
              </w:rPr>
              <w:sym w:font="Wingdings" w:char="F0FE"/>
            </w:r>
            <w:r>
              <w:rPr>
                <w:sz w:val="21"/>
                <w:szCs w:val="21"/>
              </w:rPr>
              <w:t xml:space="preserve">   </w:t>
            </w:r>
            <w:r>
              <w:rPr>
                <w:rFonts w:hint="eastAsia"/>
                <w:sz w:val="21"/>
                <w:szCs w:val="21"/>
              </w:rPr>
              <w:t>固定位置监测</w:t>
            </w:r>
            <w:r>
              <w:rPr>
                <w:sz w:val="21"/>
                <w:szCs w:val="21"/>
              </w:rPr>
              <w:t xml:space="preserve">□   </w:t>
            </w:r>
            <w:r>
              <w:rPr>
                <w:rFonts w:hint="eastAsia"/>
                <w:sz w:val="21"/>
                <w:szCs w:val="21"/>
              </w:rPr>
              <w:t>自动监测</w:t>
            </w:r>
            <w:r>
              <w:rPr>
                <w:sz w:val="21"/>
                <w:szCs w:val="21"/>
              </w:rPr>
              <w:t xml:space="preserve">□   </w:t>
            </w:r>
            <w:r>
              <w:rPr>
                <w:rFonts w:hint="eastAsia"/>
                <w:sz w:val="21"/>
                <w:szCs w:val="21"/>
              </w:rPr>
              <w:t>手动监测</w:t>
            </w:r>
            <w:r>
              <w:rPr>
                <w:sz w:val="21"/>
                <w:szCs w:val="21"/>
              </w:rPr>
              <w:sym w:font="Wingdings" w:char="F0FE"/>
            </w:r>
            <w:r>
              <w:rPr>
                <w:sz w:val="21"/>
                <w:szCs w:val="21"/>
              </w:rPr>
              <w:t xml:space="preserve">   </w:t>
            </w:r>
            <w:r>
              <w:rPr>
                <w:rFonts w:hint="eastAsia"/>
                <w:sz w:val="21"/>
                <w:szCs w:val="21"/>
              </w:rPr>
              <w:t>无监测</w:t>
            </w:r>
            <w:r>
              <w:rPr>
                <w:sz w:val="21"/>
                <w:szCs w:val="21"/>
              </w:rPr>
              <w:t>□</w:t>
            </w:r>
          </w:p>
        </w:tc>
      </w:tr>
      <w:tr w14:paraId="7CAB84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</w:trPr>
        <w:tc>
          <w:tcPr>
            <w:tcW w:w="872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3C54E7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sz w:val="21"/>
                <w:szCs w:val="21"/>
              </w:rPr>
            </w:pPr>
          </w:p>
        </w:tc>
        <w:tc>
          <w:tcPr>
            <w:tcW w:w="13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3ACA41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声环境保护目标处噪声监测</w:t>
            </w:r>
          </w:p>
        </w:tc>
        <w:tc>
          <w:tcPr>
            <w:tcW w:w="3077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2CEBE6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监测因子：（</w:t>
            </w:r>
            <w:r>
              <w:rPr>
                <w:sz w:val="21"/>
                <w:szCs w:val="21"/>
              </w:rPr>
              <w:t xml:space="preserve"> </w:t>
            </w:r>
            <w:r>
              <w:rPr>
                <w:rFonts w:hint="eastAsia"/>
                <w:sz w:val="21"/>
                <w:szCs w:val="21"/>
              </w:rPr>
              <w:t>）</w:t>
            </w:r>
          </w:p>
        </w:tc>
        <w:tc>
          <w:tcPr>
            <w:tcW w:w="2059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7D3727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监测点位数（</w:t>
            </w:r>
            <w:r>
              <w:rPr>
                <w:sz w:val="21"/>
                <w:szCs w:val="21"/>
              </w:rPr>
              <w:t xml:space="preserve"> </w:t>
            </w:r>
            <w:r>
              <w:rPr>
                <w:rFonts w:hint="eastAsia"/>
                <w:sz w:val="21"/>
                <w:szCs w:val="21"/>
              </w:rPr>
              <w:t>）</w:t>
            </w:r>
          </w:p>
        </w:tc>
        <w:tc>
          <w:tcPr>
            <w:tcW w:w="126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4F4AD6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无监测</w:t>
            </w:r>
            <w:r>
              <w:rPr>
                <w:sz w:val="21"/>
                <w:szCs w:val="21"/>
              </w:rPr>
              <w:sym w:font="Wingdings" w:char="F0FE"/>
            </w:r>
          </w:p>
        </w:tc>
      </w:tr>
      <w:tr w14:paraId="3C10CD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</w:trPr>
        <w:tc>
          <w:tcPr>
            <w:tcW w:w="9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56889B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评价结论</w:t>
            </w:r>
          </w:p>
        </w:tc>
        <w:tc>
          <w:tcPr>
            <w:tcW w:w="13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842337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环境影响</w:t>
            </w:r>
          </w:p>
        </w:tc>
        <w:tc>
          <w:tcPr>
            <w:tcW w:w="6396" w:type="dxa"/>
            <w:gridSpan w:val="10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E8FBD1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可行</w:t>
            </w:r>
            <w:r>
              <w:rPr>
                <w:sz w:val="21"/>
                <w:szCs w:val="21"/>
              </w:rPr>
              <w:sym w:font="Wingdings" w:char="F0FE"/>
            </w:r>
            <w:r>
              <w:rPr>
                <w:sz w:val="21"/>
                <w:szCs w:val="21"/>
              </w:rPr>
              <w:t xml:space="preserve">            </w:t>
            </w:r>
            <w:r>
              <w:rPr>
                <w:rFonts w:hint="eastAsia"/>
                <w:sz w:val="21"/>
                <w:szCs w:val="21"/>
              </w:rPr>
              <w:t>不可行</w:t>
            </w:r>
            <w:r>
              <w:rPr>
                <w:sz w:val="21"/>
                <w:szCs w:val="21"/>
              </w:rPr>
              <w:t>□</w:t>
            </w:r>
          </w:p>
        </w:tc>
      </w:tr>
      <w:tr w14:paraId="21135B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</w:trPr>
        <w:tc>
          <w:tcPr>
            <w:tcW w:w="8721" w:type="dxa"/>
            <w:gridSpan w:val="1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F33353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注：</w:t>
            </w:r>
            <w:r>
              <w:rPr>
                <w:sz w:val="21"/>
                <w:szCs w:val="21"/>
              </w:rPr>
              <w:t>“</w:t>
            </w:r>
            <w:r>
              <w:rPr>
                <w:sz w:val="21"/>
                <w:szCs w:val="21"/>
              </w:rPr>
              <w:sym w:font="Wingdings" w:char="F0A8"/>
            </w:r>
            <w:r>
              <w:rPr>
                <w:sz w:val="21"/>
                <w:szCs w:val="21"/>
              </w:rPr>
              <w:t>”</w:t>
            </w:r>
            <w:r>
              <w:rPr>
                <w:rFonts w:hint="eastAsia"/>
                <w:sz w:val="21"/>
                <w:szCs w:val="21"/>
              </w:rPr>
              <w:t>为勾选项，填</w:t>
            </w:r>
            <w:r>
              <w:rPr>
                <w:sz w:val="21"/>
                <w:szCs w:val="21"/>
              </w:rPr>
              <w:t>“√”</w:t>
            </w:r>
            <w:r>
              <w:rPr>
                <w:rFonts w:hint="eastAsia"/>
                <w:sz w:val="21"/>
                <w:szCs w:val="21"/>
              </w:rPr>
              <w:t>；</w:t>
            </w:r>
            <w:r>
              <w:rPr>
                <w:sz w:val="21"/>
                <w:szCs w:val="21"/>
              </w:rPr>
              <w:t>“</w:t>
            </w:r>
            <w:r>
              <w:rPr>
                <w:rFonts w:hint="eastAsia"/>
                <w:sz w:val="21"/>
                <w:szCs w:val="21"/>
              </w:rPr>
              <w:t>（）</w:t>
            </w:r>
            <w:r>
              <w:rPr>
                <w:sz w:val="21"/>
                <w:szCs w:val="21"/>
              </w:rPr>
              <w:t>”</w:t>
            </w:r>
            <w:r>
              <w:rPr>
                <w:rFonts w:hint="eastAsia"/>
                <w:sz w:val="21"/>
                <w:szCs w:val="21"/>
              </w:rPr>
              <w:t>为内容填写项。</w:t>
            </w:r>
          </w:p>
        </w:tc>
      </w:tr>
    </w:tbl>
    <w:p w14:paraId="3278A25A">
      <w:pPr>
        <w:widowControl/>
        <w:jc w:val="left"/>
        <w:rPr>
          <w:kern w:val="0"/>
        </w:rPr>
        <w:sectPr>
          <w:pgSz w:w="11906" w:h="16838"/>
          <w:pgMar w:top="1440" w:right="1588" w:bottom="1440" w:left="1588" w:header="1021" w:footer="1021" w:gutter="0"/>
          <w:cols w:space="720" w:num="1"/>
        </w:sectPr>
      </w:pPr>
    </w:p>
    <w:p w14:paraId="49CB62FC">
      <w:pPr>
        <w:pStyle w:val="98"/>
        <w:rPr>
          <w:rFonts w:hint="eastAsia" w:ascii="Times New Roman" w:hAnsi="Times New Roman" w:eastAsia="宋体" w:cs="Times New Roman"/>
          <w:lang w:val="en-US" w:eastAsia="zh-CN"/>
        </w:rPr>
      </w:pPr>
      <w:r>
        <w:rPr>
          <w:rFonts w:hint="eastAsia" w:ascii="Times New Roman" w:hAnsi="Times New Roman" w:eastAsia="宋体" w:cs="Times New Roman"/>
          <w:lang w:val="en-US" w:eastAsia="zh-CN"/>
        </w:rPr>
        <w:t>附表6 生态影响评价自查表</w:t>
      </w:r>
    </w:p>
    <w:tbl>
      <w:tblPr>
        <w:tblStyle w:val="37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16"/>
        <w:gridCol w:w="1416"/>
        <w:gridCol w:w="6076"/>
      </w:tblGrid>
      <w:tr w14:paraId="65CF8D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590" w:type="pct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8EFFE9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工作内容</w:t>
            </w:r>
          </w:p>
        </w:tc>
        <w:tc>
          <w:tcPr>
            <w:tcW w:w="341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C0B6EF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自查项目</w:t>
            </w:r>
          </w:p>
        </w:tc>
      </w:tr>
      <w:tr w14:paraId="72624D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795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02D744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生态影响</w:t>
            </w:r>
          </w:p>
          <w:p w14:paraId="31007E7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识别</w:t>
            </w:r>
          </w:p>
        </w:tc>
        <w:tc>
          <w:tcPr>
            <w:tcW w:w="79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10FE7D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生态保护目标</w:t>
            </w:r>
          </w:p>
        </w:tc>
        <w:tc>
          <w:tcPr>
            <w:tcW w:w="341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A54BF0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textAlignment w:val="auto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重要物种□；国家公园□；自然保护区□；自然公园□；世界自然遗产□；生态保护红线□；重要生境□；其他具有重要生态功能、对保护生物多样性具有重要意义的区域□；其他□</w:t>
            </w:r>
          </w:p>
        </w:tc>
      </w:tr>
      <w:tr w14:paraId="6A5360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E2AC4A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sz w:val="18"/>
                <w:szCs w:val="18"/>
              </w:rPr>
            </w:pPr>
          </w:p>
        </w:tc>
        <w:tc>
          <w:tcPr>
            <w:tcW w:w="79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69D6EC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影响方式</w:t>
            </w:r>
          </w:p>
        </w:tc>
        <w:tc>
          <w:tcPr>
            <w:tcW w:w="341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AC476F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textAlignment w:val="auto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工程占用</w:t>
            </w:r>
            <w:r>
              <w:rPr>
                <w:sz w:val="18"/>
                <w:szCs w:val="18"/>
              </w:rPr>
              <w:sym w:font="Wingdings 2" w:char="F052"/>
            </w:r>
            <w:r>
              <w:rPr>
                <w:rFonts w:hint="eastAsia"/>
                <w:sz w:val="18"/>
                <w:szCs w:val="18"/>
              </w:rPr>
              <w:t>；施工活动干扰□；改变环境条件□；其他□</w:t>
            </w:r>
          </w:p>
        </w:tc>
      </w:tr>
      <w:tr w14:paraId="251651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6A937D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sz w:val="18"/>
                <w:szCs w:val="18"/>
              </w:rPr>
            </w:pPr>
          </w:p>
        </w:tc>
        <w:tc>
          <w:tcPr>
            <w:tcW w:w="79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B2255B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评价因子</w:t>
            </w:r>
          </w:p>
        </w:tc>
        <w:tc>
          <w:tcPr>
            <w:tcW w:w="341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144910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textAlignment w:val="auto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物种</w:t>
            </w:r>
            <w:r>
              <w:rPr>
                <w:sz w:val="18"/>
                <w:szCs w:val="18"/>
              </w:rPr>
              <w:sym w:font="Wingdings 2" w:char="F052"/>
            </w:r>
            <w:r>
              <w:rPr>
                <w:rFonts w:hint="eastAsia"/>
                <w:sz w:val="18"/>
                <w:szCs w:val="18"/>
              </w:rPr>
              <w:t>（动物、植物</w:t>
            </w:r>
            <w:r>
              <w:rPr>
                <w:sz w:val="18"/>
                <w:szCs w:val="18"/>
              </w:rPr>
              <w:t xml:space="preserve">                               </w:t>
            </w:r>
            <w:r>
              <w:rPr>
                <w:rFonts w:hint="eastAsia"/>
                <w:sz w:val="18"/>
                <w:szCs w:val="18"/>
              </w:rPr>
              <w:t>）</w:t>
            </w:r>
          </w:p>
          <w:p w14:paraId="138FC62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textAlignment w:val="auto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生境□（</w:t>
            </w:r>
            <w:r>
              <w:rPr>
                <w:sz w:val="18"/>
                <w:szCs w:val="18"/>
              </w:rPr>
              <w:t xml:space="preserve">                                          </w:t>
            </w:r>
            <w:r>
              <w:rPr>
                <w:rFonts w:hint="eastAsia"/>
                <w:sz w:val="18"/>
                <w:szCs w:val="18"/>
              </w:rPr>
              <w:t>）</w:t>
            </w:r>
          </w:p>
          <w:p w14:paraId="0102E87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textAlignment w:val="auto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生物群落□（</w:t>
            </w:r>
            <w:r>
              <w:rPr>
                <w:sz w:val="18"/>
                <w:szCs w:val="18"/>
              </w:rPr>
              <w:t xml:space="preserve">                                      </w:t>
            </w:r>
            <w:r>
              <w:rPr>
                <w:rFonts w:hint="eastAsia"/>
                <w:sz w:val="18"/>
                <w:szCs w:val="18"/>
              </w:rPr>
              <w:t>）</w:t>
            </w:r>
          </w:p>
          <w:p w14:paraId="6C5841C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textAlignment w:val="auto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生态系统</w:t>
            </w:r>
            <w:r>
              <w:rPr>
                <w:sz w:val="18"/>
                <w:szCs w:val="18"/>
              </w:rPr>
              <w:sym w:font="Wingdings 2" w:char="F052"/>
            </w:r>
            <w:r>
              <w:rPr>
                <w:rFonts w:hint="eastAsia"/>
                <w:sz w:val="18"/>
                <w:szCs w:val="18"/>
              </w:rPr>
              <w:t>（生态系统调查</w:t>
            </w:r>
            <w:r>
              <w:rPr>
                <w:sz w:val="18"/>
                <w:szCs w:val="18"/>
              </w:rPr>
              <w:t xml:space="preserve">                         </w:t>
            </w:r>
            <w:r>
              <w:rPr>
                <w:rFonts w:hint="eastAsia"/>
                <w:sz w:val="18"/>
                <w:szCs w:val="18"/>
              </w:rPr>
              <w:t>）</w:t>
            </w:r>
          </w:p>
          <w:p w14:paraId="5BE63C1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textAlignment w:val="auto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生物多样性□（</w:t>
            </w:r>
            <w:r>
              <w:rPr>
                <w:sz w:val="18"/>
                <w:szCs w:val="18"/>
              </w:rPr>
              <w:t xml:space="preserve">                                    </w:t>
            </w:r>
            <w:r>
              <w:rPr>
                <w:rFonts w:hint="eastAsia"/>
                <w:sz w:val="18"/>
                <w:szCs w:val="18"/>
              </w:rPr>
              <w:t>）</w:t>
            </w:r>
          </w:p>
          <w:p w14:paraId="2207144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textAlignment w:val="auto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生态敏感区□（</w:t>
            </w:r>
            <w:r>
              <w:rPr>
                <w:sz w:val="18"/>
                <w:szCs w:val="18"/>
              </w:rPr>
              <w:t xml:space="preserve">                                    </w:t>
            </w:r>
            <w:r>
              <w:rPr>
                <w:rFonts w:hint="eastAsia"/>
                <w:sz w:val="18"/>
                <w:szCs w:val="18"/>
              </w:rPr>
              <w:t>）</w:t>
            </w:r>
          </w:p>
          <w:p w14:paraId="0456E62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textAlignment w:val="auto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自然景观□（</w:t>
            </w:r>
            <w:r>
              <w:rPr>
                <w:sz w:val="18"/>
                <w:szCs w:val="18"/>
              </w:rPr>
              <w:t xml:space="preserve">                                      </w:t>
            </w:r>
            <w:r>
              <w:rPr>
                <w:rFonts w:hint="eastAsia"/>
                <w:sz w:val="18"/>
                <w:szCs w:val="18"/>
              </w:rPr>
              <w:t>）</w:t>
            </w:r>
          </w:p>
          <w:p w14:paraId="08D875F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textAlignment w:val="auto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自然遗迹□（</w:t>
            </w:r>
            <w:r>
              <w:rPr>
                <w:sz w:val="18"/>
                <w:szCs w:val="18"/>
              </w:rPr>
              <w:t xml:space="preserve">                                      </w:t>
            </w:r>
            <w:r>
              <w:rPr>
                <w:rFonts w:hint="eastAsia"/>
                <w:sz w:val="18"/>
                <w:szCs w:val="18"/>
              </w:rPr>
              <w:t>）</w:t>
            </w:r>
          </w:p>
          <w:p w14:paraId="7D77344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textAlignment w:val="auto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其他</w:t>
            </w:r>
            <w:r>
              <w:rPr>
                <w:sz w:val="18"/>
                <w:szCs w:val="18"/>
              </w:rPr>
              <w:sym w:font="Wingdings 2" w:char="F052"/>
            </w:r>
            <w:r>
              <w:rPr>
                <w:rFonts w:hint="eastAsia"/>
                <w:sz w:val="18"/>
                <w:szCs w:val="18"/>
              </w:rPr>
              <w:t>（土地利用</w:t>
            </w:r>
            <w:r>
              <w:rPr>
                <w:sz w:val="18"/>
                <w:szCs w:val="18"/>
              </w:rPr>
              <w:t xml:space="preserve">                                 </w:t>
            </w:r>
            <w:r>
              <w:rPr>
                <w:rFonts w:hint="eastAsia"/>
                <w:sz w:val="18"/>
                <w:szCs w:val="18"/>
              </w:rPr>
              <w:t>）</w:t>
            </w:r>
          </w:p>
        </w:tc>
      </w:tr>
      <w:tr w14:paraId="7D527B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590" w:type="pct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F00F56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评价等级</w:t>
            </w:r>
          </w:p>
        </w:tc>
        <w:tc>
          <w:tcPr>
            <w:tcW w:w="341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8A013A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textAlignment w:val="auto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一级□</w:t>
            </w:r>
            <w:r>
              <w:rPr>
                <w:sz w:val="18"/>
                <w:szCs w:val="18"/>
              </w:rPr>
              <w:t xml:space="preserve">   </w:t>
            </w:r>
            <w:r>
              <w:rPr>
                <w:rFonts w:hint="eastAsia"/>
                <w:sz w:val="18"/>
                <w:szCs w:val="18"/>
              </w:rPr>
              <w:t>二级□</w:t>
            </w:r>
            <w:r>
              <w:rPr>
                <w:sz w:val="18"/>
                <w:szCs w:val="18"/>
              </w:rPr>
              <w:t xml:space="preserve">   </w:t>
            </w:r>
            <w:r>
              <w:rPr>
                <w:rFonts w:hint="eastAsia"/>
                <w:sz w:val="18"/>
                <w:szCs w:val="18"/>
              </w:rPr>
              <w:t>三级□</w:t>
            </w:r>
            <w:r>
              <w:rPr>
                <w:sz w:val="18"/>
                <w:szCs w:val="18"/>
              </w:rPr>
              <w:t xml:space="preserve">    </w:t>
            </w:r>
            <w:r>
              <w:rPr>
                <w:rFonts w:hint="eastAsia"/>
                <w:sz w:val="18"/>
                <w:szCs w:val="18"/>
              </w:rPr>
              <w:t>生态影响简单分析</w:t>
            </w:r>
            <w:r>
              <w:rPr>
                <w:sz w:val="18"/>
                <w:szCs w:val="18"/>
              </w:rPr>
              <w:sym w:font="Wingdings 2" w:char="F052"/>
            </w:r>
          </w:p>
        </w:tc>
      </w:tr>
      <w:tr w14:paraId="17188E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590" w:type="pct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81D937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评价范围</w:t>
            </w:r>
          </w:p>
        </w:tc>
        <w:tc>
          <w:tcPr>
            <w:tcW w:w="341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440419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textAlignment w:val="auto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陆域面积：（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rFonts w:hint="eastAsia"/>
                <w:sz w:val="18"/>
                <w:szCs w:val="18"/>
                <w:lang w:val="en-US" w:eastAsia="zh-CN"/>
              </w:rPr>
              <w:t>54.68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rFonts w:hint="eastAsia"/>
                <w:sz w:val="18"/>
                <w:szCs w:val="18"/>
              </w:rPr>
              <w:t>）</w:t>
            </w:r>
            <w:r>
              <w:rPr>
                <w:sz w:val="18"/>
                <w:szCs w:val="18"/>
              </w:rPr>
              <w:t>km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rFonts w:hint="eastAsia"/>
                <w:sz w:val="18"/>
                <w:szCs w:val="18"/>
              </w:rPr>
              <w:t>；水域面积：（</w:t>
            </w:r>
            <w:r>
              <w:rPr>
                <w:sz w:val="18"/>
                <w:szCs w:val="18"/>
              </w:rPr>
              <w:t xml:space="preserve">            </w:t>
            </w:r>
            <w:r>
              <w:rPr>
                <w:rFonts w:hint="eastAsia"/>
                <w:sz w:val="18"/>
                <w:szCs w:val="18"/>
              </w:rPr>
              <w:t>）</w:t>
            </w:r>
            <w:r>
              <w:rPr>
                <w:sz w:val="18"/>
                <w:szCs w:val="18"/>
              </w:rPr>
              <w:t>km</w:t>
            </w:r>
            <w:r>
              <w:rPr>
                <w:sz w:val="18"/>
                <w:szCs w:val="18"/>
                <w:vertAlign w:val="superscript"/>
              </w:rPr>
              <w:t>2</w:t>
            </w:r>
          </w:p>
        </w:tc>
      </w:tr>
      <w:tr w14:paraId="783029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795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429E12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生态现状</w:t>
            </w:r>
          </w:p>
          <w:p w14:paraId="5C129F2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调查与</w:t>
            </w:r>
            <w:r>
              <w:rPr>
                <w:sz w:val="18"/>
                <w:szCs w:val="18"/>
              </w:rPr>
              <w:t xml:space="preserve"> </w:t>
            </w:r>
          </w:p>
          <w:p w14:paraId="5E4AF08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评价</w:t>
            </w:r>
          </w:p>
        </w:tc>
        <w:tc>
          <w:tcPr>
            <w:tcW w:w="79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EF76E0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调查方法</w:t>
            </w:r>
          </w:p>
        </w:tc>
        <w:tc>
          <w:tcPr>
            <w:tcW w:w="341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4E94CD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textAlignment w:val="auto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资料收集</w:t>
            </w:r>
            <w:r>
              <w:rPr>
                <w:sz w:val="18"/>
                <w:szCs w:val="18"/>
              </w:rPr>
              <w:sym w:font="Wingdings 2" w:char="F052"/>
            </w:r>
            <w:r>
              <w:rPr>
                <w:rFonts w:hint="eastAsia"/>
                <w:sz w:val="18"/>
                <w:szCs w:val="18"/>
              </w:rPr>
              <w:t>；遥感调查□；调查样方、样线□；调查点位、断面□；专家和公众咨询法□；其他</w:t>
            </w:r>
            <w:r>
              <w:rPr>
                <w:sz w:val="18"/>
                <w:szCs w:val="18"/>
              </w:rPr>
              <w:sym w:font="Wingdings 2" w:char="F052"/>
            </w:r>
          </w:p>
        </w:tc>
      </w:tr>
      <w:tr w14:paraId="1214EE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9652B4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sz w:val="18"/>
                <w:szCs w:val="18"/>
              </w:rPr>
            </w:pPr>
          </w:p>
        </w:tc>
        <w:tc>
          <w:tcPr>
            <w:tcW w:w="79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C014F2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调查时间</w:t>
            </w:r>
          </w:p>
        </w:tc>
        <w:tc>
          <w:tcPr>
            <w:tcW w:w="341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066E83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textAlignment w:val="auto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春季</w:t>
            </w:r>
            <w:r>
              <w:rPr>
                <w:sz w:val="18"/>
                <w:szCs w:val="18"/>
              </w:rPr>
              <w:sym w:font="Wingdings 2" w:char="F052"/>
            </w:r>
            <w:r>
              <w:rPr>
                <w:rFonts w:hint="eastAsia"/>
                <w:sz w:val="18"/>
                <w:szCs w:val="18"/>
              </w:rPr>
              <w:t>；夏季</w:t>
            </w:r>
            <w:r>
              <w:rPr>
                <w:sz w:val="18"/>
                <w:szCs w:val="18"/>
              </w:rPr>
              <w:sym w:font="Wingdings 2" w:char="F052"/>
            </w:r>
            <w:r>
              <w:rPr>
                <w:rFonts w:hint="eastAsia"/>
                <w:sz w:val="18"/>
                <w:szCs w:val="18"/>
              </w:rPr>
              <w:t>；秋季</w:t>
            </w:r>
            <w:r>
              <w:rPr>
                <w:sz w:val="18"/>
                <w:szCs w:val="18"/>
              </w:rPr>
              <w:sym w:font="Wingdings 2" w:char="F052"/>
            </w:r>
            <w:r>
              <w:rPr>
                <w:rFonts w:hint="eastAsia"/>
                <w:sz w:val="18"/>
                <w:szCs w:val="18"/>
              </w:rPr>
              <w:t>；冬季</w:t>
            </w:r>
            <w:r>
              <w:rPr>
                <w:sz w:val="18"/>
                <w:szCs w:val="18"/>
              </w:rPr>
              <w:sym w:font="Wingdings 2" w:char="F052"/>
            </w:r>
            <w:r>
              <w:rPr>
                <w:sz w:val="18"/>
                <w:szCs w:val="18"/>
              </w:rPr>
              <w:t xml:space="preserve"> </w:t>
            </w:r>
          </w:p>
          <w:p w14:paraId="5454F6A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textAlignment w:val="auto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丰水期□；枯水期□；平水期□</w:t>
            </w:r>
          </w:p>
        </w:tc>
      </w:tr>
      <w:tr w14:paraId="5D8C4F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D85BB0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sz w:val="18"/>
                <w:szCs w:val="18"/>
              </w:rPr>
            </w:pPr>
          </w:p>
        </w:tc>
        <w:tc>
          <w:tcPr>
            <w:tcW w:w="79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0CBFC8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所在区域的</w:t>
            </w:r>
            <w:r>
              <w:rPr>
                <w:sz w:val="18"/>
                <w:szCs w:val="18"/>
              </w:rPr>
              <w:t xml:space="preserve"> </w:t>
            </w:r>
          </w:p>
          <w:p w14:paraId="46019FA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生态问题</w:t>
            </w:r>
          </w:p>
        </w:tc>
        <w:tc>
          <w:tcPr>
            <w:tcW w:w="341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D92EE4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textAlignment w:val="auto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水土流失</w:t>
            </w:r>
            <w:r>
              <w:rPr>
                <w:sz w:val="18"/>
                <w:szCs w:val="18"/>
              </w:rPr>
              <w:sym w:font="Wingdings 2" w:char="F052"/>
            </w:r>
            <w:r>
              <w:rPr>
                <w:rFonts w:hint="eastAsia"/>
                <w:sz w:val="18"/>
                <w:szCs w:val="18"/>
              </w:rPr>
              <w:t>；沙漠化□；石漠化□；盐渍化□；生物入侵□；污染危害□；其他□</w:t>
            </w:r>
          </w:p>
        </w:tc>
      </w:tr>
      <w:tr w14:paraId="2E1216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2481E3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sz w:val="18"/>
                <w:szCs w:val="18"/>
              </w:rPr>
            </w:pPr>
          </w:p>
        </w:tc>
        <w:tc>
          <w:tcPr>
            <w:tcW w:w="79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2A36C2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评价内容</w:t>
            </w:r>
          </w:p>
        </w:tc>
        <w:tc>
          <w:tcPr>
            <w:tcW w:w="341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EDEA94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textAlignment w:val="auto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植被</w:t>
            </w:r>
            <w:r>
              <w:rPr>
                <w:sz w:val="18"/>
                <w:szCs w:val="18"/>
              </w:rPr>
              <w:t>/</w:t>
            </w:r>
            <w:r>
              <w:rPr>
                <w:rFonts w:hint="eastAsia"/>
                <w:sz w:val="18"/>
                <w:szCs w:val="18"/>
              </w:rPr>
              <w:t>植物群落</w:t>
            </w:r>
            <w:r>
              <w:rPr>
                <w:sz w:val="18"/>
                <w:szCs w:val="18"/>
              </w:rPr>
              <w:sym w:font="Wingdings 2" w:char="F052"/>
            </w:r>
            <w:r>
              <w:rPr>
                <w:rFonts w:hint="eastAsia"/>
                <w:sz w:val="18"/>
                <w:szCs w:val="18"/>
              </w:rPr>
              <w:t>；土地利用</w:t>
            </w:r>
            <w:r>
              <w:rPr>
                <w:sz w:val="18"/>
                <w:szCs w:val="18"/>
              </w:rPr>
              <w:sym w:font="Wingdings 2" w:char="F052"/>
            </w:r>
            <w:r>
              <w:rPr>
                <w:rFonts w:hint="eastAsia"/>
                <w:sz w:val="18"/>
                <w:szCs w:val="18"/>
              </w:rPr>
              <w:t>；生态系统</w:t>
            </w:r>
            <w:r>
              <w:rPr>
                <w:rFonts w:hint="eastAsia"/>
                <w:sz w:val="18"/>
                <w:szCs w:val="18"/>
                <w:lang w:eastAsia="zh-CN"/>
              </w:rPr>
              <w:t>☑</w:t>
            </w:r>
            <w:r>
              <w:rPr>
                <w:rFonts w:hint="eastAsia"/>
                <w:sz w:val="18"/>
                <w:szCs w:val="18"/>
              </w:rPr>
              <w:t>；生物多样性</w:t>
            </w:r>
            <w:r>
              <w:rPr>
                <w:rFonts w:hint="eastAsia"/>
                <w:sz w:val="18"/>
                <w:szCs w:val="18"/>
                <w:lang w:eastAsia="zh-CN"/>
              </w:rPr>
              <w:t>☑</w:t>
            </w:r>
            <w:r>
              <w:rPr>
                <w:rFonts w:hint="eastAsia"/>
                <w:sz w:val="18"/>
                <w:szCs w:val="18"/>
              </w:rPr>
              <w:t>；重要物种</w:t>
            </w:r>
            <w:r>
              <w:rPr>
                <w:rFonts w:hint="eastAsia"/>
                <w:sz w:val="18"/>
                <w:szCs w:val="18"/>
                <w:lang w:eastAsia="zh-CN"/>
              </w:rPr>
              <w:t>☑</w:t>
            </w:r>
            <w:r>
              <w:rPr>
                <w:rFonts w:hint="eastAsia"/>
                <w:sz w:val="18"/>
                <w:szCs w:val="18"/>
              </w:rPr>
              <w:t>；生态敏感区</w:t>
            </w:r>
            <w:r>
              <w:rPr>
                <w:rFonts w:hint="eastAsia"/>
                <w:sz w:val="18"/>
                <w:szCs w:val="18"/>
                <w:lang w:eastAsia="zh-CN"/>
              </w:rPr>
              <w:t>☑</w:t>
            </w:r>
            <w:r>
              <w:rPr>
                <w:rFonts w:hint="eastAsia"/>
                <w:sz w:val="18"/>
                <w:szCs w:val="18"/>
              </w:rPr>
              <w:t>；其他□</w:t>
            </w:r>
          </w:p>
        </w:tc>
      </w:tr>
      <w:tr w14:paraId="20FA5D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795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F40704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生态影响</w:t>
            </w:r>
          </w:p>
          <w:p w14:paraId="7D47B13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预测与</w:t>
            </w:r>
            <w:r>
              <w:rPr>
                <w:sz w:val="18"/>
                <w:szCs w:val="18"/>
              </w:rPr>
              <w:t xml:space="preserve"> </w:t>
            </w:r>
          </w:p>
          <w:p w14:paraId="746334D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评价</w:t>
            </w:r>
          </w:p>
        </w:tc>
        <w:tc>
          <w:tcPr>
            <w:tcW w:w="79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8D188A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评价方法</w:t>
            </w:r>
          </w:p>
        </w:tc>
        <w:tc>
          <w:tcPr>
            <w:tcW w:w="341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45629C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textAlignment w:val="auto"/>
              <w:rPr>
                <w:rFonts w:hint="eastAsia" w:eastAsia="宋体"/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</w:rPr>
              <w:t>定性</w:t>
            </w:r>
            <w:r>
              <w:rPr>
                <w:sz w:val="18"/>
                <w:szCs w:val="18"/>
              </w:rPr>
              <w:sym w:font="Wingdings 2" w:char="00A3"/>
            </w:r>
            <w:r>
              <w:rPr>
                <w:rFonts w:hint="eastAsia"/>
                <w:sz w:val="18"/>
                <w:szCs w:val="18"/>
              </w:rPr>
              <w:t>；定性和定量</w:t>
            </w:r>
            <w:r>
              <w:rPr>
                <w:rFonts w:hint="eastAsia"/>
                <w:sz w:val="18"/>
                <w:szCs w:val="18"/>
                <w:lang w:eastAsia="zh-CN"/>
              </w:rPr>
              <w:t>☑</w:t>
            </w:r>
          </w:p>
        </w:tc>
      </w:tr>
      <w:tr w14:paraId="63E4AE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547ABE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sz w:val="18"/>
                <w:szCs w:val="18"/>
              </w:rPr>
            </w:pPr>
          </w:p>
        </w:tc>
        <w:tc>
          <w:tcPr>
            <w:tcW w:w="79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D64FE9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评价内容</w:t>
            </w:r>
          </w:p>
        </w:tc>
        <w:tc>
          <w:tcPr>
            <w:tcW w:w="341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DFE23D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textAlignment w:val="auto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植被</w:t>
            </w:r>
            <w:r>
              <w:rPr>
                <w:sz w:val="18"/>
                <w:szCs w:val="18"/>
              </w:rPr>
              <w:t>/</w:t>
            </w:r>
            <w:r>
              <w:rPr>
                <w:rFonts w:hint="eastAsia"/>
                <w:sz w:val="18"/>
                <w:szCs w:val="18"/>
              </w:rPr>
              <w:t>植物群落</w:t>
            </w:r>
            <w:r>
              <w:rPr>
                <w:rFonts w:hint="eastAsia"/>
                <w:sz w:val="18"/>
                <w:szCs w:val="18"/>
                <w:lang w:eastAsia="zh-CN"/>
              </w:rPr>
              <w:t>☑</w:t>
            </w:r>
            <w:r>
              <w:rPr>
                <w:rFonts w:hint="eastAsia"/>
                <w:sz w:val="18"/>
                <w:szCs w:val="18"/>
              </w:rPr>
              <w:t>；土地利用</w:t>
            </w:r>
            <w:r>
              <w:rPr>
                <w:sz w:val="18"/>
                <w:szCs w:val="18"/>
              </w:rPr>
              <w:sym w:font="Wingdings 2" w:char="F052"/>
            </w:r>
            <w:r>
              <w:rPr>
                <w:rFonts w:hint="eastAsia"/>
                <w:sz w:val="18"/>
                <w:szCs w:val="18"/>
              </w:rPr>
              <w:t>；生态系统</w:t>
            </w:r>
            <w:r>
              <w:rPr>
                <w:rFonts w:hint="eastAsia"/>
                <w:sz w:val="18"/>
                <w:szCs w:val="18"/>
                <w:lang w:eastAsia="zh-CN"/>
              </w:rPr>
              <w:t>☑</w:t>
            </w:r>
            <w:r>
              <w:rPr>
                <w:rFonts w:hint="eastAsia"/>
                <w:sz w:val="18"/>
                <w:szCs w:val="18"/>
              </w:rPr>
              <w:t>；生物多样性□；重要物种</w:t>
            </w:r>
            <w:r>
              <w:rPr>
                <w:rFonts w:hint="eastAsia"/>
                <w:sz w:val="18"/>
                <w:szCs w:val="18"/>
                <w:lang w:eastAsia="zh-CN"/>
              </w:rPr>
              <w:t>☑</w:t>
            </w:r>
            <w:r>
              <w:rPr>
                <w:rFonts w:hint="eastAsia"/>
                <w:sz w:val="18"/>
                <w:szCs w:val="18"/>
              </w:rPr>
              <w:t>；生态敏感区</w:t>
            </w:r>
            <w:r>
              <w:rPr>
                <w:rFonts w:hint="eastAsia"/>
                <w:sz w:val="18"/>
                <w:szCs w:val="18"/>
                <w:lang w:eastAsia="zh-CN"/>
              </w:rPr>
              <w:t>☑</w:t>
            </w:r>
            <w:r>
              <w:rPr>
                <w:rFonts w:hint="eastAsia"/>
                <w:sz w:val="18"/>
                <w:szCs w:val="18"/>
              </w:rPr>
              <w:t>；生物入侵风险□；其他</w:t>
            </w:r>
            <w:r>
              <w:rPr>
                <w:sz w:val="18"/>
                <w:szCs w:val="18"/>
              </w:rPr>
              <w:sym w:font="Wingdings 2" w:char="00A3"/>
            </w:r>
          </w:p>
        </w:tc>
      </w:tr>
      <w:tr w14:paraId="77A6B2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795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DA8683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生态保护</w:t>
            </w:r>
          </w:p>
          <w:p w14:paraId="1F905FE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对策措施</w:t>
            </w:r>
          </w:p>
        </w:tc>
        <w:tc>
          <w:tcPr>
            <w:tcW w:w="79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85FC86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对策措施</w:t>
            </w:r>
          </w:p>
        </w:tc>
        <w:tc>
          <w:tcPr>
            <w:tcW w:w="341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B34B24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textAlignment w:val="auto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避让□；减缓</w:t>
            </w:r>
            <w:r>
              <w:rPr>
                <w:sz w:val="18"/>
                <w:szCs w:val="18"/>
              </w:rPr>
              <w:sym w:font="Wingdings 2" w:char="F052"/>
            </w:r>
            <w:r>
              <w:rPr>
                <w:rFonts w:hint="eastAsia"/>
                <w:sz w:val="18"/>
                <w:szCs w:val="18"/>
              </w:rPr>
              <w:t>；生态修复</w:t>
            </w:r>
            <w:r>
              <w:rPr>
                <w:rFonts w:hint="eastAsia"/>
                <w:sz w:val="18"/>
                <w:szCs w:val="18"/>
                <w:lang w:eastAsia="zh-CN"/>
              </w:rPr>
              <w:t>☑</w:t>
            </w:r>
            <w:r>
              <w:rPr>
                <w:rFonts w:hint="eastAsia"/>
                <w:sz w:val="18"/>
                <w:szCs w:val="18"/>
              </w:rPr>
              <w:t>；生态补偿□；科研□；其他□</w:t>
            </w:r>
          </w:p>
        </w:tc>
      </w:tr>
      <w:tr w14:paraId="5DBA0D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6EB267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sz w:val="18"/>
                <w:szCs w:val="18"/>
              </w:rPr>
            </w:pPr>
          </w:p>
        </w:tc>
        <w:tc>
          <w:tcPr>
            <w:tcW w:w="79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FDFA61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生态监测计划</w:t>
            </w:r>
          </w:p>
        </w:tc>
        <w:tc>
          <w:tcPr>
            <w:tcW w:w="341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9791A5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textAlignment w:val="auto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全生命周期□；长期跟踪</w:t>
            </w:r>
            <w:r>
              <w:rPr>
                <w:rFonts w:hint="eastAsia"/>
                <w:sz w:val="18"/>
                <w:szCs w:val="18"/>
                <w:lang w:eastAsia="zh-CN"/>
              </w:rPr>
              <w:t>☑</w:t>
            </w:r>
            <w:r>
              <w:rPr>
                <w:rFonts w:hint="eastAsia"/>
                <w:sz w:val="18"/>
                <w:szCs w:val="18"/>
              </w:rPr>
              <w:t>；常规□；无</w:t>
            </w:r>
            <w:r>
              <w:rPr>
                <w:sz w:val="18"/>
                <w:szCs w:val="18"/>
              </w:rPr>
              <w:sym w:font="Wingdings 2" w:char="00A3"/>
            </w:r>
          </w:p>
        </w:tc>
      </w:tr>
      <w:tr w14:paraId="084F04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CF5A95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left"/>
              <w:textAlignment w:val="auto"/>
              <w:rPr>
                <w:sz w:val="18"/>
                <w:szCs w:val="18"/>
              </w:rPr>
            </w:pPr>
          </w:p>
        </w:tc>
        <w:tc>
          <w:tcPr>
            <w:tcW w:w="79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9F15AF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环境管理</w:t>
            </w:r>
          </w:p>
        </w:tc>
        <w:tc>
          <w:tcPr>
            <w:tcW w:w="341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D6BCAD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textAlignment w:val="auto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环境监理□；环境影响后评价□；其他□</w:t>
            </w:r>
          </w:p>
        </w:tc>
      </w:tr>
      <w:tr w14:paraId="539197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79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19E395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评价结论</w:t>
            </w:r>
          </w:p>
        </w:tc>
        <w:tc>
          <w:tcPr>
            <w:tcW w:w="79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14C00D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生态影响</w:t>
            </w:r>
          </w:p>
        </w:tc>
        <w:tc>
          <w:tcPr>
            <w:tcW w:w="341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9925C4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textAlignment w:val="auto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可行</w:t>
            </w:r>
            <w:r>
              <w:rPr>
                <w:sz w:val="18"/>
                <w:szCs w:val="18"/>
              </w:rPr>
              <w:sym w:font="Wingdings" w:char="F0FE"/>
            </w:r>
            <w:r>
              <w:rPr>
                <w:rFonts w:hint="eastAsia"/>
                <w:sz w:val="18"/>
                <w:szCs w:val="18"/>
              </w:rPr>
              <w:t>；不可行□</w:t>
            </w:r>
          </w:p>
        </w:tc>
      </w:tr>
      <w:tr w14:paraId="3C305B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500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72B681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textAlignment w:val="auto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注：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rFonts w:hint="eastAsia"/>
                <w:sz w:val="18"/>
                <w:szCs w:val="18"/>
              </w:rPr>
              <w:t>“□”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rFonts w:hint="eastAsia"/>
                <w:sz w:val="18"/>
                <w:szCs w:val="18"/>
              </w:rPr>
              <w:t>为勾选项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rFonts w:hint="eastAsia"/>
                <w:sz w:val="18"/>
                <w:szCs w:val="18"/>
              </w:rPr>
              <w:t>，可√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rFonts w:hint="eastAsia"/>
                <w:sz w:val="18"/>
                <w:szCs w:val="18"/>
              </w:rPr>
              <w:t>；“（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rFonts w:hint="eastAsia"/>
                <w:sz w:val="18"/>
                <w:szCs w:val="18"/>
              </w:rPr>
              <w:t>）”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rFonts w:hint="eastAsia"/>
                <w:sz w:val="18"/>
                <w:szCs w:val="18"/>
              </w:rPr>
              <w:t>为内容填写项。</w:t>
            </w:r>
          </w:p>
        </w:tc>
      </w:tr>
    </w:tbl>
    <w:p w14:paraId="6166411B">
      <w:pPr>
        <w:rPr>
          <w:sz w:val="13"/>
        </w:rPr>
      </w:pPr>
    </w:p>
    <w:p w14:paraId="0251DBE7"/>
    <w:p w14:paraId="73BB31D3">
      <w:pPr>
        <w:ind w:firstLine="480"/>
      </w:pPr>
    </w:p>
    <w:sectPr>
      <w:pgSz w:w="11906" w:h="16838"/>
      <w:pgMar w:top="1417" w:right="1417" w:bottom="1417" w:left="1797" w:header="992" w:footer="992" w:gutter="0"/>
      <w:cols w:space="720" w:num="1"/>
      <w:docGrid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8"/>
    <w:family w:val="swiss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KaiTi_GB2312">
    <w:altName w:val="楷体"/>
    <w:panose1 w:val="00000000000000000000"/>
    <w:charset w:val="86"/>
    <w:family w:val="modern"/>
    <w:pitch w:val="default"/>
    <w:sig w:usb0="00000000" w:usb1="00000000" w:usb2="00000016" w:usb3="00000000" w:csb0="00040001" w:csb1="00000000"/>
  </w:font>
  <w:font w:name="Wingdings 2">
    <w:panose1 w:val="05020102010507070707"/>
    <w:charset w:val="02"/>
    <w:family w:val="roman"/>
    <w:pitch w:val="default"/>
    <w:sig w:usb0="00000000" w:usb1="00000000" w:usb2="00000000" w:usb3="00000000" w:csb0="8000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045FD2B"/>
    <w:multiLevelType w:val="multilevel"/>
    <w:tmpl w:val="F045FD2B"/>
    <w:lvl w:ilvl="0" w:tentative="0">
      <w:start w:val="1"/>
      <w:numFmt w:val="decimal"/>
      <w:pStyle w:val="3"/>
      <w:lvlText w:val="%1"/>
      <w:lvlJc w:val="left"/>
      <w:pPr>
        <w:ind w:left="432" w:hanging="432"/>
      </w:pPr>
      <w:rPr>
        <w:rFonts w:hint="default" w:ascii="Times New Roman" w:hAnsi="Times New Roman" w:eastAsia="宋体" w:cs="宋体"/>
      </w:rPr>
    </w:lvl>
    <w:lvl w:ilvl="1" w:tentative="0">
      <w:start w:val="1"/>
      <w:numFmt w:val="decimal"/>
      <w:pStyle w:val="4"/>
      <w:lvlText w:val="%1.%2"/>
      <w:lvlJc w:val="left"/>
      <w:pPr>
        <w:ind w:left="575" w:hanging="575"/>
      </w:pPr>
      <w:rPr>
        <w:rFonts w:hint="default" w:ascii="Times New Roman" w:hAnsi="Times New Roman" w:eastAsia="宋体" w:cs="宋体"/>
      </w:rPr>
    </w:lvl>
    <w:lvl w:ilvl="2" w:tentative="0">
      <w:start w:val="1"/>
      <w:numFmt w:val="decimal"/>
      <w:pStyle w:val="5"/>
      <w:lvlText w:val="%1.%2.%3"/>
      <w:lvlJc w:val="left"/>
      <w:pPr>
        <w:ind w:left="720" w:hanging="720"/>
      </w:pPr>
      <w:rPr>
        <w:rFonts w:hint="default" w:ascii="Times New Roman" w:hAnsi="Times New Roman" w:eastAsia="宋体" w:cs="宋体"/>
      </w:rPr>
    </w:lvl>
    <w:lvl w:ilvl="3" w:tentative="0">
      <w:start w:val="1"/>
      <w:numFmt w:val="decimal"/>
      <w:pStyle w:val="6"/>
      <w:lvlText w:val="%1.%2.%3.%4"/>
      <w:lvlJc w:val="left"/>
      <w:pPr>
        <w:tabs>
          <w:tab w:val="left" w:pos="0"/>
        </w:tabs>
        <w:ind w:left="0" w:firstLine="0"/>
      </w:pPr>
      <w:rPr>
        <w:rFonts w:hint="default" w:ascii="Times New Roman" w:hAnsi="Times New Roman" w:eastAsia="宋体" w:cs="宋体"/>
      </w:rPr>
    </w:lvl>
    <w:lvl w:ilvl="4" w:tentative="0">
      <w:start w:val="1"/>
      <w:numFmt w:val="decimal"/>
      <w:pStyle w:val="7"/>
      <w:lvlText w:val="%1.%2.%3.%4.%5"/>
      <w:lvlJc w:val="left"/>
      <w:pPr>
        <w:ind w:left="1008" w:hanging="1008"/>
      </w:pPr>
      <w:rPr>
        <w:rFonts w:hint="default" w:ascii="Times New Roman" w:hAnsi="Times New Roman" w:eastAsia="宋体"/>
        <w:spacing w:val="0"/>
        <w:position w:val="0"/>
      </w:rPr>
    </w:lvl>
    <w:lvl w:ilvl="5" w:tentative="0">
      <w:start w:val="1"/>
      <w:numFmt w:val="decimal"/>
      <w:pStyle w:val="8"/>
      <w:lvlText w:val="%1.%2.%3.%4.%5.%6"/>
      <w:lvlJc w:val="left"/>
      <w:pPr>
        <w:ind w:left="1151" w:hanging="1151"/>
      </w:pPr>
      <w:rPr>
        <w:rFonts w:hint="default" w:ascii="Times New Roman" w:hAnsi="Times New Roman" w:eastAsia="宋体"/>
        <w:b/>
        <w:i w:val="0"/>
        <w:sz w:val="24"/>
      </w:rPr>
    </w:lvl>
    <w:lvl w:ilvl="6" w:tentative="0">
      <w:start w:val="1"/>
      <w:numFmt w:val="decimal"/>
      <w:pStyle w:val="9"/>
      <w:lvlText w:val="%1.%2.%3.%4.%5.%6.%7."/>
      <w:lvlJc w:val="left"/>
      <w:pPr>
        <w:ind w:left="1296" w:hanging="1296"/>
      </w:pPr>
      <w:rPr>
        <w:rFonts w:hint="default"/>
      </w:rPr>
    </w:lvl>
    <w:lvl w:ilvl="7" w:tentative="0">
      <w:start w:val="1"/>
      <w:numFmt w:val="decimal"/>
      <w:pStyle w:val="10"/>
      <w:lvlText w:val="%1.%2.%3.%4.%5.%6.%7.%8."/>
      <w:lvlJc w:val="left"/>
      <w:pPr>
        <w:ind w:left="1440" w:hanging="1440"/>
      </w:pPr>
      <w:rPr>
        <w:rFonts w:hint="default"/>
      </w:rPr>
    </w:lvl>
    <w:lvl w:ilvl="8" w:tentative="0">
      <w:start w:val="1"/>
      <w:numFmt w:val="decimal"/>
      <w:pStyle w:val="11"/>
      <w:lvlText w:val="%1.%2.%3.%4.%5.%6.%7.%8.%9."/>
      <w:lvlJc w:val="left"/>
      <w:pPr>
        <w:ind w:left="1583" w:hanging="1583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2FlYmNlYWU4YjIxZTY0NmU5MDRkMWM3Y2ZhNDI5NDkifQ=="/>
  </w:docVars>
  <w:rsids>
    <w:rsidRoot w:val="005357A0"/>
    <w:rsid w:val="005357A0"/>
    <w:rsid w:val="00621371"/>
    <w:rsid w:val="007762C1"/>
    <w:rsid w:val="00787AA9"/>
    <w:rsid w:val="03E552AF"/>
    <w:rsid w:val="069A4776"/>
    <w:rsid w:val="0CEB5D89"/>
    <w:rsid w:val="0DE00B2F"/>
    <w:rsid w:val="0F0A1DF9"/>
    <w:rsid w:val="16EE32FA"/>
    <w:rsid w:val="18173507"/>
    <w:rsid w:val="1A615403"/>
    <w:rsid w:val="1D8E031F"/>
    <w:rsid w:val="205D50DA"/>
    <w:rsid w:val="22C44D71"/>
    <w:rsid w:val="298A41D8"/>
    <w:rsid w:val="2CC83E4F"/>
    <w:rsid w:val="30693748"/>
    <w:rsid w:val="323A3507"/>
    <w:rsid w:val="35F5305F"/>
    <w:rsid w:val="3F19380F"/>
    <w:rsid w:val="4BF47196"/>
    <w:rsid w:val="57622AFA"/>
    <w:rsid w:val="5EA20CD3"/>
    <w:rsid w:val="5F777545"/>
    <w:rsid w:val="5F9A29F6"/>
    <w:rsid w:val="61EF2482"/>
    <w:rsid w:val="64DA5513"/>
    <w:rsid w:val="71C306ED"/>
    <w:rsid w:val="73905655"/>
    <w:rsid w:val="7582375C"/>
    <w:rsid w:val="7B9B06FD"/>
    <w:rsid w:val="7C3027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nhideWhenUsed="0" w:uiPriority="0" w:semiHidden="0" w:name="heading 9"/>
    <w:lsdException w:qFormat="1" w:unhideWhenUsed="0" w:uiPriority="0" w:semiHidden="0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qFormat="1" w:uiPriority="39" w:semiHidden="0" w:name="toc 4"/>
    <w:lsdException w:qFormat="1" w:uiPriority="39" w:semiHidden="0" w:name="toc 5"/>
    <w:lsdException w:qFormat="1" w:uiPriority="39" w:semiHidden="0" w:name="toc 6"/>
    <w:lsdException w:qFormat="1" w:uiPriority="39" w:semiHidden="0" w:name="toc 7"/>
    <w:lsdException w:qFormat="1" w:uiPriority="39" w:semiHidden="0" w:name="toc 8"/>
    <w:lsdException w:qFormat="1" w:uiPriority="39" w:semiHidden="0" w:name="toc 9"/>
    <w:lsdException w:qFormat="1" w:unhideWhenUsed="0" w:uiPriority="0" w:semiHidden="0" w:name="Normal Indent"/>
    <w:lsdException w:uiPriority="99" w:name="footnote text"/>
    <w:lsdException w:qFormat="1" w:unhideWhenUsed="0" w:uiPriority="0" w:semiHidden="0" w:name="annotation text"/>
    <w:lsdException w:qFormat="1" w:uiPriority="99" w:semiHidden="0" w:name="header"/>
    <w:lsdException w:qFormat="1" w:uiPriority="99" w:semiHidden="0" w:name="footer"/>
    <w:lsdException w:qFormat="1" w:unhideWhenUsed="0" w:uiPriority="99" w:semiHidden="0" w:name="index heading"/>
    <w:lsdException w:qFormat="1" w:unhideWhenUsed="0" w:uiPriority="0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0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iPriority="0" w:semiHidden="0" w:name="Date"/>
    <w:lsdException w:qFormat="1" w:unhideWhenUsed="0" w:uiPriority="99" w:name="Body Text First Indent"/>
    <w:lsdException w:uiPriority="99" w:name="Body Text First Indent 2"/>
    <w:lsdException w:uiPriority="99" w:name="Note Heading"/>
    <w:lsdException w:qFormat="1" w:unhideWhenUsed="0" w:uiPriority="0" w:semiHidden="0" w:name="Body Text 2"/>
    <w:lsdException w:uiPriority="99" w:name="Body Text 3"/>
    <w:lsdException w:qFormat="1" w:unhideWhenUsed="0" w:uiPriority="0" w:semiHidden="0" w:name="Body Text Indent 2"/>
    <w:lsdException w:qFormat="1" w:unhideWhenUsed="0" w:uiPriority="0" w:semiHidden="0" w:name="Body Text Indent 3"/>
    <w:lsdException w:uiPriority="99" w:name="Block Text"/>
    <w:lsdException w:qFormat="1" w:unhideWhenUsed="0" w:uiPriority="99" w:semiHidden="0" w:name="Hyperlink"/>
    <w:lsdException w:uiPriority="99" w:name="FollowedHyperlink"/>
    <w:lsdException w:qFormat="1" w:unhideWhenUsed="0" w:uiPriority="0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spacing w:line="360" w:lineRule="auto"/>
      <w:ind w:firstLine="200" w:firstLineChars="200"/>
      <w:jc w:val="both"/>
    </w:pPr>
    <w:rPr>
      <w:rFonts w:ascii="Times New Roman" w:hAnsi="Times New Roman" w:eastAsia="宋体" w:cs="Times New Roman"/>
      <w:kern w:val="2"/>
      <w:sz w:val="24"/>
      <w:szCs w:val="28"/>
      <w:lang w:val="en-US" w:eastAsia="zh-CN" w:bidi="ar-SA"/>
    </w:rPr>
  </w:style>
  <w:style w:type="paragraph" w:styleId="3">
    <w:name w:val="heading 1"/>
    <w:basedOn w:val="1"/>
    <w:next w:val="1"/>
    <w:link w:val="46"/>
    <w:qFormat/>
    <w:uiPriority w:val="0"/>
    <w:pPr>
      <w:keepNext/>
      <w:keepLines/>
      <w:numPr>
        <w:ilvl w:val="0"/>
        <w:numId w:val="1"/>
      </w:num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left" w:pos="425"/>
      </w:tabs>
      <w:ind w:firstLineChars="0"/>
      <w:jc w:val="left"/>
      <w:outlineLvl w:val="0"/>
    </w:pPr>
    <w:rPr>
      <w:b/>
      <w:bCs/>
      <w:kern w:val="44"/>
      <w:sz w:val="32"/>
      <w:szCs w:val="32"/>
    </w:rPr>
  </w:style>
  <w:style w:type="paragraph" w:styleId="4">
    <w:name w:val="heading 2"/>
    <w:basedOn w:val="1"/>
    <w:next w:val="1"/>
    <w:link w:val="47"/>
    <w:qFormat/>
    <w:uiPriority w:val="0"/>
    <w:pPr>
      <w:keepNext/>
      <w:keepLines/>
      <w:numPr>
        <w:ilvl w:val="1"/>
        <w:numId w:val="1"/>
      </w:numPr>
      <w:tabs>
        <w:tab w:val="left" w:pos="420"/>
      </w:tabs>
      <w:spacing w:before="50" w:beforeLines="50" w:after="50" w:afterLines="50"/>
      <w:ind w:firstLineChars="0"/>
      <w:jc w:val="left"/>
      <w:outlineLvl w:val="1"/>
    </w:pPr>
    <w:rPr>
      <w:b/>
      <w:sz w:val="32"/>
    </w:rPr>
  </w:style>
  <w:style w:type="paragraph" w:styleId="5">
    <w:name w:val="heading 3"/>
    <w:basedOn w:val="1"/>
    <w:next w:val="1"/>
    <w:link w:val="48"/>
    <w:qFormat/>
    <w:uiPriority w:val="0"/>
    <w:pPr>
      <w:keepNext/>
      <w:keepLines/>
      <w:numPr>
        <w:ilvl w:val="2"/>
        <w:numId w:val="1"/>
      </w:numPr>
      <w:spacing w:before="50" w:beforeLines="50" w:after="50" w:afterLines="50"/>
      <w:ind w:firstLineChars="0"/>
      <w:outlineLvl w:val="2"/>
    </w:pPr>
    <w:rPr>
      <w:b/>
      <w:sz w:val="30"/>
    </w:rPr>
  </w:style>
  <w:style w:type="paragraph" w:styleId="6">
    <w:name w:val="heading 4"/>
    <w:basedOn w:val="1"/>
    <w:next w:val="1"/>
    <w:link w:val="49"/>
    <w:qFormat/>
    <w:uiPriority w:val="0"/>
    <w:pPr>
      <w:keepNext/>
      <w:keepLines/>
      <w:numPr>
        <w:ilvl w:val="3"/>
        <w:numId w:val="1"/>
      </w:numPr>
      <w:tabs>
        <w:tab w:val="clear" w:pos="0"/>
      </w:tabs>
      <w:ind w:left="864" w:hanging="864" w:firstLineChars="0"/>
      <w:outlineLvl w:val="3"/>
    </w:pPr>
    <w:rPr>
      <w:rFonts w:ascii="Arial" w:hAnsi="Arial"/>
      <w:b/>
      <w:sz w:val="28"/>
    </w:rPr>
  </w:style>
  <w:style w:type="paragraph" w:styleId="7">
    <w:name w:val="heading 5"/>
    <w:basedOn w:val="1"/>
    <w:next w:val="1"/>
    <w:link w:val="50"/>
    <w:qFormat/>
    <w:uiPriority w:val="0"/>
    <w:pPr>
      <w:keepNext/>
      <w:keepLines/>
      <w:numPr>
        <w:ilvl w:val="4"/>
        <w:numId w:val="1"/>
      </w:numPr>
      <w:spacing w:before="280" w:after="290" w:line="372" w:lineRule="auto"/>
      <w:ind w:firstLineChars="0"/>
      <w:outlineLvl w:val="4"/>
    </w:pPr>
    <w:rPr>
      <w:b/>
      <w:sz w:val="28"/>
    </w:rPr>
  </w:style>
  <w:style w:type="paragraph" w:styleId="8">
    <w:name w:val="heading 6"/>
    <w:basedOn w:val="1"/>
    <w:next w:val="1"/>
    <w:link w:val="51"/>
    <w:qFormat/>
    <w:uiPriority w:val="0"/>
    <w:pPr>
      <w:keepNext/>
      <w:keepLines/>
      <w:numPr>
        <w:ilvl w:val="5"/>
        <w:numId w:val="1"/>
      </w:numPr>
      <w:spacing w:before="240" w:after="64" w:line="317" w:lineRule="auto"/>
      <w:ind w:firstLineChars="0"/>
      <w:outlineLvl w:val="5"/>
    </w:pPr>
    <w:rPr>
      <w:rFonts w:ascii="Arial" w:hAnsi="Arial" w:eastAsia="黑体"/>
      <w:b/>
    </w:rPr>
  </w:style>
  <w:style w:type="paragraph" w:styleId="9">
    <w:name w:val="heading 7"/>
    <w:basedOn w:val="1"/>
    <w:next w:val="1"/>
    <w:link w:val="52"/>
    <w:qFormat/>
    <w:uiPriority w:val="0"/>
    <w:pPr>
      <w:keepNext/>
      <w:keepLines/>
      <w:numPr>
        <w:ilvl w:val="6"/>
        <w:numId w:val="1"/>
      </w:numPr>
      <w:spacing w:before="240" w:after="64" w:line="317" w:lineRule="auto"/>
      <w:ind w:firstLineChars="0"/>
      <w:outlineLvl w:val="6"/>
    </w:pPr>
    <w:rPr>
      <w:b/>
    </w:rPr>
  </w:style>
  <w:style w:type="paragraph" w:styleId="10">
    <w:name w:val="heading 8"/>
    <w:basedOn w:val="1"/>
    <w:next w:val="1"/>
    <w:link w:val="53"/>
    <w:qFormat/>
    <w:uiPriority w:val="0"/>
    <w:pPr>
      <w:keepNext/>
      <w:keepLines/>
      <w:numPr>
        <w:ilvl w:val="7"/>
        <w:numId w:val="1"/>
      </w:numPr>
      <w:spacing w:before="240" w:after="64" w:line="317" w:lineRule="auto"/>
      <w:ind w:firstLineChars="0"/>
      <w:outlineLvl w:val="7"/>
    </w:pPr>
    <w:rPr>
      <w:rFonts w:ascii="Arial" w:hAnsi="Arial" w:eastAsia="黑体"/>
    </w:rPr>
  </w:style>
  <w:style w:type="paragraph" w:styleId="11">
    <w:name w:val="heading 9"/>
    <w:basedOn w:val="1"/>
    <w:next w:val="1"/>
    <w:link w:val="54"/>
    <w:qFormat/>
    <w:uiPriority w:val="0"/>
    <w:pPr>
      <w:keepNext/>
      <w:keepLines/>
      <w:numPr>
        <w:ilvl w:val="8"/>
        <w:numId w:val="1"/>
      </w:numPr>
      <w:spacing w:before="240" w:after="64" w:line="317" w:lineRule="auto"/>
      <w:ind w:firstLineChars="0"/>
      <w:outlineLvl w:val="8"/>
    </w:pPr>
    <w:rPr>
      <w:rFonts w:ascii="Arial" w:hAnsi="Arial" w:eastAsia="黑体"/>
      <w:sz w:val="21"/>
    </w:rPr>
  </w:style>
  <w:style w:type="character" w:default="1" w:styleId="39">
    <w:name w:val="Default Paragraph Font"/>
    <w:semiHidden/>
    <w:unhideWhenUsed/>
    <w:qFormat/>
    <w:uiPriority w:val="1"/>
  </w:style>
  <w:style w:type="table" w:default="1" w:styleId="3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link w:val="55"/>
    <w:qFormat/>
    <w:uiPriority w:val="0"/>
    <w:pPr>
      <w:spacing w:after="120"/>
    </w:pPr>
  </w:style>
  <w:style w:type="paragraph" w:styleId="12">
    <w:name w:val="toc 7"/>
    <w:basedOn w:val="1"/>
    <w:next w:val="1"/>
    <w:autoRedefine/>
    <w:unhideWhenUsed/>
    <w:qFormat/>
    <w:uiPriority w:val="39"/>
    <w:pPr>
      <w:spacing w:line="240" w:lineRule="auto"/>
      <w:ind w:left="2520" w:leftChars="1200" w:firstLine="0" w:firstLineChars="0"/>
    </w:pPr>
    <w:rPr>
      <w:rFonts w:ascii="等线" w:hAnsi="等线" w:eastAsia="等线"/>
      <w:sz w:val="21"/>
      <w:szCs w:val="22"/>
    </w:rPr>
  </w:style>
  <w:style w:type="paragraph" w:styleId="13">
    <w:name w:val="Normal Indent"/>
    <w:basedOn w:val="1"/>
    <w:link w:val="89"/>
    <w:qFormat/>
    <w:uiPriority w:val="0"/>
    <w:pPr>
      <w:spacing w:line="520" w:lineRule="exact"/>
      <w:ind w:firstLine="624" w:firstLineChars="0"/>
    </w:pPr>
    <w:rPr>
      <w:kern w:val="0"/>
      <w:sz w:val="28"/>
      <w:szCs w:val="20"/>
    </w:rPr>
  </w:style>
  <w:style w:type="paragraph" w:styleId="14">
    <w:name w:val="caption"/>
    <w:basedOn w:val="1"/>
    <w:next w:val="1"/>
    <w:qFormat/>
    <w:uiPriority w:val="0"/>
    <w:pPr>
      <w:spacing w:line="240" w:lineRule="auto"/>
      <w:ind w:firstLine="0" w:firstLineChars="0"/>
      <w:jc w:val="center"/>
    </w:pPr>
    <w:rPr>
      <w:rFonts w:ascii="Arial" w:hAnsi="Arial"/>
      <w:b/>
    </w:rPr>
  </w:style>
  <w:style w:type="paragraph" w:styleId="15">
    <w:name w:val="annotation text"/>
    <w:basedOn w:val="1"/>
    <w:link w:val="80"/>
    <w:qFormat/>
    <w:uiPriority w:val="0"/>
    <w:pPr>
      <w:jc w:val="left"/>
    </w:pPr>
  </w:style>
  <w:style w:type="paragraph" w:styleId="16">
    <w:name w:val="toc 5"/>
    <w:basedOn w:val="1"/>
    <w:next w:val="1"/>
    <w:autoRedefine/>
    <w:unhideWhenUsed/>
    <w:qFormat/>
    <w:uiPriority w:val="39"/>
    <w:pPr>
      <w:spacing w:line="240" w:lineRule="auto"/>
      <w:ind w:left="1680" w:leftChars="800" w:firstLine="0" w:firstLineChars="0"/>
    </w:pPr>
    <w:rPr>
      <w:rFonts w:ascii="等线" w:hAnsi="等线" w:eastAsia="等线"/>
      <w:sz w:val="21"/>
      <w:szCs w:val="22"/>
    </w:rPr>
  </w:style>
  <w:style w:type="paragraph" w:styleId="17">
    <w:name w:val="toc 3"/>
    <w:basedOn w:val="1"/>
    <w:next w:val="1"/>
    <w:autoRedefine/>
    <w:qFormat/>
    <w:uiPriority w:val="39"/>
    <w:pPr>
      <w:ind w:left="840" w:leftChars="400"/>
    </w:pPr>
  </w:style>
  <w:style w:type="paragraph" w:styleId="18">
    <w:name w:val="Plain Text"/>
    <w:basedOn w:val="1"/>
    <w:link w:val="78"/>
    <w:qFormat/>
    <w:uiPriority w:val="0"/>
    <w:pPr>
      <w:spacing w:line="240" w:lineRule="auto"/>
      <w:ind w:firstLine="0" w:firstLineChars="0"/>
    </w:pPr>
    <w:rPr>
      <w:rFonts w:ascii="宋体" w:hAnsi="Courier New" w:cs="Courier New"/>
      <w:bCs/>
      <w:iCs/>
      <w:kern w:val="0"/>
      <w:sz w:val="21"/>
      <w:szCs w:val="21"/>
    </w:rPr>
  </w:style>
  <w:style w:type="paragraph" w:styleId="19">
    <w:name w:val="toc 8"/>
    <w:basedOn w:val="1"/>
    <w:next w:val="1"/>
    <w:autoRedefine/>
    <w:unhideWhenUsed/>
    <w:qFormat/>
    <w:uiPriority w:val="39"/>
    <w:pPr>
      <w:spacing w:line="240" w:lineRule="auto"/>
      <w:ind w:left="2940" w:leftChars="1400" w:firstLine="0" w:firstLineChars="0"/>
    </w:pPr>
    <w:rPr>
      <w:rFonts w:ascii="等线" w:hAnsi="等线" w:eastAsia="等线"/>
      <w:sz w:val="21"/>
      <w:szCs w:val="22"/>
    </w:rPr>
  </w:style>
  <w:style w:type="paragraph" w:styleId="20">
    <w:name w:val="Date"/>
    <w:basedOn w:val="1"/>
    <w:next w:val="1"/>
    <w:link w:val="97"/>
    <w:unhideWhenUsed/>
    <w:qFormat/>
    <w:uiPriority w:val="0"/>
    <w:pPr>
      <w:widowControl/>
      <w:ind w:left="100" w:leftChars="2500"/>
    </w:pPr>
    <w:rPr>
      <w:rFonts w:ascii="宋体" w:hAnsi="宋体" w:cs="宋体"/>
      <w:kern w:val="0"/>
      <w:szCs w:val="24"/>
    </w:rPr>
  </w:style>
  <w:style w:type="paragraph" w:styleId="21">
    <w:name w:val="Body Text Indent 2"/>
    <w:basedOn w:val="1"/>
    <w:link w:val="57"/>
    <w:qFormat/>
    <w:uiPriority w:val="0"/>
    <w:pPr>
      <w:adjustRightInd w:val="0"/>
      <w:snapToGrid w:val="0"/>
      <w:spacing w:beforeLines="50"/>
    </w:pPr>
    <w:rPr>
      <w:rFonts w:eastAsia="仿宋_GB2312"/>
      <w:sz w:val="28"/>
      <w:szCs w:val="21"/>
    </w:rPr>
  </w:style>
  <w:style w:type="paragraph" w:styleId="22">
    <w:name w:val="Balloon Text"/>
    <w:basedOn w:val="1"/>
    <w:link w:val="56"/>
    <w:semiHidden/>
    <w:qFormat/>
    <w:uiPriority w:val="0"/>
    <w:rPr>
      <w:sz w:val="18"/>
      <w:szCs w:val="18"/>
    </w:rPr>
  </w:style>
  <w:style w:type="paragraph" w:styleId="23">
    <w:name w:val="footer"/>
    <w:basedOn w:val="1"/>
    <w:link w:val="45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24">
    <w:name w:val="header"/>
    <w:basedOn w:val="1"/>
    <w:link w:val="44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25">
    <w:name w:val="toc 1"/>
    <w:basedOn w:val="1"/>
    <w:next w:val="1"/>
    <w:qFormat/>
    <w:uiPriority w:val="39"/>
  </w:style>
  <w:style w:type="paragraph" w:styleId="26">
    <w:name w:val="toc 4"/>
    <w:basedOn w:val="1"/>
    <w:next w:val="1"/>
    <w:autoRedefine/>
    <w:unhideWhenUsed/>
    <w:qFormat/>
    <w:uiPriority w:val="39"/>
    <w:pPr>
      <w:spacing w:line="240" w:lineRule="auto"/>
      <w:ind w:left="1260" w:leftChars="600" w:firstLine="0" w:firstLineChars="0"/>
    </w:pPr>
    <w:rPr>
      <w:rFonts w:ascii="等线" w:hAnsi="等线" w:eastAsia="等线"/>
      <w:sz w:val="21"/>
      <w:szCs w:val="22"/>
    </w:rPr>
  </w:style>
  <w:style w:type="paragraph" w:styleId="27">
    <w:name w:val="index heading"/>
    <w:next w:val="28"/>
    <w:qFormat/>
    <w:uiPriority w:val="99"/>
    <w:pPr>
      <w:widowControl w:val="0"/>
      <w:jc w:val="both"/>
    </w:pPr>
    <w:rPr>
      <w:rFonts w:ascii="宋体" w:hAnsi="宋体" w:eastAsia="宋体" w:cs="Times New Roman"/>
      <w:bCs/>
      <w:kern w:val="2"/>
      <w:sz w:val="28"/>
      <w:szCs w:val="20"/>
      <w:lang w:val="en-US" w:eastAsia="zh-CN" w:bidi="ar-SA"/>
    </w:rPr>
  </w:style>
  <w:style w:type="paragraph" w:styleId="28">
    <w:name w:val="index 1"/>
    <w:basedOn w:val="1"/>
    <w:next w:val="1"/>
    <w:autoRedefine/>
    <w:qFormat/>
    <w:uiPriority w:val="0"/>
    <w:pPr>
      <w:ind w:firstLine="0"/>
    </w:pPr>
  </w:style>
  <w:style w:type="paragraph" w:styleId="29">
    <w:name w:val="toc 6"/>
    <w:basedOn w:val="1"/>
    <w:next w:val="1"/>
    <w:autoRedefine/>
    <w:unhideWhenUsed/>
    <w:qFormat/>
    <w:uiPriority w:val="39"/>
    <w:pPr>
      <w:spacing w:line="240" w:lineRule="auto"/>
      <w:ind w:left="2100" w:leftChars="1000" w:firstLine="0" w:firstLineChars="0"/>
    </w:pPr>
    <w:rPr>
      <w:rFonts w:ascii="等线" w:hAnsi="等线" w:eastAsia="等线"/>
      <w:sz w:val="21"/>
      <w:szCs w:val="22"/>
    </w:rPr>
  </w:style>
  <w:style w:type="paragraph" w:styleId="30">
    <w:name w:val="Body Text Indent 3"/>
    <w:basedOn w:val="1"/>
    <w:link w:val="79"/>
    <w:qFormat/>
    <w:uiPriority w:val="0"/>
    <w:pPr>
      <w:spacing w:after="120"/>
      <w:ind w:left="420" w:leftChars="200"/>
    </w:pPr>
    <w:rPr>
      <w:sz w:val="16"/>
      <w:szCs w:val="16"/>
    </w:rPr>
  </w:style>
  <w:style w:type="paragraph" w:styleId="31">
    <w:name w:val="toc 2"/>
    <w:basedOn w:val="1"/>
    <w:next w:val="1"/>
    <w:qFormat/>
    <w:uiPriority w:val="39"/>
    <w:pPr>
      <w:ind w:left="420" w:leftChars="200"/>
    </w:pPr>
  </w:style>
  <w:style w:type="paragraph" w:styleId="32">
    <w:name w:val="toc 9"/>
    <w:basedOn w:val="1"/>
    <w:next w:val="1"/>
    <w:autoRedefine/>
    <w:unhideWhenUsed/>
    <w:qFormat/>
    <w:uiPriority w:val="39"/>
    <w:pPr>
      <w:spacing w:line="240" w:lineRule="auto"/>
      <w:ind w:left="3360" w:leftChars="1600" w:firstLine="0" w:firstLineChars="0"/>
    </w:pPr>
    <w:rPr>
      <w:rFonts w:ascii="等线" w:hAnsi="等线" w:eastAsia="等线"/>
      <w:sz w:val="21"/>
      <w:szCs w:val="22"/>
    </w:rPr>
  </w:style>
  <w:style w:type="paragraph" w:styleId="33">
    <w:name w:val="Body Text 2"/>
    <w:basedOn w:val="1"/>
    <w:link w:val="58"/>
    <w:qFormat/>
    <w:uiPriority w:val="0"/>
    <w:pPr>
      <w:spacing w:after="120" w:line="480" w:lineRule="auto"/>
    </w:pPr>
    <w:rPr>
      <w:szCs w:val="24"/>
    </w:rPr>
  </w:style>
  <w:style w:type="paragraph" w:styleId="34">
    <w:name w:val="Title"/>
    <w:next w:val="3"/>
    <w:link w:val="59"/>
    <w:qFormat/>
    <w:uiPriority w:val="0"/>
    <w:pPr>
      <w:widowControl w:val="0"/>
      <w:tabs>
        <w:tab w:val="left" w:pos="1000"/>
      </w:tabs>
      <w:spacing w:before="10" w:after="10" w:line="400" w:lineRule="atLeast"/>
      <w:jc w:val="center"/>
      <w:outlineLvl w:val="0"/>
    </w:pPr>
    <w:rPr>
      <w:rFonts w:ascii="Arial" w:hAnsi="Arial" w:eastAsia="黑体" w:cs="Times New Roman"/>
      <w:b/>
      <w:bCs/>
      <w:kern w:val="2"/>
      <w:sz w:val="44"/>
      <w:szCs w:val="44"/>
      <w:lang w:val="en-US" w:eastAsia="zh-CN" w:bidi="ar-SA"/>
    </w:rPr>
  </w:style>
  <w:style w:type="paragraph" w:styleId="35">
    <w:name w:val="annotation subject"/>
    <w:basedOn w:val="15"/>
    <w:next w:val="15"/>
    <w:link w:val="81"/>
    <w:qFormat/>
    <w:uiPriority w:val="0"/>
    <w:rPr>
      <w:b/>
      <w:bCs/>
    </w:rPr>
  </w:style>
  <w:style w:type="paragraph" w:styleId="36">
    <w:name w:val="Body Text First Indent"/>
    <w:basedOn w:val="2"/>
    <w:next w:val="1"/>
    <w:link w:val="60"/>
    <w:semiHidden/>
    <w:qFormat/>
    <w:uiPriority w:val="99"/>
    <w:pPr>
      <w:ind w:firstLine="420" w:firstLineChars="100"/>
    </w:pPr>
  </w:style>
  <w:style w:type="table" w:styleId="38">
    <w:name w:val="Table Grid"/>
    <w:basedOn w:val="37"/>
    <w:qFormat/>
    <w:uiPriority w:val="0"/>
    <w:rPr>
      <w:rFonts w:ascii="Times New Roman" w:hAnsi="Times New Roman" w:eastAsia="宋体" w:cs="Times New Roman"/>
      <w:kern w:val="0"/>
      <w:sz w:val="20"/>
      <w:szCs w:val="20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40">
    <w:name w:val="Strong"/>
    <w:qFormat/>
    <w:uiPriority w:val="0"/>
    <w:rPr>
      <w:rFonts w:ascii="宋体" w:cs="宋体"/>
      <w:b/>
      <w:bCs/>
      <w:sz w:val="24"/>
      <w:lang w:bidi="ar-SA"/>
    </w:rPr>
  </w:style>
  <w:style w:type="character" w:styleId="41">
    <w:name w:val="Hyperlink"/>
    <w:qFormat/>
    <w:uiPriority w:val="99"/>
    <w:rPr>
      <w:color w:val="0000FF"/>
      <w:u w:val="single"/>
    </w:rPr>
  </w:style>
  <w:style w:type="character" w:styleId="42">
    <w:name w:val="annotation reference"/>
    <w:qFormat/>
    <w:uiPriority w:val="0"/>
    <w:rPr>
      <w:rFonts w:ascii="宋体" w:hAnsi="宋体" w:cs="宋体"/>
      <w:sz w:val="21"/>
      <w:szCs w:val="21"/>
    </w:rPr>
  </w:style>
  <w:style w:type="paragraph" w:customStyle="1" w:styleId="43">
    <w:name w:val="baby-正文"/>
    <w:basedOn w:val="2"/>
    <w:next w:val="22"/>
    <w:qFormat/>
    <w:uiPriority w:val="0"/>
    <w:rPr>
      <w:rFonts w:hAnsi="宋体"/>
      <w:bCs/>
      <w:sz w:val="30"/>
    </w:rPr>
  </w:style>
  <w:style w:type="character" w:customStyle="1" w:styleId="44">
    <w:name w:val="页眉 字符"/>
    <w:basedOn w:val="39"/>
    <w:link w:val="24"/>
    <w:qFormat/>
    <w:uiPriority w:val="99"/>
    <w:rPr>
      <w:sz w:val="18"/>
      <w:szCs w:val="18"/>
    </w:rPr>
  </w:style>
  <w:style w:type="character" w:customStyle="1" w:styleId="45">
    <w:name w:val="页脚 字符"/>
    <w:basedOn w:val="39"/>
    <w:link w:val="23"/>
    <w:qFormat/>
    <w:uiPriority w:val="99"/>
    <w:rPr>
      <w:sz w:val="18"/>
      <w:szCs w:val="18"/>
    </w:rPr>
  </w:style>
  <w:style w:type="character" w:customStyle="1" w:styleId="46">
    <w:name w:val="标题 1 字符"/>
    <w:basedOn w:val="39"/>
    <w:link w:val="3"/>
    <w:qFormat/>
    <w:uiPriority w:val="0"/>
    <w:rPr>
      <w:rFonts w:ascii="Times New Roman" w:hAnsi="Times New Roman" w:eastAsia="宋体" w:cs="Times New Roman"/>
      <w:b/>
      <w:bCs/>
      <w:kern w:val="44"/>
      <w:sz w:val="32"/>
      <w:szCs w:val="32"/>
    </w:rPr>
  </w:style>
  <w:style w:type="character" w:customStyle="1" w:styleId="47">
    <w:name w:val="标题 2 字符"/>
    <w:basedOn w:val="39"/>
    <w:link w:val="4"/>
    <w:qFormat/>
    <w:uiPriority w:val="0"/>
    <w:rPr>
      <w:rFonts w:ascii="Times New Roman" w:hAnsi="Times New Roman" w:eastAsia="宋体" w:cs="Times New Roman"/>
      <w:b/>
      <w:sz w:val="32"/>
      <w:szCs w:val="28"/>
    </w:rPr>
  </w:style>
  <w:style w:type="character" w:customStyle="1" w:styleId="48">
    <w:name w:val="标题 3 字符"/>
    <w:basedOn w:val="39"/>
    <w:link w:val="5"/>
    <w:qFormat/>
    <w:uiPriority w:val="0"/>
    <w:rPr>
      <w:rFonts w:ascii="Times New Roman" w:hAnsi="Times New Roman" w:eastAsia="宋体" w:cs="Times New Roman"/>
      <w:b/>
      <w:sz w:val="30"/>
      <w:szCs w:val="28"/>
    </w:rPr>
  </w:style>
  <w:style w:type="character" w:customStyle="1" w:styleId="49">
    <w:name w:val="标题 4 字符"/>
    <w:basedOn w:val="39"/>
    <w:link w:val="6"/>
    <w:qFormat/>
    <w:uiPriority w:val="0"/>
    <w:rPr>
      <w:rFonts w:ascii="Arial" w:hAnsi="Arial" w:eastAsia="宋体" w:cs="Times New Roman"/>
      <w:b/>
      <w:sz w:val="28"/>
      <w:szCs w:val="28"/>
    </w:rPr>
  </w:style>
  <w:style w:type="character" w:customStyle="1" w:styleId="50">
    <w:name w:val="标题 5 字符"/>
    <w:basedOn w:val="39"/>
    <w:link w:val="7"/>
    <w:qFormat/>
    <w:uiPriority w:val="0"/>
    <w:rPr>
      <w:rFonts w:ascii="Times New Roman" w:hAnsi="Times New Roman" w:eastAsia="宋体" w:cs="Times New Roman"/>
      <w:b/>
      <w:sz w:val="28"/>
      <w:szCs w:val="28"/>
    </w:rPr>
  </w:style>
  <w:style w:type="character" w:customStyle="1" w:styleId="51">
    <w:name w:val="标题 6 字符"/>
    <w:basedOn w:val="39"/>
    <w:link w:val="8"/>
    <w:qFormat/>
    <w:uiPriority w:val="0"/>
    <w:rPr>
      <w:rFonts w:ascii="Arial" w:hAnsi="Arial" w:eastAsia="黑体" w:cs="Times New Roman"/>
      <w:b/>
      <w:sz w:val="24"/>
      <w:szCs w:val="28"/>
    </w:rPr>
  </w:style>
  <w:style w:type="character" w:customStyle="1" w:styleId="52">
    <w:name w:val="标题 7 字符"/>
    <w:basedOn w:val="39"/>
    <w:link w:val="9"/>
    <w:qFormat/>
    <w:uiPriority w:val="0"/>
    <w:rPr>
      <w:rFonts w:ascii="Times New Roman" w:hAnsi="Times New Roman" w:eastAsia="宋体" w:cs="Times New Roman"/>
      <w:b/>
      <w:sz w:val="24"/>
      <w:szCs w:val="28"/>
    </w:rPr>
  </w:style>
  <w:style w:type="character" w:customStyle="1" w:styleId="53">
    <w:name w:val="标题 8 字符"/>
    <w:basedOn w:val="39"/>
    <w:link w:val="10"/>
    <w:qFormat/>
    <w:uiPriority w:val="0"/>
    <w:rPr>
      <w:rFonts w:ascii="Arial" w:hAnsi="Arial" w:eastAsia="黑体" w:cs="Times New Roman"/>
      <w:sz w:val="24"/>
      <w:szCs w:val="28"/>
    </w:rPr>
  </w:style>
  <w:style w:type="character" w:customStyle="1" w:styleId="54">
    <w:name w:val="标题 9 字符"/>
    <w:basedOn w:val="39"/>
    <w:link w:val="11"/>
    <w:qFormat/>
    <w:uiPriority w:val="0"/>
    <w:rPr>
      <w:rFonts w:ascii="Arial" w:hAnsi="Arial" w:eastAsia="黑体" w:cs="Times New Roman"/>
      <w:szCs w:val="28"/>
    </w:rPr>
  </w:style>
  <w:style w:type="character" w:customStyle="1" w:styleId="55">
    <w:name w:val="正文文本 字符"/>
    <w:basedOn w:val="39"/>
    <w:link w:val="2"/>
    <w:qFormat/>
    <w:uiPriority w:val="0"/>
    <w:rPr>
      <w:rFonts w:ascii="Times New Roman" w:hAnsi="Times New Roman" w:eastAsia="宋体" w:cs="Times New Roman"/>
      <w:sz w:val="24"/>
      <w:szCs w:val="28"/>
    </w:rPr>
  </w:style>
  <w:style w:type="character" w:customStyle="1" w:styleId="56">
    <w:name w:val="批注框文本 字符"/>
    <w:basedOn w:val="39"/>
    <w:link w:val="22"/>
    <w:semiHidden/>
    <w:qFormat/>
    <w:uiPriority w:val="0"/>
    <w:rPr>
      <w:rFonts w:ascii="Times New Roman" w:hAnsi="Times New Roman" w:eastAsia="宋体" w:cs="Times New Roman"/>
      <w:sz w:val="18"/>
      <w:szCs w:val="18"/>
    </w:rPr>
  </w:style>
  <w:style w:type="character" w:customStyle="1" w:styleId="57">
    <w:name w:val="正文文本缩进 2 字符"/>
    <w:basedOn w:val="39"/>
    <w:link w:val="21"/>
    <w:qFormat/>
    <w:uiPriority w:val="0"/>
    <w:rPr>
      <w:rFonts w:ascii="Times New Roman" w:hAnsi="Times New Roman" w:eastAsia="仿宋_GB2312" w:cs="Times New Roman"/>
      <w:sz w:val="28"/>
      <w:szCs w:val="21"/>
    </w:rPr>
  </w:style>
  <w:style w:type="character" w:customStyle="1" w:styleId="58">
    <w:name w:val="正文文本 2 字符"/>
    <w:basedOn w:val="39"/>
    <w:link w:val="33"/>
    <w:qFormat/>
    <w:uiPriority w:val="0"/>
    <w:rPr>
      <w:rFonts w:ascii="Times New Roman" w:hAnsi="Times New Roman" w:eastAsia="宋体" w:cs="Times New Roman"/>
      <w:sz w:val="24"/>
      <w:szCs w:val="24"/>
    </w:rPr>
  </w:style>
  <w:style w:type="character" w:customStyle="1" w:styleId="59">
    <w:name w:val="标题 字符"/>
    <w:basedOn w:val="39"/>
    <w:link w:val="34"/>
    <w:qFormat/>
    <w:uiPriority w:val="0"/>
    <w:rPr>
      <w:rFonts w:ascii="Arial" w:hAnsi="Arial" w:eastAsia="黑体" w:cs="Times New Roman"/>
      <w:b/>
      <w:bCs/>
      <w:sz w:val="44"/>
      <w:szCs w:val="44"/>
    </w:rPr>
  </w:style>
  <w:style w:type="character" w:customStyle="1" w:styleId="60">
    <w:name w:val="正文首行缩进 字符"/>
    <w:basedOn w:val="55"/>
    <w:link w:val="36"/>
    <w:semiHidden/>
    <w:qFormat/>
    <w:uiPriority w:val="99"/>
    <w:rPr>
      <w:rFonts w:ascii="Times New Roman" w:hAnsi="Times New Roman" w:eastAsia="宋体" w:cs="Times New Roman"/>
      <w:sz w:val="24"/>
      <w:szCs w:val="28"/>
    </w:rPr>
  </w:style>
  <w:style w:type="character" w:customStyle="1" w:styleId="61">
    <w:name w:val="表格标题 Char"/>
    <w:link w:val="62"/>
    <w:qFormat/>
    <w:uiPriority w:val="0"/>
    <w:rPr>
      <w:b/>
      <w:sz w:val="24"/>
    </w:rPr>
  </w:style>
  <w:style w:type="paragraph" w:customStyle="1" w:styleId="62">
    <w:name w:val="表格标题"/>
    <w:basedOn w:val="63"/>
    <w:next w:val="1"/>
    <w:link w:val="61"/>
    <w:qFormat/>
    <w:uiPriority w:val="0"/>
    <w:pPr>
      <w:keepNext/>
      <w:tabs>
        <w:tab w:val="left" w:pos="0"/>
      </w:tabs>
      <w:spacing w:line="240" w:lineRule="auto"/>
      <w:ind w:firstLine="0" w:firstLineChars="0"/>
      <w:jc w:val="center"/>
    </w:pPr>
    <w:rPr>
      <w:rFonts w:asciiTheme="minorHAnsi" w:hAnsiTheme="minorHAnsi" w:eastAsiaTheme="minorEastAsia" w:cstheme="minorBidi"/>
      <w:b/>
      <w:lang w:val="en-US"/>
    </w:rPr>
  </w:style>
  <w:style w:type="paragraph" w:customStyle="1" w:styleId="63">
    <w:name w:val="报告书正文"/>
    <w:basedOn w:val="1"/>
    <w:link w:val="64"/>
    <w:qFormat/>
    <w:uiPriority w:val="0"/>
    <w:pPr>
      <w:spacing w:line="520" w:lineRule="exact"/>
    </w:pPr>
    <w:rPr>
      <w:szCs w:val="22"/>
      <w:lang w:val="zh-CN"/>
    </w:rPr>
  </w:style>
  <w:style w:type="character" w:customStyle="1" w:styleId="64">
    <w:name w:val="表中字 Char"/>
    <w:link w:val="63"/>
    <w:qFormat/>
    <w:uiPriority w:val="0"/>
    <w:rPr>
      <w:rFonts w:ascii="Times New Roman" w:hAnsi="Times New Roman" w:eastAsia="宋体" w:cs="Times New Roman"/>
      <w:sz w:val="24"/>
      <w:lang w:val="zh-CN"/>
    </w:rPr>
  </w:style>
  <w:style w:type="character" w:customStyle="1" w:styleId="65">
    <w:name w:val="表格内容 Char"/>
    <w:link w:val="66"/>
    <w:qFormat/>
    <w:locked/>
    <w:uiPriority w:val="0"/>
    <w:rPr>
      <w:szCs w:val="28"/>
    </w:rPr>
  </w:style>
  <w:style w:type="paragraph" w:customStyle="1" w:styleId="66">
    <w:name w:val="表格内容"/>
    <w:basedOn w:val="67"/>
    <w:next w:val="1"/>
    <w:link w:val="65"/>
    <w:qFormat/>
    <w:uiPriority w:val="0"/>
    <w:pPr>
      <w:overflowPunct w:val="0"/>
      <w:adjustRightInd w:val="0"/>
      <w:spacing w:line="240" w:lineRule="auto"/>
      <w:ind w:firstLine="0" w:firstLineChars="0"/>
      <w:textAlignment w:val="baseline"/>
    </w:pPr>
    <w:rPr>
      <w:rFonts w:asciiTheme="minorHAnsi" w:hAnsiTheme="minorHAnsi" w:eastAsiaTheme="minorEastAsia" w:cstheme="minorBidi"/>
      <w:sz w:val="21"/>
    </w:rPr>
  </w:style>
  <w:style w:type="paragraph" w:customStyle="1" w:styleId="67">
    <w:name w:val="封皮-证书编号"/>
    <w:basedOn w:val="1"/>
    <w:qFormat/>
    <w:uiPriority w:val="0"/>
    <w:pPr>
      <w:jc w:val="center"/>
    </w:pPr>
    <w:rPr>
      <w:rFonts w:eastAsia="黑体"/>
      <w:sz w:val="28"/>
    </w:rPr>
  </w:style>
  <w:style w:type="paragraph" w:customStyle="1" w:styleId="68">
    <w:name w:val="附件标题"/>
    <w:basedOn w:val="69"/>
    <w:qFormat/>
    <w:uiPriority w:val="0"/>
    <w:pPr>
      <w:ind w:firstLine="0" w:firstLineChars="0"/>
      <w:jc w:val="left"/>
    </w:pPr>
  </w:style>
  <w:style w:type="paragraph" w:customStyle="1" w:styleId="69">
    <w:name w:val="附图标题"/>
    <w:basedOn w:val="1"/>
    <w:qFormat/>
    <w:uiPriority w:val="0"/>
    <w:pPr>
      <w:jc w:val="center"/>
    </w:pPr>
    <w:rPr>
      <w:b/>
      <w:sz w:val="28"/>
    </w:rPr>
  </w:style>
  <w:style w:type="paragraph" w:customStyle="1" w:styleId="70">
    <w:name w:val="报告表图标题"/>
    <w:basedOn w:val="1"/>
    <w:qFormat/>
    <w:uiPriority w:val="0"/>
    <w:pPr>
      <w:tabs>
        <w:tab w:val="left" w:pos="0"/>
      </w:tabs>
      <w:ind w:firstLine="0" w:firstLineChars="0"/>
      <w:jc w:val="center"/>
    </w:pPr>
    <w:rPr>
      <w:b/>
      <w:szCs w:val="22"/>
    </w:rPr>
  </w:style>
  <w:style w:type="table" w:customStyle="1" w:styleId="71">
    <w:name w:val="网格型111"/>
    <w:basedOn w:val="37"/>
    <w:qFormat/>
    <w:uiPriority w:val="0"/>
    <w:rPr>
      <w:rFonts w:ascii="Times New Roman" w:hAnsi="Times New Roman" w:eastAsia="宋体" w:cs="Times New Roman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72">
    <w:name w:val="样式 左侧:  0 厘米 首行缩进:  0.85 厘米"/>
    <w:basedOn w:val="1"/>
    <w:qFormat/>
    <w:uiPriority w:val="0"/>
    <w:pPr>
      <w:ind w:firstLine="480"/>
    </w:pPr>
    <w:rPr>
      <w:rFonts w:eastAsia="仿宋_GB2312"/>
      <w:szCs w:val="20"/>
    </w:rPr>
  </w:style>
  <w:style w:type="paragraph" w:customStyle="1" w:styleId="73">
    <w:name w:val="表文"/>
    <w:basedOn w:val="1"/>
    <w:qFormat/>
    <w:uiPriority w:val="0"/>
    <w:pPr>
      <w:adjustRightInd w:val="0"/>
      <w:spacing w:line="240" w:lineRule="auto"/>
      <w:ind w:firstLine="0" w:firstLineChars="0"/>
      <w:jc w:val="center"/>
      <w:textAlignment w:val="baseline"/>
    </w:pPr>
    <w:rPr>
      <w:kern w:val="0"/>
      <w:szCs w:val="20"/>
    </w:rPr>
  </w:style>
  <w:style w:type="paragraph" w:customStyle="1" w:styleId="74">
    <w:name w:val="1黑体头"/>
    <w:basedOn w:val="1"/>
    <w:qFormat/>
    <w:uiPriority w:val="0"/>
    <w:pPr>
      <w:ind w:firstLine="479" w:firstLineChars="199"/>
      <w:jc w:val="left"/>
      <w:textAlignment w:val="center"/>
    </w:pPr>
    <w:rPr>
      <w:b/>
      <w:szCs w:val="21"/>
    </w:rPr>
  </w:style>
  <w:style w:type="character" w:customStyle="1" w:styleId="75">
    <w:name w:val="报告书正文 Char1"/>
    <w:qFormat/>
    <w:uiPriority w:val="0"/>
    <w:rPr>
      <w:rFonts w:ascii="Times New Roman" w:hAnsi="Times New Roman" w:eastAsia="宋体" w:cs="Times New Roman"/>
      <w:kern w:val="2"/>
      <w:sz w:val="24"/>
      <w:szCs w:val="22"/>
      <w:lang w:bidi="ar-SA"/>
    </w:rPr>
  </w:style>
  <w:style w:type="paragraph" w:customStyle="1" w:styleId="76">
    <w:name w:val="表文字"/>
    <w:link w:val="77"/>
    <w:qFormat/>
    <w:uiPriority w:val="0"/>
    <w:pPr>
      <w:widowControl w:val="0"/>
      <w:adjustRightInd w:val="0"/>
      <w:spacing w:line="240" w:lineRule="exact"/>
      <w:jc w:val="both"/>
      <w:textAlignment w:val="baseline"/>
    </w:pPr>
    <w:rPr>
      <w:rFonts w:ascii="Times New Roman" w:hAnsi="Times New Roman" w:eastAsia="宋体" w:cs="Times New Roman"/>
      <w:kern w:val="0"/>
      <w:sz w:val="21"/>
      <w:szCs w:val="21"/>
      <w:lang w:val="en-US" w:eastAsia="zh-CN" w:bidi="ar-SA"/>
    </w:rPr>
  </w:style>
  <w:style w:type="character" w:customStyle="1" w:styleId="77">
    <w:name w:val="表文字 Char"/>
    <w:link w:val="76"/>
    <w:qFormat/>
    <w:uiPriority w:val="0"/>
    <w:rPr>
      <w:rFonts w:ascii="Times New Roman" w:hAnsi="Times New Roman" w:eastAsia="宋体" w:cs="Times New Roman"/>
      <w:kern w:val="0"/>
      <w:szCs w:val="21"/>
    </w:rPr>
  </w:style>
  <w:style w:type="character" w:customStyle="1" w:styleId="78">
    <w:name w:val="纯文本 字符"/>
    <w:basedOn w:val="39"/>
    <w:link w:val="18"/>
    <w:qFormat/>
    <w:uiPriority w:val="0"/>
    <w:rPr>
      <w:rFonts w:ascii="宋体" w:hAnsi="Courier New" w:eastAsia="宋体" w:cs="Courier New"/>
      <w:bCs/>
      <w:iCs/>
      <w:kern w:val="0"/>
      <w:szCs w:val="21"/>
    </w:rPr>
  </w:style>
  <w:style w:type="character" w:customStyle="1" w:styleId="79">
    <w:name w:val="正文文本缩进 3 字符"/>
    <w:basedOn w:val="39"/>
    <w:link w:val="30"/>
    <w:qFormat/>
    <w:uiPriority w:val="0"/>
    <w:rPr>
      <w:rFonts w:ascii="Times New Roman" w:hAnsi="Times New Roman" w:eastAsia="宋体" w:cs="Times New Roman"/>
      <w:sz w:val="16"/>
      <w:szCs w:val="16"/>
    </w:rPr>
  </w:style>
  <w:style w:type="character" w:customStyle="1" w:styleId="80">
    <w:name w:val="批注文字 字符"/>
    <w:basedOn w:val="39"/>
    <w:link w:val="15"/>
    <w:qFormat/>
    <w:uiPriority w:val="0"/>
    <w:rPr>
      <w:rFonts w:ascii="Times New Roman" w:hAnsi="Times New Roman" w:eastAsia="宋体" w:cs="Times New Roman"/>
      <w:sz w:val="24"/>
      <w:szCs w:val="28"/>
    </w:rPr>
  </w:style>
  <w:style w:type="character" w:customStyle="1" w:styleId="81">
    <w:name w:val="批注主题 字符"/>
    <w:basedOn w:val="80"/>
    <w:link w:val="35"/>
    <w:qFormat/>
    <w:uiPriority w:val="0"/>
    <w:rPr>
      <w:rFonts w:ascii="Times New Roman" w:hAnsi="Times New Roman" w:eastAsia="宋体" w:cs="Times New Roman"/>
      <w:b/>
      <w:bCs/>
      <w:sz w:val="24"/>
      <w:szCs w:val="28"/>
    </w:rPr>
  </w:style>
  <w:style w:type="character" w:customStyle="1" w:styleId="82">
    <w:name w:val="font91"/>
    <w:qFormat/>
    <w:uiPriority w:val="0"/>
    <w:rPr>
      <w:rFonts w:hint="default" w:ascii="Times New Roman" w:hAnsi="Times New Roman" w:cs="Times New Roman"/>
      <w:b/>
      <w:color w:val="FF0000"/>
      <w:sz w:val="21"/>
      <w:szCs w:val="21"/>
      <w:u w:val="none"/>
      <w:vertAlign w:val="superscript"/>
    </w:rPr>
  </w:style>
  <w:style w:type="paragraph" w:customStyle="1" w:styleId="83">
    <w:name w:val="【表中文字】"/>
    <w:basedOn w:val="1"/>
    <w:qFormat/>
    <w:uiPriority w:val="0"/>
    <w:pPr>
      <w:spacing w:line="240" w:lineRule="auto"/>
      <w:ind w:firstLine="0" w:firstLineChars="0"/>
      <w:jc w:val="center"/>
    </w:pPr>
    <w:rPr>
      <w:sz w:val="21"/>
      <w:szCs w:val="20"/>
    </w:rPr>
  </w:style>
  <w:style w:type="character" w:customStyle="1" w:styleId="84">
    <w:name w:val="ourfont3"/>
    <w:qFormat/>
    <w:uiPriority w:val="0"/>
  </w:style>
  <w:style w:type="paragraph" w:customStyle="1" w:styleId="85">
    <w:name w:val="【正文】"/>
    <w:basedOn w:val="1"/>
    <w:qFormat/>
    <w:uiPriority w:val="0"/>
    <w:pPr>
      <w:spacing w:line="500" w:lineRule="exact"/>
    </w:pPr>
    <w:rPr>
      <w:szCs w:val="24"/>
    </w:rPr>
  </w:style>
  <w:style w:type="paragraph" w:customStyle="1" w:styleId="86">
    <w:name w:val="默认段落字体 Para Char Char Char Char Char Char Char"/>
    <w:basedOn w:val="1"/>
    <w:qFormat/>
    <w:uiPriority w:val="0"/>
    <w:pPr>
      <w:snapToGrid w:val="0"/>
    </w:pPr>
    <w:rPr>
      <w:rFonts w:eastAsia="仿宋_GB2312"/>
      <w:szCs w:val="24"/>
    </w:rPr>
  </w:style>
  <w:style w:type="paragraph" w:customStyle="1" w:styleId="87">
    <w:name w:val="正文文本最新 Char Char Char"/>
    <w:basedOn w:val="1"/>
    <w:link w:val="88"/>
    <w:qFormat/>
    <w:uiPriority w:val="0"/>
    <w:pPr>
      <w:widowControl/>
    </w:pPr>
    <w:rPr>
      <w:bCs/>
      <w:kern w:val="0"/>
      <w:sz w:val="28"/>
      <w:szCs w:val="24"/>
      <w:lang w:val="zh-CN"/>
    </w:rPr>
  </w:style>
  <w:style w:type="character" w:customStyle="1" w:styleId="88">
    <w:name w:val="正文文本最新 Char Char Char Char1"/>
    <w:link w:val="87"/>
    <w:qFormat/>
    <w:uiPriority w:val="0"/>
    <w:rPr>
      <w:rFonts w:ascii="Times New Roman" w:hAnsi="Times New Roman" w:eastAsia="宋体" w:cs="Times New Roman"/>
      <w:bCs/>
      <w:kern w:val="0"/>
      <w:sz w:val="28"/>
      <w:szCs w:val="24"/>
      <w:lang w:val="zh-CN"/>
    </w:rPr>
  </w:style>
  <w:style w:type="character" w:customStyle="1" w:styleId="89">
    <w:name w:val="正文缩进 字符"/>
    <w:link w:val="13"/>
    <w:qFormat/>
    <w:uiPriority w:val="0"/>
    <w:rPr>
      <w:rFonts w:ascii="Times New Roman" w:hAnsi="Times New Roman" w:eastAsia="宋体" w:cs="Times New Roman"/>
      <w:kern w:val="0"/>
      <w:sz w:val="28"/>
      <w:szCs w:val="20"/>
    </w:rPr>
  </w:style>
  <w:style w:type="paragraph" w:customStyle="1" w:styleId="90">
    <w:name w:val="a正文"/>
    <w:basedOn w:val="1"/>
    <w:link w:val="91"/>
    <w:qFormat/>
    <w:uiPriority w:val="0"/>
    <w:pPr>
      <w:spacing w:line="520" w:lineRule="exact"/>
    </w:pPr>
    <w:rPr>
      <w:kern w:val="0"/>
      <w:szCs w:val="21"/>
    </w:rPr>
  </w:style>
  <w:style w:type="character" w:customStyle="1" w:styleId="91">
    <w:name w:val="a正文 Char"/>
    <w:link w:val="90"/>
    <w:qFormat/>
    <w:uiPriority w:val="0"/>
    <w:rPr>
      <w:rFonts w:ascii="Times New Roman" w:hAnsi="Times New Roman" w:eastAsia="宋体" w:cs="Times New Roman"/>
      <w:kern w:val="0"/>
      <w:sz w:val="24"/>
      <w:szCs w:val="21"/>
    </w:rPr>
  </w:style>
  <w:style w:type="character" w:customStyle="1" w:styleId="92">
    <w:name w:val="font71"/>
    <w:qFormat/>
    <w:uiPriority w:val="0"/>
    <w:rPr>
      <w:rFonts w:hint="default" w:ascii="仿宋_GB2312" w:eastAsia="仿宋_GB2312" w:cs="仿宋_GB2312"/>
      <w:color w:val="000000"/>
      <w:sz w:val="21"/>
      <w:szCs w:val="21"/>
      <w:u w:val="none"/>
    </w:rPr>
  </w:style>
  <w:style w:type="paragraph" w:customStyle="1" w:styleId="93">
    <w:name w:val="表格(新)"/>
    <w:basedOn w:val="1"/>
    <w:qFormat/>
    <w:uiPriority w:val="0"/>
    <w:pPr>
      <w:adjustRightInd w:val="0"/>
      <w:snapToGrid w:val="0"/>
      <w:spacing w:line="240" w:lineRule="auto"/>
      <w:ind w:firstLine="0" w:firstLineChars="0"/>
      <w:jc w:val="center"/>
    </w:pPr>
    <w:rPr>
      <w:kern w:val="0"/>
      <w:sz w:val="21"/>
      <w:szCs w:val="22"/>
    </w:rPr>
  </w:style>
  <w:style w:type="character" w:customStyle="1" w:styleId="94">
    <w:name w:val="【图号】 字符"/>
    <w:link w:val="95"/>
    <w:qFormat/>
    <w:uiPriority w:val="0"/>
    <w:rPr>
      <w:b/>
      <w:sz w:val="24"/>
      <w:szCs w:val="24"/>
    </w:rPr>
  </w:style>
  <w:style w:type="paragraph" w:customStyle="1" w:styleId="95">
    <w:name w:val="【图号】"/>
    <w:basedOn w:val="1"/>
    <w:link w:val="94"/>
    <w:qFormat/>
    <w:uiPriority w:val="0"/>
    <w:pPr>
      <w:spacing w:line="240" w:lineRule="auto"/>
      <w:ind w:firstLine="0" w:firstLineChars="0"/>
      <w:jc w:val="center"/>
    </w:pPr>
    <w:rPr>
      <w:rFonts w:asciiTheme="minorHAnsi" w:hAnsiTheme="minorHAnsi" w:eastAsiaTheme="minorEastAsia" w:cstheme="minorBidi"/>
      <w:b/>
      <w:szCs w:val="24"/>
    </w:rPr>
  </w:style>
  <w:style w:type="paragraph" w:customStyle="1" w:styleId="96">
    <w:name w:val="_Style 1"/>
    <w:basedOn w:val="1"/>
    <w:qFormat/>
    <w:uiPriority w:val="34"/>
    <w:pPr>
      <w:spacing w:line="240" w:lineRule="auto"/>
      <w:ind w:firstLine="420"/>
    </w:pPr>
    <w:rPr>
      <w:rFonts w:eastAsia="仿宋_GB2312"/>
      <w:szCs w:val="24"/>
    </w:rPr>
  </w:style>
  <w:style w:type="character" w:customStyle="1" w:styleId="97">
    <w:name w:val="日期 字符"/>
    <w:basedOn w:val="39"/>
    <w:link w:val="20"/>
    <w:qFormat/>
    <w:uiPriority w:val="0"/>
    <w:rPr>
      <w:rFonts w:ascii="宋体" w:hAnsi="宋体" w:eastAsia="宋体" w:cs="宋体"/>
      <w:kern w:val="0"/>
      <w:sz w:val="24"/>
      <w:szCs w:val="24"/>
    </w:rPr>
  </w:style>
  <w:style w:type="paragraph" w:customStyle="1" w:styleId="98">
    <w:name w:val="附件名"/>
    <w:basedOn w:val="68"/>
    <w:next w:val="95"/>
    <w:qFormat/>
    <w:uiPriority w:val="0"/>
    <w:pPr>
      <w:keepNext/>
      <w:outlineLvl w:val="0"/>
    </w:pPr>
  </w:style>
  <w:style w:type="paragraph" w:customStyle="1" w:styleId="99">
    <w:name w:val="TOC Heading"/>
    <w:basedOn w:val="3"/>
    <w:next w:val="1"/>
    <w:unhideWhenUsed/>
    <w:qFormat/>
    <w:uiPriority w:val="39"/>
    <w:pPr>
      <w:widowControl/>
      <w:numPr>
        <w:numId w:val="0"/>
      </w:num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  <w:spacing w:before="240" w:line="259" w:lineRule="auto"/>
      <w:outlineLvl w:val="9"/>
    </w:pPr>
    <w:rPr>
      <w:rFonts w:ascii="等线 Light" w:hAnsi="等线 Light" w:eastAsia="等线 Light"/>
      <w:b w:val="0"/>
      <w:bCs w:val="0"/>
      <w:color w:val="2E74B5"/>
      <w:kern w:val="0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4.jpeg"/><Relationship Id="rId98" Type="http://schemas.openxmlformats.org/officeDocument/2006/relationships/image" Target="media/image93.jpeg"/><Relationship Id="rId97" Type="http://schemas.openxmlformats.org/officeDocument/2006/relationships/image" Target="media/image92.jpeg"/><Relationship Id="rId96" Type="http://schemas.openxmlformats.org/officeDocument/2006/relationships/image" Target="media/image91.jpeg"/><Relationship Id="rId95" Type="http://schemas.openxmlformats.org/officeDocument/2006/relationships/image" Target="media/image90.jpeg"/><Relationship Id="rId94" Type="http://schemas.openxmlformats.org/officeDocument/2006/relationships/image" Target="media/image89.jpeg"/><Relationship Id="rId93" Type="http://schemas.openxmlformats.org/officeDocument/2006/relationships/image" Target="media/image88.jpeg"/><Relationship Id="rId92" Type="http://schemas.openxmlformats.org/officeDocument/2006/relationships/image" Target="media/image87.jpeg"/><Relationship Id="rId91" Type="http://schemas.openxmlformats.org/officeDocument/2006/relationships/image" Target="media/image86.jpeg"/><Relationship Id="rId90" Type="http://schemas.openxmlformats.org/officeDocument/2006/relationships/image" Target="media/image85.jpeg"/><Relationship Id="rId9" Type="http://schemas.openxmlformats.org/officeDocument/2006/relationships/image" Target="media/image4.jpeg"/><Relationship Id="rId89" Type="http://schemas.openxmlformats.org/officeDocument/2006/relationships/image" Target="media/image84.jpeg"/><Relationship Id="rId88" Type="http://schemas.openxmlformats.org/officeDocument/2006/relationships/image" Target="media/image83.jpeg"/><Relationship Id="rId87" Type="http://schemas.openxmlformats.org/officeDocument/2006/relationships/image" Target="media/image82.jpeg"/><Relationship Id="rId86" Type="http://schemas.openxmlformats.org/officeDocument/2006/relationships/image" Target="media/image81.jpeg"/><Relationship Id="rId85" Type="http://schemas.openxmlformats.org/officeDocument/2006/relationships/image" Target="media/image80.jpeg"/><Relationship Id="rId84" Type="http://schemas.openxmlformats.org/officeDocument/2006/relationships/image" Target="media/image79.jpeg"/><Relationship Id="rId83" Type="http://schemas.openxmlformats.org/officeDocument/2006/relationships/image" Target="media/image78.jpeg"/><Relationship Id="rId82" Type="http://schemas.openxmlformats.org/officeDocument/2006/relationships/image" Target="media/image77.jpeg"/><Relationship Id="rId81" Type="http://schemas.openxmlformats.org/officeDocument/2006/relationships/image" Target="media/image76.jpeg"/><Relationship Id="rId80" Type="http://schemas.openxmlformats.org/officeDocument/2006/relationships/image" Target="media/image75.jpeg"/><Relationship Id="rId8" Type="http://schemas.openxmlformats.org/officeDocument/2006/relationships/image" Target="media/image3.jpeg"/><Relationship Id="rId79" Type="http://schemas.openxmlformats.org/officeDocument/2006/relationships/image" Target="media/image74.jpeg"/><Relationship Id="rId78" Type="http://schemas.openxmlformats.org/officeDocument/2006/relationships/image" Target="media/image73.jpeg"/><Relationship Id="rId77" Type="http://schemas.openxmlformats.org/officeDocument/2006/relationships/image" Target="media/image72.jpeg"/><Relationship Id="rId76" Type="http://schemas.openxmlformats.org/officeDocument/2006/relationships/image" Target="media/image71.jpeg"/><Relationship Id="rId75" Type="http://schemas.openxmlformats.org/officeDocument/2006/relationships/image" Target="media/image70.jpeg"/><Relationship Id="rId74" Type="http://schemas.openxmlformats.org/officeDocument/2006/relationships/image" Target="media/image69.jpeg"/><Relationship Id="rId73" Type="http://schemas.openxmlformats.org/officeDocument/2006/relationships/image" Target="media/image68.jpeg"/><Relationship Id="rId72" Type="http://schemas.openxmlformats.org/officeDocument/2006/relationships/image" Target="media/image67.jpeg"/><Relationship Id="rId71" Type="http://schemas.openxmlformats.org/officeDocument/2006/relationships/image" Target="media/image66.jpeg"/><Relationship Id="rId70" Type="http://schemas.openxmlformats.org/officeDocument/2006/relationships/image" Target="media/image65.jpeg"/><Relationship Id="rId7" Type="http://schemas.openxmlformats.org/officeDocument/2006/relationships/image" Target="media/image2.jpeg"/><Relationship Id="rId69" Type="http://schemas.openxmlformats.org/officeDocument/2006/relationships/image" Target="media/image64.jpeg"/><Relationship Id="rId68" Type="http://schemas.openxmlformats.org/officeDocument/2006/relationships/image" Target="media/image63.jpeg"/><Relationship Id="rId67" Type="http://schemas.openxmlformats.org/officeDocument/2006/relationships/image" Target="media/image62.jpeg"/><Relationship Id="rId66" Type="http://schemas.openxmlformats.org/officeDocument/2006/relationships/image" Target="media/image61.jpeg"/><Relationship Id="rId65" Type="http://schemas.openxmlformats.org/officeDocument/2006/relationships/image" Target="media/image60.jpeg"/><Relationship Id="rId64" Type="http://schemas.openxmlformats.org/officeDocument/2006/relationships/image" Target="media/image59.jpeg"/><Relationship Id="rId63" Type="http://schemas.openxmlformats.org/officeDocument/2006/relationships/image" Target="media/image58.jpeg"/><Relationship Id="rId62" Type="http://schemas.openxmlformats.org/officeDocument/2006/relationships/image" Target="media/image57.jpeg"/><Relationship Id="rId61" Type="http://schemas.openxmlformats.org/officeDocument/2006/relationships/image" Target="media/image56.jpeg"/><Relationship Id="rId60" Type="http://schemas.openxmlformats.org/officeDocument/2006/relationships/image" Target="media/image55.jpeg"/><Relationship Id="rId6" Type="http://schemas.openxmlformats.org/officeDocument/2006/relationships/image" Target="media/image1.jpeg"/><Relationship Id="rId59" Type="http://schemas.openxmlformats.org/officeDocument/2006/relationships/image" Target="media/image54.jpeg"/><Relationship Id="rId58" Type="http://schemas.openxmlformats.org/officeDocument/2006/relationships/image" Target="media/image53.jpeg"/><Relationship Id="rId57" Type="http://schemas.openxmlformats.org/officeDocument/2006/relationships/image" Target="media/image52.jpeg"/><Relationship Id="rId56" Type="http://schemas.openxmlformats.org/officeDocument/2006/relationships/image" Target="media/image51.jpeg"/><Relationship Id="rId55" Type="http://schemas.openxmlformats.org/officeDocument/2006/relationships/image" Target="media/image50.jpeg"/><Relationship Id="rId54" Type="http://schemas.openxmlformats.org/officeDocument/2006/relationships/image" Target="media/image49.jpeg"/><Relationship Id="rId53" Type="http://schemas.openxmlformats.org/officeDocument/2006/relationships/image" Target="media/image48.jpeg"/><Relationship Id="rId52" Type="http://schemas.openxmlformats.org/officeDocument/2006/relationships/image" Target="media/image47.jpeg"/><Relationship Id="rId51" Type="http://schemas.openxmlformats.org/officeDocument/2006/relationships/image" Target="media/image46.jpeg"/><Relationship Id="rId50" Type="http://schemas.openxmlformats.org/officeDocument/2006/relationships/image" Target="media/image45.jpeg"/><Relationship Id="rId5" Type="http://schemas.openxmlformats.org/officeDocument/2006/relationships/theme" Target="theme/theme1.xml"/><Relationship Id="rId49" Type="http://schemas.openxmlformats.org/officeDocument/2006/relationships/image" Target="media/image44.jpeg"/><Relationship Id="rId48" Type="http://schemas.openxmlformats.org/officeDocument/2006/relationships/image" Target="media/image43.jpeg"/><Relationship Id="rId47" Type="http://schemas.openxmlformats.org/officeDocument/2006/relationships/image" Target="media/image42.jpeg"/><Relationship Id="rId46" Type="http://schemas.openxmlformats.org/officeDocument/2006/relationships/image" Target="media/image41.jpeg"/><Relationship Id="rId45" Type="http://schemas.openxmlformats.org/officeDocument/2006/relationships/image" Target="media/image40.jpeg"/><Relationship Id="rId44" Type="http://schemas.openxmlformats.org/officeDocument/2006/relationships/image" Target="media/image39.jpeg"/><Relationship Id="rId43" Type="http://schemas.openxmlformats.org/officeDocument/2006/relationships/image" Target="media/image38.jpeg"/><Relationship Id="rId42" Type="http://schemas.openxmlformats.org/officeDocument/2006/relationships/image" Target="media/image37.jpeg"/><Relationship Id="rId41" Type="http://schemas.openxmlformats.org/officeDocument/2006/relationships/image" Target="media/image36.jpeg"/><Relationship Id="rId40" Type="http://schemas.openxmlformats.org/officeDocument/2006/relationships/image" Target="media/image35.jpeg"/><Relationship Id="rId4" Type="http://schemas.openxmlformats.org/officeDocument/2006/relationships/endnotes" Target="endnotes.xml"/><Relationship Id="rId39" Type="http://schemas.openxmlformats.org/officeDocument/2006/relationships/image" Target="media/image34.jpeg"/><Relationship Id="rId38" Type="http://schemas.openxmlformats.org/officeDocument/2006/relationships/image" Target="media/image33.jpeg"/><Relationship Id="rId37" Type="http://schemas.openxmlformats.org/officeDocument/2006/relationships/image" Target="media/image32.jpeg"/><Relationship Id="rId36" Type="http://schemas.openxmlformats.org/officeDocument/2006/relationships/image" Target="media/image31.jpeg"/><Relationship Id="rId35" Type="http://schemas.openxmlformats.org/officeDocument/2006/relationships/image" Target="media/image30.jpeg"/><Relationship Id="rId34" Type="http://schemas.openxmlformats.org/officeDocument/2006/relationships/image" Target="media/image29.jpeg"/><Relationship Id="rId33" Type="http://schemas.openxmlformats.org/officeDocument/2006/relationships/image" Target="media/image28.png"/><Relationship Id="rId32" Type="http://schemas.openxmlformats.org/officeDocument/2006/relationships/image" Target="media/image27.jpeg"/><Relationship Id="rId31" Type="http://schemas.openxmlformats.org/officeDocument/2006/relationships/image" Target="media/image26.jpeg"/><Relationship Id="rId30" Type="http://schemas.openxmlformats.org/officeDocument/2006/relationships/image" Target="media/image25.jpeg"/><Relationship Id="rId3" Type="http://schemas.openxmlformats.org/officeDocument/2006/relationships/footnotes" Target="footnotes.xml"/><Relationship Id="rId29" Type="http://schemas.openxmlformats.org/officeDocument/2006/relationships/image" Target="media/image24.jpeg"/><Relationship Id="rId28" Type="http://schemas.openxmlformats.org/officeDocument/2006/relationships/image" Target="media/image23.jpeg"/><Relationship Id="rId27" Type="http://schemas.openxmlformats.org/officeDocument/2006/relationships/image" Target="media/image22.jpeg"/><Relationship Id="rId26" Type="http://schemas.openxmlformats.org/officeDocument/2006/relationships/image" Target="media/image21.jpeg"/><Relationship Id="rId25" Type="http://schemas.openxmlformats.org/officeDocument/2006/relationships/image" Target="media/image20.jpeg"/><Relationship Id="rId242" Type="http://schemas.openxmlformats.org/officeDocument/2006/relationships/fontTable" Target="fontTable.xml"/><Relationship Id="rId241" Type="http://schemas.openxmlformats.org/officeDocument/2006/relationships/numbering" Target="numbering.xml"/><Relationship Id="rId240" Type="http://schemas.openxmlformats.org/officeDocument/2006/relationships/image" Target="media/image235.jpeg"/><Relationship Id="rId24" Type="http://schemas.openxmlformats.org/officeDocument/2006/relationships/image" Target="media/image19.jpeg"/><Relationship Id="rId239" Type="http://schemas.openxmlformats.org/officeDocument/2006/relationships/image" Target="media/image234.jpeg"/><Relationship Id="rId238" Type="http://schemas.openxmlformats.org/officeDocument/2006/relationships/image" Target="media/image233.jpeg"/><Relationship Id="rId237" Type="http://schemas.openxmlformats.org/officeDocument/2006/relationships/image" Target="media/image232.jpeg"/><Relationship Id="rId236" Type="http://schemas.openxmlformats.org/officeDocument/2006/relationships/image" Target="media/image231.png"/><Relationship Id="rId235" Type="http://schemas.openxmlformats.org/officeDocument/2006/relationships/image" Target="media/image230.png"/><Relationship Id="rId234" Type="http://schemas.openxmlformats.org/officeDocument/2006/relationships/image" Target="media/image229.png"/><Relationship Id="rId233" Type="http://schemas.openxmlformats.org/officeDocument/2006/relationships/image" Target="media/image228.png"/><Relationship Id="rId232" Type="http://schemas.openxmlformats.org/officeDocument/2006/relationships/image" Target="media/image227.png"/><Relationship Id="rId231" Type="http://schemas.openxmlformats.org/officeDocument/2006/relationships/image" Target="media/image226.png"/><Relationship Id="rId230" Type="http://schemas.openxmlformats.org/officeDocument/2006/relationships/image" Target="media/image225.png"/><Relationship Id="rId23" Type="http://schemas.openxmlformats.org/officeDocument/2006/relationships/image" Target="media/image18.jpeg"/><Relationship Id="rId229" Type="http://schemas.openxmlformats.org/officeDocument/2006/relationships/image" Target="media/image224.png"/><Relationship Id="rId228" Type="http://schemas.openxmlformats.org/officeDocument/2006/relationships/image" Target="media/image223.png"/><Relationship Id="rId227" Type="http://schemas.openxmlformats.org/officeDocument/2006/relationships/image" Target="media/image222.png"/><Relationship Id="rId226" Type="http://schemas.openxmlformats.org/officeDocument/2006/relationships/image" Target="media/image221.jpeg"/><Relationship Id="rId225" Type="http://schemas.openxmlformats.org/officeDocument/2006/relationships/image" Target="media/image220.jpeg"/><Relationship Id="rId224" Type="http://schemas.openxmlformats.org/officeDocument/2006/relationships/image" Target="media/image219.jpeg"/><Relationship Id="rId223" Type="http://schemas.openxmlformats.org/officeDocument/2006/relationships/image" Target="media/image218.jpeg"/><Relationship Id="rId222" Type="http://schemas.openxmlformats.org/officeDocument/2006/relationships/image" Target="media/image217.jpeg"/><Relationship Id="rId221" Type="http://schemas.openxmlformats.org/officeDocument/2006/relationships/image" Target="media/image216.jpeg"/><Relationship Id="rId220" Type="http://schemas.openxmlformats.org/officeDocument/2006/relationships/image" Target="media/image215.png"/><Relationship Id="rId22" Type="http://schemas.openxmlformats.org/officeDocument/2006/relationships/image" Target="media/image17.jpeg"/><Relationship Id="rId219" Type="http://schemas.openxmlformats.org/officeDocument/2006/relationships/image" Target="media/image214.png"/><Relationship Id="rId218" Type="http://schemas.openxmlformats.org/officeDocument/2006/relationships/image" Target="media/image213.png"/><Relationship Id="rId217" Type="http://schemas.openxmlformats.org/officeDocument/2006/relationships/image" Target="media/image212.png"/><Relationship Id="rId216" Type="http://schemas.openxmlformats.org/officeDocument/2006/relationships/image" Target="media/image211.png"/><Relationship Id="rId215" Type="http://schemas.openxmlformats.org/officeDocument/2006/relationships/image" Target="media/image210.png"/><Relationship Id="rId214" Type="http://schemas.openxmlformats.org/officeDocument/2006/relationships/image" Target="media/image209.png"/><Relationship Id="rId213" Type="http://schemas.openxmlformats.org/officeDocument/2006/relationships/image" Target="media/image208.png"/><Relationship Id="rId212" Type="http://schemas.openxmlformats.org/officeDocument/2006/relationships/image" Target="media/image207.png"/><Relationship Id="rId211" Type="http://schemas.openxmlformats.org/officeDocument/2006/relationships/image" Target="media/image206.png"/><Relationship Id="rId210" Type="http://schemas.openxmlformats.org/officeDocument/2006/relationships/image" Target="media/image205.png"/><Relationship Id="rId21" Type="http://schemas.openxmlformats.org/officeDocument/2006/relationships/image" Target="media/image16.jpeg"/><Relationship Id="rId209" Type="http://schemas.openxmlformats.org/officeDocument/2006/relationships/image" Target="media/image204.png"/><Relationship Id="rId208" Type="http://schemas.openxmlformats.org/officeDocument/2006/relationships/image" Target="media/image203.png"/><Relationship Id="rId207" Type="http://schemas.openxmlformats.org/officeDocument/2006/relationships/image" Target="media/image202.png"/><Relationship Id="rId206" Type="http://schemas.openxmlformats.org/officeDocument/2006/relationships/image" Target="media/image201.png"/><Relationship Id="rId205" Type="http://schemas.openxmlformats.org/officeDocument/2006/relationships/image" Target="media/image200.png"/><Relationship Id="rId204" Type="http://schemas.openxmlformats.org/officeDocument/2006/relationships/image" Target="media/image199.png"/><Relationship Id="rId203" Type="http://schemas.openxmlformats.org/officeDocument/2006/relationships/image" Target="media/image198.png"/><Relationship Id="rId202" Type="http://schemas.openxmlformats.org/officeDocument/2006/relationships/image" Target="media/image197.png"/><Relationship Id="rId201" Type="http://schemas.openxmlformats.org/officeDocument/2006/relationships/image" Target="media/image196.png"/><Relationship Id="rId200" Type="http://schemas.openxmlformats.org/officeDocument/2006/relationships/image" Target="media/image195.png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9" Type="http://schemas.openxmlformats.org/officeDocument/2006/relationships/image" Target="media/image194.png"/><Relationship Id="rId198" Type="http://schemas.openxmlformats.org/officeDocument/2006/relationships/image" Target="media/image193.png"/><Relationship Id="rId197" Type="http://schemas.openxmlformats.org/officeDocument/2006/relationships/image" Target="media/image192.png"/><Relationship Id="rId196" Type="http://schemas.openxmlformats.org/officeDocument/2006/relationships/image" Target="media/image191.png"/><Relationship Id="rId195" Type="http://schemas.openxmlformats.org/officeDocument/2006/relationships/image" Target="media/image190.png"/><Relationship Id="rId194" Type="http://schemas.openxmlformats.org/officeDocument/2006/relationships/image" Target="media/image189.png"/><Relationship Id="rId193" Type="http://schemas.openxmlformats.org/officeDocument/2006/relationships/image" Target="media/image188.png"/><Relationship Id="rId192" Type="http://schemas.openxmlformats.org/officeDocument/2006/relationships/image" Target="media/image187.png"/><Relationship Id="rId191" Type="http://schemas.openxmlformats.org/officeDocument/2006/relationships/image" Target="media/image186.png"/><Relationship Id="rId190" Type="http://schemas.openxmlformats.org/officeDocument/2006/relationships/image" Target="media/image185.png"/><Relationship Id="rId19" Type="http://schemas.openxmlformats.org/officeDocument/2006/relationships/image" Target="media/image14.jpeg"/><Relationship Id="rId189" Type="http://schemas.openxmlformats.org/officeDocument/2006/relationships/image" Target="media/image184.png"/><Relationship Id="rId188" Type="http://schemas.openxmlformats.org/officeDocument/2006/relationships/image" Target="media/image183.png"/><Relationship Id="rId187" Type="http://schemas.openxmlformats.org/officeDocument/2006/relationships/image" Target="media/image182.png"/><Relationship Id="rId186" Type="http://schemas.openxmlformats.org/officeDocument/2006/relationships/image" Target="media/image181.png"/><Relationship Id="rId185" Type="http://schemas.openxmlformats.org/officeDocument/2006/relationships/image" Target="media/image180.png"/><Relationship Id="rId184" Type="http://schemas.openxmlformats.org/officeDocument/2006/relationships/image" Target="media/image179.png"/><Relationship Id="rId183" Type="http://schemas.openxmlformats.org/officeDocument/2006/relationships/image" Target="media/image178.png"/><Relationship Id="rId182" Type="http://schemas.openxmlformats.org/officeDocument/2006/relationships/image" Target="media/image177.png"/><Relationship Id="rId181" Type="http://schemas.openxmlformats.org/officeDocument/2006/relationships/image" Target="media/image176.png"/><Relationship Id="rId180" Type="http://schemas.openxmlformats.org/officeDocument/2006/relationships/image" Target="media/image175.jpeg"/><Relationship Id="rId18" Type="http://schemas.openxmlformats.org/officeDocument/2006/relationships/image" Target="media/image13.jpeg"/><Relationship Id="rId179" Type="http://schemas.openxmlformats.org/officeDocument/2006/relationships/image" Target="media/image174.jpeg"/><Relationship Id="rId178" Type="http://schemas.openxmlformats.org/officeDocument/2006/relationships/image" Target="media/image173.jpeg"/><Relationship Id="rId177" Type="http://schemas.openxmlformats.org/officeDocument/2006/relationships/image" Target="media/image172.jpeg"/><Relationship Id="rId176" Type="http://schemas.openxmlformats.org/officeDocument/2006/relationships/image" Target="media/image171.jpeg"/><Relationship Id="rId175" Type="http://schemas.openxmlformats.org/officeDocument/2006/relationships/image" Target="media/image170.jpeg"/><Relationship Id="rId174" Type="http://schemas.openxmlformats.org/officeDocument/2006/relationships/image" Target="media/image169.jpeg"/><Relationship Id="rId173" Type="http://schemas.openxmlformats.org/officeDocument/2006/relationships/image" Target="media/image168.jpeg"/><Relationship Id="rId172" Type="http://schemas.openxmlformats.org/officeDocument/2006/relationships/image" Target="media/image167.jpeg"/><Relationship Id="rId171" Type="http://schemas.openxmlformats.org/officeDocument/2006/relationships/image" Target="media/image166.jpeg"/><Relationship Id="rId170" Type="http://schemas.openxmlformats.org/officeDocument/2006/relationships/image" Target="media/image165.jpeg"/><Relationship Id="rId17" Type="http://schemas.openxmlformats.org/officeDocument/2006/relationships/image" Target="media/image12.jpeg"/><Relationship Id="rId169" Type="http://schemas.openxmlformats.org/officeDocument/2006/relationships/image" Target="media/image164.jpeg"/><Relationship Id="rId168" Type="http://schemas.openxmlformats.org/officeDocument/2006/relationships/image" Target="media/image163.jpeg"/><Relationship Id="rId167" Type="http://schemas.openxmlformats.org/officeDocument/2006/relationships/image" Target="media/image162.jpeg"/><Relationship Id="rId166" Type="http://schemas.openxmlformats.org/officeDocument/2006/relationships/image" Target="media/image161.jpeg"/><Relationship Id="rId165" Type="http://schemas.openxmlformats.org/officeDocument/2006/relationships/image" Target="media/image160.jpeg"/><Relationship Id="rId164" Type="http://schemas.openxmlformats.org/officeDocument/2006/relationships/image" Target="media/image159.jpeg"/><Relationship Id="rId163" Type="http://schemas.openxmlformats.org/officeDocument/2006/relationships/image" Target="media/image158.jpeg"/><Relationship Id="rId162" Type="http://schemas.openxmlformats.org/officeDocument/2006/relationships/image" Target="media/image157.png"/><Relationship Id="rId161" Type="http://schemas.openxmlformats.org/officeDocument/2006/relationships/image" Target="media/image156.png"/><Relationship Id="rId160" Type="http://schemas.openxmlformats.org/officeDocument/2006/relationships/image" Target="media/image155.png"/><Relationship Id="rId16" Type="http://schemas.openxmlformats.org/officeDocument/2006/relationships/image" Target="media/image11.jpeg"/><Relationship Id="rId159" Type="http://schemas.openxmlformats.org/officeDocument/2006/relationships/image" Target="media/image154.png"/><Relationship Id="rId158" Type="http://schemas.openxmlformats.org/officeDocument/2006/relationships/image" Target="media/image153.png"/><Relationship Id="rId157" Type="http://schemas.openxmlformats.org/officeDocument/2006/relationships/image" Target="media/image152.png"/><Relationship Id="rId156" Type="http://schemas.openxmlformats.org/officeDocument/2006/relationships/image" Target="media/image151.png"/><Relationship Id="rId155" Type="http://schemas.openxmlformats.org/officeDocument/2006/relationships/image" Target="media/image150.png"/><Relationship Id="rId154" Type="http://schemas.openxmlformats.org/officeDocument/2006/relationships/image" Target="media/image149.png"/><Relationship Id="rId153" Type="http://schemas.openxmlformats.org/officeDocument/2006/relationships/image" Target="media/image148.jpeg"/><Relationship Id="rId152" Type="http://schemas.openxmlformats.org/officeDocument/2006/relationships/image" Target="media/image147.jpeg"/><Relationship Id="rId151" Type="http://schemas.openxmlformats.org/officeDocument/2006/relationships/image" Target="media/image146.jpeg"/><Relationship Id="rId150" Type="http://schemas.openxmlformats.org/officeDocument/2006/relationships/image" Target="media/image145.jpeg"/><Relationship Id="rId15" Type="http://schemas.openxmlformats.org/officeDocument/2006/relationships/image" Target="media/image10.jpeg"/><Relationship Id="rId149" Type="http://schemas.openxmlformats.org/officeDocument/2006/relationships/image" Target="media/image144.jpeg"/><Relationship Id="rId148" Type="http://schemas.openxmlformats.org/officeDocument/2006/relationships/image" Target="media/image143.jpeg"/><Relationship Id="rId147" Type="http://schemas.openxmlformats.org/officeDocument/2006/relationships/image" Target="media/image142.jpeg"/><Relationship Id="rId146" Type="http://schemas.openxmlformats.org/officeDocument/2006/relationships/image" Target="media/image141.jpeg"/><Relationship Id="rId145" Type="http://schemas.openxmlformats.org/officeDocument/2006/relationships/image" Target="media/image140.jpeg"/><Relationship Id="rId144" Type="http://schemas.openxmlformats.org/officeDocument/2006/relationships/image" Target="media/image139.jpeg"/><Relationship Id="rId143" Type="http://schemas.openxmlformats.org/officeDocument/2006/relationships/image" Target="media/image138.jpeg"/><Relationship Id="rId142" Type="http://schemas.openxmlformats.org/officeDocument/2006/relationships/image" Target="media/image137.jpeg"/><Relationship Id="rId141" Type="http://schemas.openxmlformats.org/officeDocument/2006/relationships/image" Target="media/image136.jpeg"/><Relationship Id="rId140" Type="http://schemas.openxmlformats.org/officeDocument/2006/relationships/image" Target="media/image135.jpeg"/><Relationship Id="rId14" Type="http://schemas.openxmlformats.org/officeDocument/2006/relationships/image" Target="media/image9.jpeg"/><Relationship Id="rId139" Type="http://schemas.openxmlformats.org/officeDocument/2006/relationships/image" Target="media/image134.jpeg"/><Relationship Id="rId138" Type="http://schemas.openxmlformats.org/officeDocument/2006/relationships/image" Target="media/image133.jpeg"/><Relationship Id="rId137" Type="http://schemas.openxmlformats.org/officeDocument/2006/relationships/image" Target="media/image132.jpeg"/><Relationship Id="rId136" Type="http://schemas.openxmlformats.org/officeDocument/2006/relationships/image" Target="media/image131.jpeg"/><Relationship Id="rId135" Type="http://schemas.openxmlformats.org/officeDocument/2006/relationships/image" Target="media/image130.jpeg"/><Relationship Id="rId134" Type="http://schemas.openxmlformats.org/officeDocument/2006/relationships/image" Target="media/image129.jpeg"/><Relationship Id="rId133" Type="http://schemas.openxmlformats.org/officeDocument/2006/relationships/image" Target="media/image128.jpeg"/><Relationship Id="rId132" Type="http://schemas.openxmlformats.org/officeDocument/2006/relationships/image" Target="media/image127.jpeg"/><Relationship Id="rId131" Type="http://schemas.openxmlformats.org/officeDocument/2006/relationships/image" Target="media/image126.jpeg"/><Relationship Id="rId130" Type="http://schemas.openxmlformats.org/officeDocument/2006/relationships/image" Target="media/image125.jpeg"/><Relationship Id="rId13" Type="http://schemas.openxmlformats.org/officeDocument/2006/relationships/image" Target="media/image8.jpeg"/><Relationship Id="rId129" Type="http://schemas.openxmlformats.org/officeDocument/2006/relationships/image" Target="media/image124.png"/><Relationship Id="rId128" Type="http://schemas.openxmlformats.org/officeDocument/2006/relationships/image" Target="media/image123.jpeg"/><Relationship Id="rId127" Type="http://schemas.openxmlformats.org/officeDocument/2006/relationships/image" Target="media/image122.jpeg"/><Relationship Id="rId126" Type="http://schemas.openxmlformats.org/officeDocument/2006/relationships/image" Target="media/image121.jpeg"/><Relationship Id="rId125" Type="http://schemas.openxmlformats.org/officeDocument/2006/relationships/image" Target="media/image120.jpeg"/><Relationship Id="rId124" Type="http://schemas.openxmlformats.org/officeDocument/2006/relationships/image" Target="media/image119.jpeg"/><Relationship Id="rId123" Type="http://schemas.openxmlformats.org/officeDocument/2006/relationships/image" Target="media/image118.jpeg"/><Relationship Id="rId122" Type="http://schemas.openxmlformats.org/officeDocument/2006/relationships/image" Target="media/image117.jpeg"/><Relationship Id="rId121" Type="http://schemas.openxmlformats.org/officeDocument/2006/relationships/image" Target="media/image116.jpeg"/><Relationship Id="rId120" Type="http://schemas.openxmlformats.org/officeDocument/2006/relationships/image" Target="media/image115.jpeg"/><Relationship Id="rId12" Type="http://schemas.openxmlformats.org/officeDocument/2006/relationships/image" Target="media/image7.jpeg"/><Relationship Id="rId119" Type="http://schemas.openxmlformats.org/officeDocument/2006/relationships/image" Target="media/image114.jpeg"/><Relationship Id="rId118" Type="http://schemas.openxmlformats.org/officeDocument/2006/relationships/image" Target="media/image113.jpeg"/><Relationship Id="rId117" Type="http://schemas.openxmlformats.org/officeDocument/2006/relationships/image" Target="media/image112.jpeg"/><Relationship Id="rId116" Type="http://schemas.openxmlformats.org/officeDocument/2006/relationships/image" Target="media/image111.jpeg"/><Relationship Id="rId115" Type="http://schemas.openxmlformats.org/officeDocument/2006/relationships/image" Target="media/image110.jpeg"/><Relationship Id="rId114" Type="http://schemas.openxmlformats.org/officeDocument/2006/relationships/image" Target="media/image109.jpeg"/><Relationship Id="rId113" Type="http://schemas.openxmlformats.org/officeDocument/2006/relationships/image" Target="media/image108.jpeg"/><Relationship Id="rId112" Type="http://schemas.openxmlformats.org/officeDocument/2006/relationships/image" Target="media/image107.jpeg"/><Relationship Id="rId111" Type="http://schemas.openxmlformats.org/officeDocument/2006/relationships/image" Target="media/image106.jpeg"/><Relationship Id="rId110" Type="http://schemas.openxmlformats.org/officeDocument/2006/relationships/image" Target="media/image105.jpeg"/><Relationship Id="rId11" Type="http://schemas.openxmlformats.org/officeDocument/2006/relationships/image" Target="media/image6.jpeg"/><Relationship Id="rId109" Type="http://schemas.openxmlformats.org/officeDocument/2006/relationships/image" Target="media/image104.jpeg"/><Relationship Id="rId108" Type="http://schemas.openxmlformats.org/officeDocument/2006/relationships/image" Target="media/image103.jpeg"/><Relationship Id="rId107" Type="http://schemas.openxmlformats.org/officeDocument/2006/relationships/image" Target="media/image102.jpeg"/><Relationship Id="rId106" Type="http://schemas.openxmlformats.org/officeDocument/2006/relationships/image" Target="media/image101.jpeg"/><Relationship Id="rId105" Type="http://schemas.openxmlformats.org/officeDocument/2006/relationships/image" Target="media/image100.jpeg"/><Relationship Id="rId104" Type="http://schemas.openxmlformats.org/officeDocument/2006/relationships/image" Target="media/image99.jpeg"/><Relationship Id="rId103" Type="http://schemas.openxmlformats.org/officeDocument/2006/relationships/image" Target="media/image98.jpeg"/><Relationship Id="rId102" Type="http://schemas.openxmlformats.org/officeDocument/2006/relationships/image" Target="media/image97.jpeg"/><Relationship Id="rId101" Type="http://schemas.openxmlformats.org/officeDocument/2006/relationships/image" Target="media/image96.jpeg"/><Relationship Id="rId100" Type="http://schemas.openxmlformats.org/officeDocument/2006/relationships/image" Target="media/image95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232</Pages>
  <Words>1322</Words>
  <Characters>1581</Characters>
  <Lines>48</Lines>
  <Paragraphs>13</Paragraphs>
  <TotalTime>1</TotalTime>
  <ScaleCrop>false</ScaleCrop>
  <LinksUpToDate>false</LinksUpToDate>
  <CharactersWithSpaces>1608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2022-02-12T04:27:00Z</dcterms:created>
  <dc:creator>lenovo</dc:creator>
  <cp:lastModifiedBy>lenovo</cp:lastModifiedBy>
  <dcterms:modified xsi:type="dcterms:W3CDTF">2025-12-10T05:43:19Z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ICV">
    <vt:lpwstr>59FE5787D3664543B02A2625CD76C53F_12</vt:lpwstr>
  </property>
  <property fmtid="{D5CDD505-2E9C-101B-9397-08002B2CF9AE}" pid="4" name="KSOTemplateDocerSaveRecord">
    <vt:lpwstr>eyJoZGlkIjoiN2FlYmNlYWU4YjIxZTY0NmU5MDRkMWM3Y2ZhNDI5NDkiLCJ1c2VySWQiOiIzMDQ1NDE3MjYifQ==</vt:lpwstr>
  </property>
</Properties>
</file>